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660F" w14:textId="38361C1B" w:rsidR="002E02F1" w:rsidRDefault="000A09AB" w:rsidP="00676BB8">
      <w:pPr>
        <w:pStyle w:val="Title"/>
        <w:rPr>
          <w:rFonts w:eastAsia="Times New Roman"/>
        </w:rPr>
      </w:pPr>
      <w:r>
        <w:rPr>
          <w:rFonts w:eastAsia="Times New Roman"/>
        </w:rPr>
        <w:t xml:space="preserve">SUA </w:t>
      </w:r>
      <w:r w:rsidR="002E02F1" w:rsidRPr="00530F95">
        <w:rPr>
          <w:rFonts w:eastAsia="Times New Roman"/>
        </w:rPr>
        <w:t xml:space="preserve">Nutrition Education Monitoring </w:t>
      </w:r>
      <w:r w:rsidR="002E02F1">
        <w:rPr>
          <w:rFonts w:eastAsia="Times New Roman"/>
        </w:rPr>
        <w:t>Template</w:t>
      </w:r>
    </w:p>
    <w:p w14:paraId="47C18E36" w14:textId="09C5F3FE" w:rsidR="003E1654" w:rsidRDefault="0002339B" w:rsidP="003E1654">
      <w:pPr>
        <w:tabs>
          <w:tab w:val="left" w:pos="7020"/>
          <w:tab w:val="left" w:pos="9360"/>
        </w:tabs>
        <w:spacing w:before="160"/>
        <w:rPr>
          <w:rFonts w:ascii="Calibri" w:eastAsia="Calibri" w:hAnsi="Calibri" w:cs="Times New Roman"/>
        </w:rPr>
      </w:pPr>
      <w:r w:rsidRPr="0002339B">
        <w:rPr>
          <w:rFonts w:ascii="Calibri" w:eastAsia="Times New Roman" w:hAnsi="Calibri" w:cs="Calibri"/>
        </w:rPr>
        <w:t>This template is for recording nutrition education monitoring activities by State Units on Aging (SUA). Usage is voluntary. The form may be tailored with state specific requirements or used as a guide to create a customized monitoring tool. Basic information on nutrition education requirements is included on the last page.  For specific questions or further information contact your regional administrator.</w:t>
      </w:r>
      <w:r w:rsidR="00AD014F">
        <w:rPr>
          <w:rFonts w:ascii="Calibri" w:eastAsia="Calibri" w:hAnsi="Calibri" w:cs="Times New Roman"/>
        </w:rPr>
        <w:pict w14:anchorId="42F2D9A2">
          <v:rect id="_x0000_i1025" style="width:0;height:1.5pt" o:hralign="center" o:hrstd="t" o:hr="t" fillcolor="#a0a0a0" stroked="f"/>
        </w:pict>
      </w:r>
    </w:p>
    <w:p w14:paraId="182D43A9" w14:textId="0161547D" w:rsidR="003E1654" w:rsidRDefault="003E1654" w:rsidP="003E1654">
      <w:pPr>
        <w:tabs>
          <w:tab w:val="left" w:pos="7020"/>
          <w:tab w:val="left" w:pos="9360"/>
        </w:tabs>
        <w:spacing w:after="0"/>
        <w:rPr>
          <w:rFonts w:ascii="Calibri" w:eastAsia="Calibri" w:hAnsi="Calibri" w:cs="Times New Roman"/>
          <w:b/>
          <w:bCs/>
        </w:rPr>
      </w:pPr>
      <w:r w:rsidRPr="003E1654">
        <w:rPr>
          <w:rFonts w:ascii="Calibri" w:eastAsia="Calibri" w:hAnsi="Calibri" w:cs="Times New Roman"/>
          <w:b/>
          <w:bCs/>
        </w:rPr>
        <w:t>Agency monitored:</w:t>
      </w:r>
    </w:p>
    <w:p w14:paraId="12C45381" w14:textId="28EE3FFF" w:rsidR="00676BB8" w:rsidRPr="003E1654" w:rsidRDefault="00DE0047" w:rsidP="003E1654">
      <w:pPr>
        <w:tabs>
          <w:tab w:val="left" w:pos="7020"/>
          <w:tab w:val="left" w:pos="9360"/>
        </w:tabs>
        <w:spacing w:after="0"/>
        <w:rPr>
          <w:rFonts w:ascii="Calibri" w:eastAsia="Calibri" w:hAnsi="Calibri" w:cs="Times New Roman"/>
          <w:b/>
          <w:bCs/>
        </w:rPr>
      </w:pPr>
      <w:r>
        <w:rPr>
          <w:rFonts w:ascii="Calibri" w:eastAsia="Calibri" w:hAnsi="Calibri" w:cs="Times New Roman"/>
          <w:b/>
          <w:bCs/>
        </w:rPr>
        <w:t>Monitor</w:t>
      </w:r>
      <w:r w:rsidR="00676BB8">
        <w:rPr>
          <w:rFonts w:ascii="Calibri" w:eastAsia="Calibri" w:hAnsi="Calibri" w:cs="Times New Roman"/>
          <w:b/>
          <w:bCs/>
        </w:rPr>
        <w:t xml:space="preserve"> (name, title):</w:t>
      </w:r>
    </w:p>
    <w:p w14:paraId="2F4487E4" w14:textId="0DF2E76D" w:rsidR="003E1654" w:rsidRPr="00530F95" w:rsidRDefault="003E1654" w:rsidP="003E1654">
      <w:pPr>
        <w:tabs>
          <w:tab w:val="left" w:pos="7020"/>
          <w:tab w:val="left" w:pos="9360"/>
        </w:tabs>
        <w:rPr>
          <w:rFonts w:ascii="Calibri" w:eastAsia="Calibri" w:hAnsi="Calibri" w:cs="Times New Roman"/>
        </w:rPr>
      </w:pPr>
      <w:r w:rsidRPr="003E1654">
        <w:rPr>
          <w:rFonts w:ascii="Calibri" w:eastAsia="Calibri" w:hAnsi="Calibri" w:cs="Times New Roman"/>
          <w:b/>
          <w:bCs/>
        </w:rPr>
        <w:t>Date:</w:t>
      </w:r>
      <w:r w:rsidRPr="00530F95">
        <w:rPr>
          <w:rFonts w:ascii="Calibri" w:eastAsia="Calibri" w:hAnsi="Calibri" w:cs="Times New Roman"/>
        </w:rPr>
        <w:t xml:space="preserve"> </w:t>
      </w:r>
    </w:p>
    <w:tbl>
      <w:tblPr>
        <w:tblStyle w:val="TableGrid"/>
        <w:tblW w:w="12870" w:type="dxa"/>
        <w:tblInd w:w="-5" w:type="dxa"/>
        <w:tblLook w:val="04A0" w:firstRow="1" w:lastRow="0" w:firstColumn="1" w:lastColumn="0" w:noHBand="0" w:noVBand="1"/>
      </w:tblPr>
      <w:tblGrid>
        <w:gridCol w:w="5220"/>
        <w:gridCol w:w="2790"/>
        <w:gridCol w:w="4860"/>
      </w:tblGrid>
      <w:tr w:rsidR="003E1654" w:rsidRPr="001E75D7" w14:paraId="140FA1A9" w14:textId="77777777" w:rsidTr="00FE4B48">
        <w:trPr>
          <w:trHeight w:hRule="exact" w:val="720"/>
          <w:tblHeader/>
        </w:trPr>
        <w:tc>
          <w:tcPr>
            <w:tcW w:w="5220" w:type="dxa"/>
            <w:shd w:val="clear" w:color="auto" w:fill="F2F2F2" w:themeFill="background1" w:themeFillShade="F2"/>
            <w:vAlign w:val="center"/>
          </w:tcPr>
          <w:p w14:paraId="731E0EC4" w14:textId="56A67612" w:rsidR="003E1654" w:rsidRPr="001E75D7" w:rsidRDefault="009C17C1" w:rsidP="00434B2C">
            <w:pPr>
              <w:tabs>
                <w:tab w:val="left" w:pos="508"/>
              </w:tabs>
              <w:spacing w:after="40"/>
              <w:contextualSpacing/>
              <w:rPr>
                <w:rFonts w:eastAsia="Times New Roman" w:cstheme="minorHAnsi"/>
                <w:b/>
                <w:bCs/>
              </w:rPr>
            </w:pPr>
            <w:r w:rsidRPr="001E75D7">
              <w:rPr>
                <w:rFonts w:eastAsia="Times New Roman" w:cstheme="minorHAnsi"/>
                <w:b/>
                <w:bCs/>
              </w:rPr>
              <w:t>Older Americans Act</w:t>
            </w:r>
            <w:r w:rsidR="003E1654" w:rsidRPr="001E75D7">
              <w:rPr>
                <w:rFonts w:eastAsia="Times New Roman" w:cstheme="minorHAnsi"/>
                <w:b/>
                <w:bCs/>
              </w:rPr>
              <w:t xml:space="preserve"> Requirements</w:t>
            </w:r>
          </w:p>
        </w:tc>
        <w:tc>
          <w:tcPr>
            <w:tcW w:w="2790" w:type="dxa"/>
            <w:shd w:val="clear" w:color="auto" w:fill="F2F2F2" w:themeFill="background1" w:themeFillShade="F2"/>
            <w:vAlign w:val="center"/>
          </w:tcPr>
          <w:p w14:paraId="63296658" w14:textId="2F13FEA1" w:rsidR="003E1654" w:rsidRPr="001E75D7" w:rsidRDefault="009C17C1" w:rsidP="00434B2C">
            <w:pPr>
              <w:jc w:val="center"/>
              <w:rPr>
                <w:rFonts w:eastAsia="Times New Roman" w:cstheme="minorHAnsi"/>
                <w:b/>
                <w:bCs/>
              </w:rPr>
            </w:pPr>
            <w:r w:rsidRPr="001E75D7">
              <w:rPr>
                <w:rFonts w:eastAsia="Times New Roman" w:cstheme="minorHAnsi"/>
                <w:b/>
                <w:bCs/>
              </w:rPr>
              <w:t>Status</w:t>
            </w:r>
          </w:p>
          <w:p w14:paraId="46482299" w14:textId="03ED9D86" w:rsidR="003E1654" w:rsidRPr="001E75D7" w:rsidRDefault="009C17C1" w:rsidP="00434B2C">
            <w:pPr>
              <w:jc w:val="center"/>
              <w:rPr>
                <w:rFonts w:eastAsia="Times New Roman" w:cstheme="minorHAnsi"/>
                <w:i/>
                <w:iCs/>
              </w:rPr>
            </w:pPr>
            <w:r w:rsidRPr="001E75D7">
              <w:rPr>
                <w:rFonts w:eastAsia="Times New Roman" w:cstheme="minorHAnsi"/>
                <w:i/>
                <w:iCs/>
              </w:rPr>
              <w:t>(</w:t>
            </w:r>
            <w:r w:rsidR="00D47FE8">
              <w:rPr>
                <w:rFonts w:eastAsia="Times New Roman" w:cstheme="minorHAnsi"/>
                <w:i/>
                <w:iCs/>
              </w:rPr>
              <w:t>m</w:t>
            </w:r>
            <w:r w:rsidRPr="001E75D7">
              <w:rPr>
                <w:rFonts w:eastAsia="Times New Roman" w:cstheme="minorHAnsi"/>
                <w:i/>
                <w:iCs/>
              </w:rPr>
              <w:t>et, unmet, partially met)</w:t>
            </w:r>
          </w:p>
        </w:tc>
        <w:tc>
          <w:tcPr>
            <w:tcW w:w="4860" w:type="dxa"/>
            <w:shd w:val="clear" w:color="auto" w:fill="F2F2F2" w:themeFill="background1" w:themeFillShade="F2"/>
            <w:vAlign w:val="center"/>
          </w:tcPr>
          <w:p w14:paraId="58641F3F" w14:textId="2030452E" w:rsidR="003E1654" w:rsidRPr="00D47FE8" w:rsidRDefault="003E1654" w:rsidP="00434B2C">
            <w:pPr>
              <w:jc w:val="center"/>
              <w:rPr>
                <w:rFonts w:eastAsia="Times New Roman" w:cstheme="minorHAnsi"/>
                <w:i/>
                <w:iCs/>
              </w:rPr>
            </w:pPr>
            <w:r w:rsidRPr="001E75D7">
              <w:rPr>
                <w:rFonts w:eastAsia="Times New Roman" w:cstheme="minorHAnsi"/>
                <w:b/>
                <w:bCs/>
              </w:rPr>
              <w:t>Description</w:t>
            </w:r>
            <w:r w:rsidR="00D47FE8">
              <w:rPr>
                <w:rFonts w:eastAsia="Times New Roman" w:cstheme="minorHAnsi"/>
                <w:b/>
                <w:bCs/>
              </w:rPr>
              <w:br/>
            </w:r>
            <w:r w:rsidR="00D47FE8">
              <w:rPr>
                <w:rFonts w:eastAsia="Times New Roman" w:cstheme="minorHAnsi"/>
                <w:i/>
                <w:iCs/>
              </w:rPr>
              <w:t>(examples to support status)</w:t>
            </w:r>
          </w:p>
        </w:tc>
      </w:tr>
      <w:tr w:rsidR="003E1654" w:rsidRPr="001E75D7" w14:paraId="01B0A880" w14:textId="77777777" w:rsidTr="00282388">
        <w:trPr>
          <w:trHeight w:hRule="exact" w:val="649"/>
        </w:trPr>
        <w:tc>
          <w:tcPr>
            <w:tcW w:w="5220" w:type="dxa"/>
            <w:vAlign w:val="center"/>
          </w:tcPr>
          <w:p w14:paraId="56CDA62B" w14:textId="1115EBD4" w:rsidR="003E1654" w:rsidRPr="001E75D7" w:rsidRDefault="003E1654" w:rsidP="00434B2C">
            <w:pPr>
              <w:tabs>
                <w:tab w:val="left" w:pos="508"/>
              </w:tabs>
              <w:spacing w:after="40"/>
              <w:contextualSpacing/>
              <w:rPr>
                <w:rFonts w:eastAsia="Times New Roman" w:cstheme="minorHAnsi"/>
              </w:rPr>
            </w:pPr>
            <w:r w:rsidRPr="001E75D7">
              <w:rPr>
                <w:rFonts w:eastAsia="Times New Roman" w:cstheme="minorHAnsi"/>
              </w:rPr>
              <w:t>Nutrition education materials are designed for older adults.</w:t>
            </w:r>
            <w:r w:rsidR="008E037C" w:rsidRPr="001E75D7">
              <w:rPr>
                <w:rFonts w:eastAsia="Times New Roman" w:cstheme="minorHAnsi"/>
              </w:rPr>
              <w:t xml:space="preserve"> </w:t>
            </w:r>
            <w:r w:rsidRPr="001E75D7">
              <w:rPr>
                <w:rFonts w:eastAsia="Times New Roman" w:cstheme="minorHAnsi"/>
              </w:rPr>
              <w:t>OAA §214(1)</w:t>
            </w:r>
          </w:p>
        </w:tc>
        <w:tc>
          <w:tcPr>
            <w:tcW w:w="2790" w:type="dxa"/>
            <w:vAlign w:val="center"/>
          </w:tcPr>
          <w:p w14:paraId="2A6CA1B4" w14:textId="77777777" w:rsidR="003E1654" w:rsidRPr="001E75D7" w:rsidRDefault="003E1654" w:rsidP="00434B2C">
            <w:pPr>
              <w:jc w:val="center"/>
              <w:rPr>
                <w:rFonts w:eastAsia="Times New Roman" w:cstheme="minorHAnsi"/>
                <w:b/>
                <w:bCs/>
              </w:rPr>
            </w:pPr>
          </w:p>
        </w:tc>
        <w:tc>
          <w:tcPr>
            <w:tcW w:w="4860" w:type="dxa"/>
            <w:vAlign w:val="center"/>
          </w:tcPr>
          <w:p w14:paraId="24844751" w14:textId="77777777" w:rsidR="003E1654" w:rsidRPr="001E75D7" w:rsidRDefault="003E1654" w:rsidP="00434B2C">
            <w:pPr>
              <w:jc w:val="center"/>
              <w:rPr>
                <w:rFonts w:eastAsia="Times New Roman" w:cstheme="minorHAnsi"/>
                <w:b/>
                <w:bCs/>
              </w:rPr>
            </w:pPr>
          </w:p>
        </w:tc>
      </w:tr>
      <w:tr w:rsidR="003E1654" w:rsidRPr="001E75D7" w14:paraId="7861780F" w14:textId="77777777" w:rsidTr="00282388">
        <w:trPr>
          <w:trHeight w:hRule="exact" w:val="720"/>
        </w:trPr>
        <w:tc>
          <w:tcPr>
            <w:tcW w:w="5220" w:type="dxa"/>
            <w:vAlign w:val="center"/>
          </w:tcPr>
          <w:p w14:paraId="47989CA0" w14:textId="18796392" w:rsidR="003E1654" w:rsidRPr="001E75D7" w:rsidRDefault="003E1654" w:rsidP="008E037C">
            <w:pPr>
              <w:tabs>
                <w:tab w:val="left" w:pos="508"/>
              </w:tabs>
              <w:spacing w:after="40"/>
              <w:contextualSpacing/>
              <w:rPr>
                <w:rFonts w:eastAsia="Times New Roman" w:cstheme="minorHAnsi"/>
              </w:rPr>
            </w:pPr>
            <w:r w:rsidRPr="001E75D7">
              <w:rPr>
                <w:rFonts w:eastAsia="Times New Roman" w:cstheme="minorHAnsi"/>
              </w:rPr>
              <w:t>Nutrition education is provided based on the needs of meal recipients.</w:t>
            </w:r>
            <w:r w:rsidR="008E037C" w:rsidRPr="001E75D7">
              <w:rPr>
                <w:rFonts w:eastAsia="Times New Roman" w:cstheme="minorHAnsi"/>
              </w:rPr>
              <w:t xml:space="preserve"> </w:t>
            </w:r>
            <w:r w:rsidRPr="001E75D7">
              <w:rPr>
                <w:rFonts w:eastAsia="Times New Roman" w:cstheme="minorHAnsi"/>
              </w:rPr>
              <w:t>OAA §331(3), §336(2) §339(J)</w:t>
            </w:r>
          </w:p>
        </w:tc>
        <w:tc>
          <w:tcPr>
            <w:tcW w:w="2790" w:type="dxa"/>
            <w:vAlign w:val="center"/>
          </w:tcPr>
          <w:p w14:paraId="44BD85F5" w14:textId="77777777" w:rsidR="003E1654" w:rsidRPr="001E75D7" w:rsidRDefault="003E1654" w:rsidP="00434B2C">
            <w:pPr>
              <w:jc w:val="center"/>
              <w:rPr>
                <w:rFonts w:eastAsia="Times New Roman" w:cstheme="minorHAnsi"/>
                <w:b/>
                <w:bCs/>
              </w:rPr>
            </w:pPr>
          </w:p>
        </w:tc>
        <w:tc>
          <w:tcPr>
            <w:tcW w:w="4860" w:type="dxa"/>
            <w:vAlign w:val="center"/>
          </w:tcPr>
          <w:p w14:paraId="35C8EE0F" w14:textId="77777777" w:rsidR="003E1654" w:rsidRPr="001E75D7" w:rsidRDefault="003E1654" w:rsidP="00434B2C">
            <w:pPr>
              <w:jc w:val="center"/>
              <w:rPr>
                <w:rFonts w:eastAsia="Times New Roman" w:cstheme="minorHAnsi"/>
                <w:b/>
                <w:bCs/>
              </w:rPr>
            </w:pPr>
          </w:p>
        </w:tc>
      </w:tr>
      <w:tr w:rsidR="003E1654" w:rsidRPr="001E75D7" w14:paraId="775EEF96" w14:textId="77777777" w:rsidTr="00282388">
        <w:trPr>
          <w:trHeight w:hRule="exact" w:val="1296"/>
        </w:trPr>
        <w:tc>
          <w:tcPr>
            <w:tcW w:w="5220" w:type="dxa"/>
            <w:vAlign w:val="center"/>
          </w:tcPr>
          <w:p w14:paraId="322975DF" w14:textId="56857E94" w:rsidR="003E1654" w:rsidRPr="001E75D7" w:rsidRDefault="003E1654" w:rsidP="008E037C">
            <w:pPr>
              <w:tabs>
                <w:tab w:val="left" w:pos="508"/>
              </w:tabs>
              <w:spacing w:after="40"/>
              <w:contextualSpacing/>
              <w:rPr>
                <w:rFonts w:eastAsia="Times New Roman" w:cstheme="minorHAnsi"/>
              </w:rPr>
            </w:pPr>
            <w:r w:rsidRPr="001E75D7">
              <w:rPr>
                <w:rFonts w:eastAsia="Times New Roman" w:cstheme="minorHAnsi"/>
              </w:rPr>
              <w:t>Nutrition education includes topics on nutrition, physical activity, and other activities to modify behavior and improve health literacy, including providing information on optimal nutrient intake. OAA §214(2)</w:t>
            </w:r>
          </w:p>
        </w:tc>
        <w:tc>
          <w:tcPr>
            <w:tcW w:w="2790" w:type="dxa"/>
            <w:vAlign w:val="center"/>
          </w:tcPr>
          <w:p w14:paraId="7B9BB92F" w14:textId="77777777" w:rsidR="003E1654" w:rsidRPr="001E75D7" w:rsidRDefault="003E1654" w:rsidP="00434B2C">
            <w:pPr>
              <w:jc w:val="center"/>
              <w:rPr>
                <w:rFonts w:eastAsia="Times New Roman" w:cstheme="minorHAnsi"/>
                <w:b/>
                <w:bCs/>
              </w:rPr>
            </w:pPr>
          </w:p>
        </w:tc>
        <w:tc>
          <w:tcPr>
            <w:tcW w:w="4860" w:type="dxa"/>
            <w:vAlign w:val="center"/>
          </w:tcPr>
          <w:p w14:paraId="201C43BA" w14:textId="77777777" w:rsidR="003E1654" w:rsidRPr="001E75D7" w:rsidRDefault="003E1654" w:rsidP="00434B2C">
            <w:pPr>
              <w:jc w:val="center"/>
              <w:rPr>
                <w:rFonts w:eastAsia="Times New Roman" w:cstheme="minorHAnsi"/>
                <w:b/>
                <w:bCs/>
              </w:rPr>
            </w:pPr>
          </w:p>
        </w:tc>
      </w:tr>
      <w:tr w:rsidR="003E1654" w:rsidRPr="001E75D7" w14:paraId="16FA77CE" w14:textId="77777777" w:rsidTr="00282388">
        <w:trPr>
          <w:trHeight w:hRule="exact" w:val="720"/>
          <w:tblHeader/>
        </w:trPr>
        <w:tc>
          <w:tcPr>
            <w:tcW w:w="5220" w:type="dxa"/>
            <w:vAlign w:val="center"/>
          </w:tcPr>
          <w:p w14:paraId="101A5677" w14:textId="556BE8EE" w:rsidR="003E1654" w:rsidRPr="001E75D7" w:rsidRDefault="003E1654" w:rsidP="00434B2C">
            <w:pPr>
              <w:tabs>
                <w:tab w:val="left" w:pos="508"/>
              </w:tabs>
              <w:spacing w:after="40"/>
              <w:contextualSpacing/>
              <w:rPr>
                <w:rFonts w:eastAsia="Times New Roman" w:cstheme="minorHAnsi"/>
              </w:rPr>
            </w:pPr>
            <w:r w:rsidRPr="001E75D7">
              <w:rPr>
                <w:rFonts w:eastAsia="Times New Roman" w:cstheme="minorHAnsi"/>
              </w:rPr>
              <w:t>Nutrition education is consistent with the approved Area Plan.</w:t>
            </w:r>
            <w:r w:rsidR="008E037C" w:rsidRPr="001E75D7">
              <w:rPr>
                <w:rFonts w:eastAsia="Times New Roman" w:cstheme="minorHAnsi"/>
              </w:rPr>
              <w:t xml:space="preserve"> </w:t>
            </w:r>
            <w:r w:rsidRPr="001E75D7">
              <w:rPr>
                <w:rFonts w:eastAsia="Times New Roman" w:cstheme="minorHAnsi"/>
              </w:rPr>
              <w:t>OAA §306</w:t>
            </w:r>
          </w:p>
        </w:tc>
        <w:tc>
          <w:tcPr>
            <w:tcW w:w="2790" w:type="dxa"/>
            <w:vAlign w:val="center"/>
          </w:tcPr>
          <w:p w14:paraId="5D73C834" w14:textId="77777777" w:rsidR="003E1654" w:rsidRPr="001E75D7" w:rsidRDefault="003E1654" w:rsidP="00434B2C">
            <w:pPr>
              <w:jc w:val="center"/>
              <w:rPr>
                <w:rFonts w:eastAsia="Times New Roman" w:cstheme="minorHAnsi"/>
                <w:b/>
                <w:bCs/>
              </w:rPr>
            </w:pPr>
          </w:p>
        </w:tc>
        <w:tc>
          <w:tcPr>
            <w:tcW w:w="4860" w:type="dxa"/>
            <w:vAlign w:val="center"/>
          </w:tcPr>
          <w:p w14:paraId="3DD45CD7" w14:textId="77777777" w:rsidR="003E1654" w:rsidRPr="001E75D7" w:rsidRDefault="003E1654" w:rsidP="00434B2C">
            <w:pPr>
              <w:jc w:val="center"/>
              <w:rPr>
                <w:rFonts w:eastAsia="Times New Roman" w:cstheme="minorHAnsi"/>
                <w:b/>
                <w:bCs/>
              </w:rPr>
            </w:pPr>
          </w:p>
        </w:tc>
      </w:tr>
      <w:tr w:rsidR="003E1654" w:rsidRPr="001E75D7" w14:paraId="071528AF" w14:textId="77777777" w:rsidTr="00282388">
        <w:trPr>
          <w:trHeight w:val="2060"/>
        </w:trPr>
        <w:tc>
          <w:tcPr>
            <w:tcW w:w="5220" w:type="dxa"/>
            <w:vAlign w:val="center"/>
          </w:tcPr>
          <w:p w14:paraId="053B6E12" w14:textId="19DF5D57" w:rsidR="003E1654" w:rsidRPr="001E75D7" w:rsidRDefault="003E1654" w:rsidP="00434B2C">
            <w:pPr>
              <w:pStyle w:val="CommentText"/>
              <w:rPr>
                <w:rFonts w:eastAsia="Times New Roman" w:cstheme="minorHAnsi"/>
                <w:sz w:val="22"/>
                <w:szCs w:val="22"/>
              </w:rPr>
            </w:pPr>
            <w:r w:rsidRPr="001E75D7">
              <w:rPr>
                <w:rFonts w:eastAsia="Times New Roman" w:cstheme="minorHAnsi"/>
                <w:sz w:val="22"/>
                <w:szCs w:val="22"/>
              </w:rPr>
              <w:t xml:space="preserve">Nutrition education is provided to OAA participants and caregivers using information dissemination, instruction, or training with the intent to support food, nutrition, and physical activity choices and behaviors (related to nutritional status) </w:t>
            </w:r>
            <w:proofErr w:type="gramStart"/>
            <w:r w:rsidRPr="001E75D7">
              <w:rPr>
                <w:rFonts w:eastAsia="Times New Roman" w:cstheme="minorHAnsi"/>
                <w:sz w:val="22"/>
                <w:szCs w:val="22"/>
              </w:rPr>
              <w:t>in order to</w:t>
            </w:r>
            <w:proofErr w:type="gramEnd"/>
            <w:r w:rsidRPr="001E75D7">
              <w:rPr>
                <w:rFonts w:eastAsia="Times New Roman" w:cstheme="minorHAnsi"/>
                <w:sz w:val="22"/>
                <w:szCs w:val="22"/>
              </w:rPr>
              <w:t xml:space="preserve"> maintain or improve health and address nutrition-related conditions</w:t>
            </w:r>
            <w:r w:rsidR="001E75D7" w:rsidRPr="001E75D7">
              <w:rPr>
                <w:rFonts w:eastAsia="Times New Roman" w:cstheme="minorHAnsi"/>
                <w:sz w:val="22"/>
                <w:szCs w:val="22"/>
              </w:rPr>
              <w:t xml:space="preserve">. </w:t>
            </w:r>
            <w:hyperlink r:id="rId11" w:history="1">
              <w:r w:rsidR="00D51117" w:rsidRPr="006801B6">
                <w:rPr>
                  <w:rStyle w:val="Hyperlink"/>
                  <w:rFonts w:eastAsia="Times New Roman" w:cstheme="minorHAnsi"/>
                  <w:sz w:val="22"/>
                  <w:szCs w:val="22"/>
                </w:rPr>
                <w:t>State Performance Report (SPR)</w:t>
              </w:r>
            </w:hyperlink>
          </w:p>
        </w:tc>
        <w:tc>
          <w:tcPr>
            <w:tcW w:w="2790" w:type="dxa"/>
          </w:tcPr>
          <w:p w14:paraId="53FA6EBF" w14:textId="77777777" w:rsidR="003E1654" w:rsidRPr="001E75D7" w:rsidRDefault="003E1654" w:rsidP="00434B2C">
            <w:pPr>
              <w:rPr>
                <w:rFonts w:eastAsia="Times New Roman" w:cstheme="minorHAnsi"/>
                <w:b/>
                <w:bCs/>
              </w:rPr>
            </w:pPr>
          </w:p>
        </w:tc>
        <w:tc>
          <w:tcPr>
            <w:tcW w:w="4860" w:type="dxa"/>
          </w:tcPr>
          <w:p w14:paraId="497776CB" w14:textId="77777777" w:rsidR="003E1654" w:rsidRPr="001E75D7" w:rsidRDefault="003E1654" w:rsidP="00434B2C">
            <w:pPr>
              <w:pStyle w:val="CommentText"/>
              <w:rPr>
                <w:rFonts w:eastAsia="Times New Roman" w:cstheme="minorHAnsi"/>
                <w:b/>
                <w:bCs/>
                <w:u w:val="single"/>
              </w:rPr>
            </w:pPr>
          </w:p>
        </w:tc>
      </w:tr>
      <w:tr w:rsidR="003E1654" w:rsidRPr="00530F95" w14:paraId="550A1AF6" w14:textId="77777777" w:rsidTr="00356AA8">
        <w:trPr>
          <w:trHeight w:val="1196"/>
        </w:trPr>
        <w:tc>
          <w:tcPr>
            <w:tcW w:w="5220" w:type="dxa"/>
            <w:vAlign w:val="center"/>
          </w:tcPr>
          <w:p w14:paraId="2A57E8B8" w14:textId="595DFB20" w:rsidR="003E1654" w:rsidRPr="00BA2715" w:rsidRDefault="003E1654" w:rsidP="00434B2C">
            <w:pPr>
              <w:tabs>
                <w:tab w:val="left" w:pos="508"/>
              </w:tabs>
              <w:spacing w:after="40"/>
              <w:contextualSpacing/>
              <w:rPr>
                <w:rFonts w:ascii="Calibri" w:eastAsia="Times New Roman" w:hAnsi="Calibri" w:cs="Calibri"/>
              </w:rPr>
            </w:pPr>
            <w:r>
              <w:rPr>
                <w:shd w:val="clear" w:color="auto" w:fill="FFFFFF"/>
              </w:rPr>
              <w:lastRenderedPageBreak/>
              <w:t xml:space="preserve">Nutrition education content is consistent with the Dietary Guidelines for Americans; is </w:t>
            </w:r>
            <w:r>
              <w:rPr>
                <w:rFonts w:cs="Calibri"/>
                <w:color w:val="000000"/>
              </w:rPr>
              <w:t>accurate, culturally sensitive, regionally appropriate, and considers personal preferences.</w:t>
            </w:r>
            <w:r w:rsidR="00D51117">
              <w:rPr>
                <w:rFonts w:cs="Calibri"/>
                <w:color w:val="000000"/>
              </w:rPr>
              <w:t xml:space="preserve"> SPR</w:t>
            </w:r>
          </w:p>
        </w:tc>
        <w:tc>
          <w:tcPr>
            <w:tcW w:w="2790" w:type="dxa"/>
          </w:tcPr>
          <w:p w14:paraId="0987B0CA" w14:textId="77777777" w:rsidR="003E1654" w:rsidRPr="00530F95" w:rsidRDefault="003E1654" w:rsidP="00434B2C">
            <w:pPr>
              <w:rPr>
                <w:rFonts w:ascii="Calibri" w:eastAsia="Times New Roman" w:hAnsi="Calibri" w:cs="Calibri"/>
                <w:b/>
                <w:bCs/>
              </w:rPr>
            </w:pPr>
          </w:p>
        </w:tc>
        <w:tc>
          <w:tcPr>
            <w:tcW w:w="4860" w:type="dxa"/>
          </w:tcPr>
          <w:p w14:paraId="3595F5F9" w14:textId="77777777" w:rsidR="003E1654" w:rsidRPr="00530F95" w:rsidRDefault="003E1654" w:rsidP="00434B2C">
            <w:pPr>
              <w:rPr>
                <w:rFonts w:ascii="Calibri" w:eastAsia="Times New Roman" w:hAnsi="Calibri" w:cs="Calibri"/>
                <w:b/>
                <w:bCs/>
                <w:u w:val="single"/>
              </w:rPr>
            </w:pPr>
          </w:p>
        </w:tc>
      </w:tr>
      <w:tr w:rsidR="003E1654" w:rsidRPr="00530F95" w14:paraId="2F98B540" w14:textId="77777777" w:rsidTr="00356AA8">
        <w:trPr>
          <w:trHeight w:val="854"/>
        </w:trPr>
        <w:tc>
          <w:tcPr>
            <w:tcW w:w="5220" w:type="dxa"/>
            <w:vAlign w:val="center"/>
          </w:tcPr>
          <w:p w14:paraId="7FB93078" w14:textId="227BDF9F" w:rsidR="003E1654" w:rsidRDefault="003E1654" w:rsidP="00434B2C">
            <w:pPr>
              <w:tabs>
                <w:tab w:val="left" w:pos="508"/>
              </w:tabs>
              <w:spacing w:after="40"/>
              <w:contextualSpacing/>
              <w:rPr>
                <w:shd w:val="clear" w:color="auto" w:fill="FFFFFF"/>
              </w:rPr>
            </w:pPr>
            <w:r>
              <w:rPr>
                <w:rFonts w:ascii="Calibri" w:eastAsia="Times New Roman" w:hAnsi="Calibri" w:cs="Calibri"/>
              </w:rPr>
              <w:t>N</w:t>
            </w:r>
            <w:r w:rsidRPr="00BA2715">
              <w:rPr>
                <w:rFonts w:ascii="Calibri" w:eastAsia="Times New Roman" w:hAnsi="Calibri" w:cs="Calibri"/>
              </w:rPr>
              <w:t xml:space="preserve">utrition education is overseen by a </w:t>
            </w:r>
            <w:r>
              <w:rPr>
                <w:rFonts w:ascii="Calibri" w:eastAsia="Times New Roman" w:hAnsi="Calibri" w:cs="Calibri"/>
              </w:rPr>
              <w:t>r</w:t>
            </w:r>
            <w:r w:rsidRPr="00BA2715">
              <w:rPr>
                <w:rFonts w:ascii="Calibri" w:eastAsia="Times New Roman" w:hAnsi="Calibri" w:cs="Calibri"/>
              </w:rPr>
              <w:t xml:space="preserve">egistered </w:t>
            </w:r>
            <w:r>
              <w:rPr>
                <w:rFonts w:ascii="Calibri" w:eastAsia="Times New Roman" w:hAnsi="Calibri" w:cs="Calibri"/>
              </w:rPr>
              <w:t>d</w:t>
            </w:r>
            <w:r w:rsidRPr="00BA2715">
              <w:rPr>
                <w:rFonts w:ascii="Calibri" w:eastAsia="Times New Roman" w:hAnsi="Calibri" w:cs="Calibri"/>
              </w:rPr>
              <w:t>ietitian or person of comparable expertise</w:t>
            </w:r>
            <w:r>
              <w:rPr>
                <w:rFonts w:ascii="Calibri" w:eastAsia="Times New Roman" w:hAnsi="Calibri" w:cs="Calibri"/>
              </w:rPr>
              <w:t>.</w:t>
            </w:r>
            <w:r w:rsidR="00D51117">
              <w:rPr>
                <w:rFonts w:ascii="Calibri" w:eastAsia="Times New Roman" w:hAnsi="Calibri" w:cs="Calibri"/>
              </w:rPr>
              <w:t xml:space="preserve"> SPR</w:t>
            </w:r>
          </w:p>
        </w:tc>
        <w:tc>
          <w:tcPr>
            <w:tcW w:w="2790" w:type="dxa"/>
          </w:tcPr>
          <w:p w14:paraId="7E857B61" w14:textId="77777777" w:rsidR="003E1654" w:rsidRPr="00530F95" w:rsidRDefault="003E1654" w:rsidP="00434B2C">
            <w:pPr>
              <w:rPr>
                <w:rFonts w:ascii="Calibri" w:eastAsia="Times New Roman" w:hAnsi="Calibri" w:cs="Calibri"/>
                <w:b/>
                <w:bCs/>
              </w:rPr>
            </w:pPr>
          </w:p>
        </w:tc>
        <w:tc>
          <w:tcPr>
            <w:tcW w:w="4860" w:type="dxa"/>
          </w:tcPr>
          <w:p w14:paraId="61DB27F4" w14:textId="77777777" w:rsidR="003E1654" w:rsidRPr="00530F95" w:rsidRDefault="003E1654" w:rsidP="00434B2C">
            <w:pPr>
              <w:rPr>
                <w:rFonts w:ascii="Calibri" w:eastAsia="Times New Roman" w:hAnsi="Calibri" w:cs="Calibri"/>
                <w:b/>
                <w:bCs/>
                <w:u w:val="single"/>
              </w:rPr>
            </w:pPr>
          </w:p>
        </w:tc>
      </w:tr>
      <w:tr w:rsidR="003E1654" w:rsidRPr="00530F95" w14:paraId="4F4F8992" w14:textId="77777777" w:rsidTr="00356AA8">
        <w:trPr>
          <w:trHeight w:val="701"/>
        </w:trPr>
        <w:tc>
          <w:tcPr>
            <w:tcW w:w="5220" w:type="dxa"/>
            <w:vAlign w:val="center"/>
          </w:tcPr>
          <w:p w14:paraId="106E2A86" w14:textId="68E129BB" w:rsidR="003E1654" w:rsidRPr="00BA2715" w:rsidRDefault="003E1654" w:rsidP="00434B2C">
            <w:pPr>
              <w:tabs>
                <w:tab w:val="left" w:pos="508"/>
              </w:tabs>
              <w:spacing w:after="40"/>
              <w:contextualSpacing/>
              <w:rPr>
                <w:rFonts w:ascii="Calibri" w:eastAsia="Times New Roman" w:hAnsi="Calibri" w:cs="Calibri"/>
              </w:rPr>
            </w:pPr>
            <w:r w:rsidRPr="00BA2715">
              <w:rPr>
                <w:rFonts w:ascii="Calibri" w:eastAsia="Times New Roman" w:hAnsi="Calibri" w:cs="Calibri"/>
              </w:rPr>
              <w:t>Nutrition education</w:t>
            </w:r>
            <w:r>
              <w:rPr>
                <w:rFonts w:ascii="Calibri" w:eastAsia="Times New Roman" w:hAnsi="Calibri" w:cs="Calibri"/>
              </w:rPr>
              <w:t xml:space="preserve"> sessions are accurately</w:t>
            </w:r>
            <w:r w:rsidRPr="00BA2715">
              <w:rPr>
                <w:rFonts w:ascii="Calibri" w:eastAsia="Times New Roman" w:hAnsi="Calibri" w:cs="Calibri"/>
              </w:rPr>
              <w:t xml:space="preserve"> </w:t>
            </w:r>
            <w:r>
              <w:rPr>
                <w:rFonts w:ascii="Calibri" w:eastAsia="Times New Roman" w:hAnsi="Calibri" w:cs="Calibri"/>
              </w:rPr>
              <w:t>reported.</w:t>
            </w:r>
            <w:r w:rsidR="000E20B8">
              <w:rPr>
                <w:rFonts w:ascii="Calibri" w:eastAsia="Times New Roman" w:hAnsi="Calibri" w:cs="Calibri"/>
              </w:rPr>
              <w:t xml:space="preserve">  SPR</w:t>
            </w:r>
            <w:r w:rsidR="00DC2CAD">
              <w:rPr>
                <w:rFonts w:ascii="Calibri" w:eastAsia="Times New Roman" w:hAnsi="Calibri" w:cs="Calibri"/>
              </w:rPr>
              <w:t>,</w:t>
            </w:r>
            <w:r w:rsidR="000E20B8">
              <w:rPr>
                <w:rFonts w:ascii="Calibri" w:eastAsia="Times New Roman" w:hAnsi="Calibri" w:cs="Calibri"/>
              </w:rPr>
              <w:t xml:space="preserve"> OAA §307</w:t>
            </w:r>
          </w:p>
        </w:tc>
        <w:tc>
          <w:tcPr>
            <w:tcW w:w="2790" w:type="dxa"/>
          </w:tcPr>
          <w:p w14:paraId="6D621B16" w14:textId="77777777" w:rsidR="003E1654" w:rsidRPr="00530F95" w:rsidRDefault="003E1654" w:rsidP="00434B2C">
            <w:pPr>
              <w:rPr>
                <w:rFonts w:ascii="Calibri" w:eastAsia="Times New Roman" w:hAnsi="Calibri" w:cs="Calibri"/>
                <w:b/>
                <w:bCs/>
              </w:rPr>
            </w:pPr>
          </w:p>
        </w:tc>
        <w:tc>
          <w:tcPr>
            <w:tcW w:w="4860" w:type="dxa"/>
          </w:tcPr>
          <w:p w14:paraId="67B614F9" w14:textId="77777777" w:rsidR="003E1654" w:rsidRPr="00530F95" w:rsidRDefault="003E1654" w:rsidP="00434B2C">
            <w:pPr>
              <w:rPr>
                <w:rFonts w:ascii="Calibri" w:eastAsia="Times New Roman" w:hAnsi="Calibri" w:cs="Calibri"/>
                <w:b/>
                <w:bCs/>
                <w:u w:val="single"/>
              </w:rPr>
            </w:pPr>
          </w:p>
        </w:tc>
      </w:tr>
    </w:tbl>
    <w:p w14:paraId="01E5D705" w14:textId="77777777" w:rsidR="00356AA8" w:rsidRDefault="00356AA8">
      <w:pPr>
        <w:rPr>
          <w:rFonts w:eastAsiaTheme="majorEastAsia" w:cstheme="minorHAnsi"/>
          <w:b/>
          <w:bCs/>
          <w:color w:val="075190"/>
          <w:sz w:val="28"/>
          <w:szCs w:val="28"/>
        </w:rPr>
      </w:pPr>
    </w:p>
    <w:tbl>
      <w:tblPr>
        <w:tblStyle w:val="TableGrid"/>
        <w:tblW w:w="12870" w:type="dxa"/>
        <w:tblInd w:w="-5" w:type="dxa"/>
        <w:tblLook w:val="04A0" w:firstRow="1" w:lastRow="0" w:firstColumn="1" w:lastColumn="0" w:noHBand="0" w:noVBand="1"/>
      </w:tblPr>
      <w:tblGrid>
        <w:gridCol w:w="5220"/>
        <w:gridCol w:w="2790"/>
        <w:gridCol w:w="4860"/>
      </w:tblGrid>
      <w:tr w:rsidR="00356AA8" w:rsidRPr="00530F95" w14:paraId="60C4419B" w14:textId="77777777" w:rsidTr="00FE4B48">
        <w:trPr>
          <w:trHeight w:hRule="exact" w:val="720"/>
        </w:trPr>
        <w:tc>
          <w:tcPr>
            <w:tcW w:w="5220" w:type="dxa"/>
            <w:shd w:val="clear" w:color="auto" w:fill="F2F2F2" w:themeFill="background1" w:themeFillShade="F2"/>
            <w:vAlign w:val="center"/>
          </w:tcPr>
          <w:p w14:paraId="3BB14B36" w14:textId="12D5D696" w:rsidR="00356AA8" w:rsidRPr="00530F95" w:rsidRDefault="00356AA8" w:rsidP="00434B2C">
            <w:pPr>
              <w:tabs>
                <w:tab w:val="left" w:pos="508"/>
              </w:tabs>
              <w:spacing w:after="40"/>
              <w:contextualSpacing/>
              <w:rPr>
                <w:rFonts w:ascii="Calibri" w:eastAsia="Times New Roman" w:hAnsi="Calibri" w:cs="Calibri"/>
                <w:b/>
                <w:bCs/>
              </w:rPr>
            </w:pPr>
            <w:r>
              <w:rPr>
                <w:rFonts w:ascii="Calibri" w:eastAsia="Times New Roman" w:hAnsi="Calibri" w:cs="Calibri"/>
                <w:b/>
                <w:bCs/>
              </w:rPr>
              <w:t>State Requirements</w:t>
            </w:r>
          </w:p>
        </w:tc>
        <w:tc>
          <w:tcPr>
            <w:tcW w:w="2790" w:type="dxa"/>
            <w:shd w:val="clear" w:color="auto" w:fill="F2F2F2" w:themeFill="background1" w:themeFillShade="F2"/>
            <w:vAlign w:val="center"/>
          </w:tcPr>
          <w:p w14:paraId="1B9F28F7" w14:textId="77777777" w:rsidR="00356AA8" w:rsidRPr="001E75D7" w:rsidRDefault="00356AA8" w:rsidP="00434B2C">
            <w:pPr>
              <w:jc w:val="center"/>
              <w:rPr>
                <w:rFonts w:eastAsia="Times New Roman" w:cstheme="minorHAnsi"/>
                <w:b/>
                <w:bCs/>
              </w:rPr>
            </w:pPr>
            <w:r w:rsidRPr="001E75D7">
              <w:rPr>
                <w:rFonts w:eastAsia="Times New Roman" w:cstheme="minorHAnsi"/>
                <w:b/>
                <w:bCs/>
              </w:rPr>
              <w:t>Status</w:t>
            </w:r>
          </w:p>
          <w:p w14:paraId="43F3571C" w14:textId="48E931DD" w:rsidR="00356AA8" w:rsidRPr="00530F95" w:rsidRDefault="00356AA8" w:rsidP="00434B2C">
            <w:pPr>
              <w:spacing w:line="259" w:lineRule="auto"/>
              <w:jc w:val="center"/>
              <w:rPr>
                <w:rFonts w:ascii="Calibri" w:eastAsia="Times New Roman" w:hAnsi="Calibri" w:cs="Calibri"/>
                <w:b/>
                <w:bCs/>
              </w:rPr>
            </w:pPr>
            <w:r w:rsidRPr="001E75D7">
              <w:rPr>
                <w:rFonts w:eastAsia="Times New Roman" w:cstheme="minorHAnsi"/>
                <w:i/>
                <w:iCs/>
              </w:rPr>
              <w:t>(</w:t>
            </w:r>
            <w:r w:rsidR="00D47FE8">
              <w:rPr>
                <w:rFonts w:eastAsia="Times New Roman" w:cstheme="minorHAnsi"/>
                <w:i/>
                <w:iCs/>
              </w:rPr>
              <w:t>m</w:t>
            </w:r>
            <w:r w:rsidRPr="001E75D7">
              <w:rPr>
                <w:rFonts w:eastAsia="Times New Roman" w:cstheme="minorHAnsi"/>
                <w:i/>
                <w:iCs/>
              </w:rPr>
              <w:t>et, unmet, partially met)</w:t>
            </w:r>
          </w:p>
        </w:tc>
        <w:tc>
          <w:tcPr>
            <w:tcW w:w="4860" w:type="dxa"/>
            <w:shd w:val="clear" w:color="auto" w:fill="F2F2F2" w:themeFill="background1" w:themeFillShade="F2"/>
            <w:vAlign w:val="center"/>
          </w:tcPr>
          <w:p w14:paraId="69619CAB" w14:textId="6838082C" w:rsidR="00356AA8" w:rsidRPr="00530F95" w:rsidRDefault="00D47FE8" w:rsidP="00434B2C">
            <w:pPr>
              <w:spacing w:line="259" w:lineRule="auto"/>
              <w:jc w:val="center"/>
              <w:rPr>
                <w:rFonts w:ascii="Calibri" w:eastAsia="Times New Roman" w:hAnsi="Calibri" w:cs="Calibri"/>
                <w:b/>
                <w:bCs/>
              </w:rPr>
            </w:pPr>
            <w:r w:rsidRPr="001E75D7">
              <w:rPr>
                <w:rFonts w:eastAsia="Times New Roman" w:cstheme="minorHAnsi"/>
                <w:b/>
                <w:bCs/>
              </w:rPr>
              <w:t>Description</w:t>
            </w:r>
            <w:r>
              <w:rPr>
                <w:rFonts w:eastAsia="Times New Roman" w:cstheme="minorHAnsi"/>
                <w:b/>
                <w:bCs/>
              </w:rPr>
              <w:br/>
            </w:r>
            <w:r>
              <w:rPr>
                <w:rFonts w:eastAsia="Times New Roman" w:cstheme="minorHAnsi"/>
                <w:i/>
                <w:iCs/>
              </w:rPr>
              <w:t>(examples to support status)</w:t>
            </w:r>
          </w:p>
        </w:tc>
      </w:tr>
      <w:tr w:rsidR="00356AA8" w:rsidRPr="00530F95" w14:paraId="6353B5B1" w14:textId="77777777" w:rsidTr="00434B2C">
        <w:trPr>
          <w:trHeight w:val="1196"/>
        </w:trPr>
        <w:tc>
          <w:tcPr>
            <w:tcW w:w="5220" w:type="dxa"/>
            <w:vAlign w:val="center"/>
          </w:tcPr>
          <w:p w14:paraId="6415D051" w14:textId="073FA4E2" w:rsidR="00356AA8" w:rsidRPr="00B96E73" w:rsidRDefault="0080342A" w:rsidP="00434B2C">
            <w:pPr>
              <w:tabs>
                <w:tab w:val="left" w:pos="508"/>
              </w:tabs>
              <w:spacing w:after="40"/>
              <w:contextualSpacing/>
              <w:rPr>
                <w:rFonts w:ascii="Calibri" w:eastAsia="Times New Roman" w:hAnsi="Calibri" w:cs="Calibri"/>
                <w:highlight w:val="lightGray"/>
              </w:rPr>
            </w:pPr>
            <w:r w:rsidRPr="00B96E73">
              <w:rPr>
                <w:highlight w:val="lightGray"/>
              </w:rPr>
              <w:t>[Enter state-specific requirements here (</w:t>
            </w:r>
            <w:hyperlink w:anchor="_State_Nutrition_Education" w:history="1">
              <w:r w:rsidRPr="00B96E73">
                <w:rPr>
                  <w:rStyle w:val="Hyperlink"/>
                  <w:rFonts w:ascii="Calibri" w:eastAsia="Times New Roman" w:hAnsi="Calibri" w:cs="Calibri"/>
                  <w:highlight w:val="lightGray"/>
                </w:rPr>
                <w:t>s</w:t>
              </w:r>
              <w:r w:rsidR="00326EC8" w:rsidRPr="00B96E73">
                <w:rPr>
                  <w:rStyle w:val="Hyperlink"/>
                  <w:rFonts w:ascii="Calibri" w:eastAsia="Times New Roman" w:hAnsi="Calibri" w:cs="Calibri"/>
                  <w:highlight w:val="lightGray"/>
                </w:rPr>
                <w:t xml:space="preserve">ee </w:t>
              </w:r>
              <w:r w:rsidR="00B96E73" w:rsidRPr="00B96E73">
                <w:rPr>
                  <w:rStyle w:val="Hyperlink"/>
                  <w:rFonts w:ascii="Calibri" w:eastAsia="Times New Roman" w:hAnsi="Calibri" w:cs="Calibri"/>
                  <w:highlight w:val="lightGray"/>
                </w:rPr>
                <w:t>related information</w:t>
              </w:r>
            </w:hyperlink>
            <w:r w:rsidR="00B96E73" w:rsidRPr="00B96E73">
              <w:rPr>
                <w:rStyle w:val="Hyperlink"/>
                <w:rFonts w:ascii="Calibri" w:eastAsia="Times New Roman" w:hAnsi="Calibri" w:cs="Calibri"/>
                <w:highlight w:val="lightGray"/>
              </w:rPr>
              <w:t>)</w:t>
            </w:r>
            <w:r w:rsidRPr="00B96E73">
              <w:rPr>
                <w:rStyle w:val="Hyperlink"/>
                <w:rFonts w:ascii="Calibri" w:eastAsia="Times New Roman" w:hAnsi="Calibri" w:cs="Calibri"/>
                <w:highlight w:val="lightGray"/>
              </w:rPr>
              <w:t>]</w:t>
            </w:r>
          </w:p>
        </w:tc>
        <w:tc>
          <w:tcPr>
            <w:tcW w:w="2790" w:type="dxa"/>
          </w:tcPr>
          <w:p w14:paraId="33E59AAE" w14:textId="77777777" w:rsidR="00356AA8" w:rsidRPr="00530F95" w:rsidRDefault="00356AA8" w:rsidP="00434B2C">
            <w:pPr>
              <w:rPr>
                <w:rFonts w:ascii="Calibri" w:eastAsia="Times New Roman" w:hAnsi="Calibri" w:cs="Calibri"/>
                <w:b/>
                <w:bCs/>
              </w:rPr>
            </w:pPr>
          </w:p>
        </w:tc>
        <w:tc>
          <w:tcPr>
            <w:tcW w:w="4860" w:type="dxa"/>
          </w:tcPr>
          <w:p w14:paraId="0A6BC43B" w14:textId="77777777" w:rsidR="00356AA8" w:rsidRPr="00530F95" w:rsidRDefault="00356AA8" w:rsidP="00434B2C">
            <w:pPr>
              <w:rPr>
                <w:rFonts w:ascii="Calibri" w:eastAsia="Times New Roman" w:hAnsi="Calibri" w:cs="Calibri"/>
                <w:b/>
                <w:bCs/>
                <w:u w:val="single"/>
              </w:rPr>
            </w:pPr>
          </w:p>
        </w:tc>
      </w:tr>
    </w:tbl>
    <w:p w14:paraId="7D08297D" w14:textId="587BCF0E" w:rsidR="00676BB8" w:rsidRPr="00ED68F8" w:rsidRDefault="00676BB8" w:rsidP="00FE4B48">
      <w:pPr>
        <w:pStyle w:val="Heading2"/>
        <w:spacing w:before="480"/>
        <w:rPr>
          <w:rFonts w:eastAsiaTheme="majorEastAsia" w:cstheme="minorHAnsi"/>
          <w:sz w:val="28"/>
          <w:szCs w:val="28"/>
        </w:rPr>
      </w:pPr>
      <w:r>
        <w:t>Summary of Findings</w:t>
      </w:r>
    </w:p>
    <w:p w14:paraId="702413E0" w14:textId="499AF9F9" w:rsidR="00676BB8" w:rsidRDefault="00643B57" w:rsidP="00676BB8">
      <w:r w:rsidRPr="00643B57">
        <w:rPr>
          <w:highlight w:val="lightGray"/>
        </w:rPr>
        <w:t>[</w:t>
      </w:r>
      <w:r w:rsidR="00F73EAA" w:rsidRPr="00643B57">
        <w:rPr>
          <w:highlight w:val="lightGray"/>
        </w:rPr>
        <w:t>Describe findings in brief here</w:t>
      </w:r>
      <w:r w:rsidRPr="00643B57">
        <w:rPr>
          <w:highlight w:val="lightGray"/>
        </w:rPr>
        <w:t>]</w:t>
      </w:r>
    </w:p>
    <w:p w14:paraId="3644E12E" w14:textId="77777777" w:rsidR="00AD014F" w:rsidRDefault="00AD014F" w:rsidP="00F73EAA">
      <w:pPr>
        <w:pStyle w:val="Heading2"/>
      </w:pPr>
    </w:p>
    <w:p w14:paraId="4089143D" w14:textId="36AD6D3F" w:rsidR="00676BB8" w:rsidRDefault="00676BB8" w:rsidP="00F73EAA">
      <w:pPr>
        <w:pStyle w:val="Heading2"/>
      </w:pPr>
      <w:r>
        <w:t>Best Practices</w:t>
      </w:r>
    </w:p>
    <w:p w14:paraId="41EFB79F" w14:textId="65061C7D" w:rsidR="00F73EAA" w:rsidRDefault="00B96E73" w:rsidP="00676BB8">
      <w:r w:rsidRPr="00B96E73">
        <w:rPr>
          <w:highlight w:val="lightGray"/>
        </w:rPr>
        <w:t>[</w:t>
      </w:r>
      <w:r w:rsidR="007B7DD7" w:rsidRPr="00B96E73">
        <w:rPr>
          <w:highlight w:val="lightGray"/>
        </w:rPr>
        <w:t>Describe promising practices discovered</w:t>
      </w:r>
      <w:r w:rsidRPr="00B96E73">
        <w:rPr>
          <w:highlight w:val="lightGray"/>
        </w:rPr>
        <w:t>]</w:t>
      </w:r>
    </w:p>
    <w:p w14:paraId="32779BA2" w14:textId="77777777" w:rsidR="00AD014F" w:rsidRDefault="00AD014F" w:rsidP="00F73EAA">
      <w:pPr>
        <w:pStyle w:val="Heading2"/>
      </w:pPr>
    </w:p>
    <w:p w14:paraId="795779A9" w14:textId="0B7F6CA5" w:rsidR="00676BB8" w:rsidRDefault="00676BB8" w:rsidP="00F73EAA">
      <w:pPr>
        <w:pStyle w:val="Heading2"/>
      </w:pPr>
      <w:r>
        <w:t>Technical Assistance Provided</w:t>
      </w:r>
    </w:p>
    <w:p w14:paraId="34B7DF3A" w14:textId="07004F8A" w:rsidR="007B7DD7" w:rsidRDefault="00B96E73" w:rsidP="007B7DD7">
      <w:r w:rsidRPr="000C7597">
        <w:rPr>
          <w:highlight w:val="lightGray"/>
        </w:rPr>
        <w:t>[</w:t>
      </w:r>
      <w:r w:rsidR="007B7DD7" w:rsidRPr="000C7597">
        <w:rPr>
          <w:highlight w:val="lightGray"/>
        </w:rPr>
        <w:t>Describe assistance provided</w:t>
      </w:r>
      <w:r w:rsidR="00FE4B48" w:rsidRPr="000C7597">
        <w:rPr>
          <w:highlight w:val="lightGray"/>
        </w:rPr>
        <w:t xml:space="preserve"> to the monitored entity</w:t>
      </w:r>
      <w:r w:rsidRPr="000C7597">
        <w:rPr>
          <w:highlight w:val="lightGray"/>
        </w:rPr>
        <w:t xml:space="preserve"> here]</w:t>
      </w:r>
    </w:p>
    <w:p w14:paraId="3FCFDBB3" w14:textId="77777777" w:rsidR="00643B57" w:rsidRPr="007B7DD7" w:rsidRDefault="00643B57" w:rsidP="007B7DD7"/>
    <w:p w14:paraId="6C60F136" w14:textId="4899ACAE" w:rsidR="00676BB8" w:rsidRDefault="00676BB8" w:rsidP="00ED68F8">
      <w:pPr>
        <w:pStyle w:val="Heading2"/>
      </w:pPr>
      <w:r>
        <w:t>Recommendations</w:t>
      </w:r>
    </w:p>
    <w:p w14:paraId="4FA2F42E" w14:textId="6C375F13" w:rsidR="00FE4B48" w:rsidRDefault="000C7597" w:rsidP="00FE4B48">
      <w:r w:rsidRPr="000C7597">
        <w:rPr>
          <w:highlight w:val="lightGray"/>
        </w:rPr>
        <w:t>[</w:t>
      </w:r>
      <w:r w:rsidR="00FE4B48" w:rsidRPr="000C7597">
        <w:rPr>
          <w:highlight w:val="lightGray"/>
        </w:rPr>
        <w:t>Describe suggestions for improvement or expansion</w:t>
      </w:r>
      <w:r w:rsidR="00B96E73" w:rsidRPr="000C7597">
        <w:rPr>
          <w:highlight w:val="lightGray"/>
        </w:rPr>
        <w:t xml:space="preserve"> here]</w:t>
      </w:r>
    </w:p>
    <w:p w14:paraId="4D0AA776" w14:textId="77777777" w:rsidR="00643B57" w:rsidRPr="00FE4B48" w:rsidRDefault="00643B57" w:rsidP="00FE4B48"/>
    <w:p w14:paraId="07B46D05" w14:textId="1E38965B" w:rsidR="00676BB8" w:rsidRDefault="00676BB8" w:rsidP="00ED68F8">
      <w:pPr>
        <w:pStyle w:val="Heading2"/>
      </w:pPr>
      <w:r>
        <w:t>Corrective Action or Required Follow-up</w:t>
      </w:r>
    </w:p>
    <w:p w14:paraId="21B1B896" w14:textId="23475F1B" w:rsidR="00ED68F8" w:rsidRPr="00ED68F8" w:rsidRDefault="000C7597" w:rsidP="00ED68F8">
      <w:r w:rsidRPr="000C7597">
        <w:rPr>
          <w:highlight w:val="lightGray"/>
        </w:rPr>
        <w:t>[</w:t>
      </w:r>
      <w:r w:rsidR="00ED68F8" w:rsidRPr="000C7597">
        <w:rPr>
          <w:highlight w:val="lightGray"/>
        </w:rPr>
        <w:t xml:space="preserve">Describe </w:t>
      </w:r>
      <w:r w:rsidR="00FE4B48" w:rsidRPr="000C7597">
        <w:rPr>
          <w:highlight w:val="lightGray"/>
        </w:rPr>
        <w:t xml:space="preserve">the </w:t>
      </w:r>
      <w:r w:rsidR="00ED68F8" w:rsidRPr="000C7597">
        <w:rPr>
          <w:highlight w:val="lightGray"/>
        </w:rPr>
        <w:t>next steps here</w:t>
      </w:r>
      <w:r w:rsidR="00B96E73" w:rsidRPr="000C7597">
        <w:rPr>
          <w:highlight w:val="lightGray"/>
        </w:rPr>
        <w:t>]</w:t>
      </w:r>
    </w:p>
    <w:p w14:paraId="1EAAB22F" w14:textId="77777777" w:rsidR="00676BB8" w:rsidRPr="00D23F98" w:rsidRDefault="00676BB8" w:rsidP="00676BB8">
      <w:pPr>
        <w:pStyle w:val="ListParagraph"/>
        <w:numPr>
          <w:ilvl w:val="0"/>
          <w:numId w:val="0"/>
        </w:numPr>
        <w:ind w:left="720"/>
        <w:jc w:val="center"/>
        <w:rPr>
          <w:rFonts w:ascii="Calibri" w:eastAsia="Calibri" w:hAnsi="Calibri" w:cs="Times New Roman"/>
        </w:rPr>
      </w:pPr>
    </w:p>
    <w:p w14:paraId="22ECE933" w14:textId="77777777" w:rsidR="00676BB8" w:rsidRDefault="00676BB8" w:rsidP="00676BB8">
      <w:pPr>
        <w:rPr>
          <w:rFonts w:ascii="Calibri" w:eastAsia="Times New Roman" w:hAnsi="Calibri" w:cs="Calibri"/>
        </w:rPr>
      </w:pPr>
    </w:p>
    <w:p w14:paraId="509634C7" w14:textId="77777777" w:rsidR="00FE4B48" w:rsidRDefault="00FE4B48">
      <w:pPr>
        <w:sectPr w:rsidR="00FE4B48" w:rsidSect="0002339B">
          <w:footerReference w:type="default" r:id="rId12"/>
          <w:pgSz w:w="15840" w:h="12240" w:orient="landscape"/>
          <w:pgMar w:top="1260" w:right="1440" w:bottom="1440" w:left="1440" w:header="720" w:footer="576" w:gutter="0"/>
          <w:cols w:space="720"/>
          <w:titlePg/>
          <w:docGrid w:linePitch="360"/>
        </w:sectPr>
      </w:pPr>
    </w:p>
    <w:p w14:paraId="5F55B40F" w14:textId="274AE683" w:rsidR="00FE4B48" w:rsidRDefault="00926259" w:rsidP="00FE4B48">
      <w:pPr>
        <w:pStyle w:val="Heading1"/>
      </w:pPr>
      <w:r>
        <w:lastRenderedPageBreak/>
        <w:t>Further</w:t>
      </w:r>
      <w:r w:rsidRPr="008C38E3">
        <w:t xml:space="preserve"> </w:t>
      </w:r>
      <w:r w:rsidR="00FE4B48" w:rsidRPr="008C38E3">
        <w:t>Information</w:t>
      </w:r>
    </w:p>
    <w:p w14:paraId="3EFE28E3" w14:textId="77777777" w:rsidR="007B62FF" w:rsidRPr="007B62FF" w:rsidRDefault="007B62FF" w:rsidP="007B62FF">
      <w:pPr>
        <w:pStyle w:val="Heading2"/>
      </w:pPr>
      <w:r>
        <w:t>Required Data Elements for F</w:t>
      </w:r>
      <w:r w:rsidRPr="009413F8">
        <w:t>ederal Reporting</w:t>
      </w:r>
      <w:r w:rsidRPr="007B62FF">
        <w:t xml:space="preserve"> </w:t>
      </w:r>
    </w:p>
    <w:p w14:paraId="7AECD84B" w14:textId="5811D3FB" w:rsidR="00FE4B48" w:rsidRPr="00123CA7" w:rsidRDefault="00FE4B48" w:rsidP="007B62FF">
      <w:pPr>
        <w:spacing w:before="240"/>
        <w:rPr>
          <w:rFonts w:ascii="Calibri" w:eastAsia="Times New Roman" w:hAnsi="Calibri" w:cs="Calibri"/>
        </w:rPr>
      </w:pPr>
      <w:r w:rsidRPr="00123CA7">
        <w:rPr>
          <w:rFonts w:ascii="Calibri" w:eastAsia="Times New Roman" w:hAnsi="Calibri" w:cs="Calibri"/>
          <w:b/>
          <w:bCs/>
        </w:rPr>
        <w:t>Sessions:</w:t>
      </w:r>
      <w:r w:rsidRPr="00123CA7">
        <w:rPr>
          <w:rFonts w:ascii="Calibri" w:eastAsia="Times New Roman" w:hAnsi="Calibri" w:cs="Calibri"/>
        </w:rPr>
        <w:t xml:space="preserve"> “May be delivered in-person or via video, audio, online, or the distribution of hardcopy materials.”</w:t>
      </w:r>
      <w:r w:rsidR="001418DA" w:rsidRPr="00123CA7">
        <w:rPr>
          <w:rFonts w:ascii="Calibri" w:eastAsia="Times New Roman" w:hAnsi="Calibri" w:cs="Calibri"/>
        </w:rPr>
        <w:t xml:space="preserve"> </w:t>
      </w:r>
      <w:r w:rsidRPr="00123CA7">
        <w:rPr>
          <w:rFonts w:ascii="Calibri" w:eastAsia="Times New Roman" w:hAnsi="Calibri" w:cs="Calibri"/>
        </w:rPr>
        <w:t>Examples of one session may include:</w:t>
      </w:r>
    </w:p>
    <w:p w14:paraId="6B329C1F" w14:textId="77777777" w:rsidR="00FE4B48" w:rsidRPr="00123CA7" w:rsidRDefault="00FE4B48" w:rsidP="00DA7338">
      <w:pPr>
        <w:pStyle w:val="ListParagraph"/>
        <w:numPr>
          <w:ilvl w:val="0"/>
          <w:numId w:val="3"/>
        </w:numPr>
        <w:tabs>
          <w:tab w:val="left" w:pos="10260"/>
        </w:tabs>
        <w:rPr>
          <w:shd w:val="clear" w:color="auto" w:fill="FFFFFF"/>
        </w:rPr>
      </w:pPr>
      <w:r w:rsidRPr="00123CA7">
        <w:rPr>
          <w:shd w:val="clear" w:color="auto" w:fill="FFFFFF"/>
        </w:rPr>
        <w:t xml:space="preserve">One nutrition education presentation or workshop class. </w:t>
      </w:r>
    </w:p>
    <w:p w14:paraId="0F9C3A3D" w14:textId="77777777" w:rsidR="00FE4B48" w:rsidRPr="00123CA7" w:rsidRDefault="00FE4B48" w:rsidP="00DA7338">
      <w:pPr>
        <w:pStyle w:val="ListParagraph"/>
        <w:numPr>
          <w:ilvl w:val="0"/>
          <w:numId w:val="3"/>
        </w:numPr>
        <w:tabs>
          <w:tab w:val="left" w:pos="10260"/>
        </w:tabs>
        <w:rPr>
          <w:shd w:val="clear" w:color="auto" w:fill="FFFFFF"/>
        </w:rPr>
      </w:pPr>
      <w:r w:rsidRPr="00123CA7">
        <w:rPr>
          <w:shd w:val="clear" w:color="auto" w:fill="FFFFFF"/>
        </w:rPr>
        <w:t>One nutrition education social media message.</w:t>
      </w:r>
    </w:p>
    <w:p w14:paraId="7772FC11" w14:textId="77777777" w:rsidR="00FE4B48" w:rsidRPr="00123CA7" w:rsidRDefault="00FE4B48" w:rsidP="00DA7338">
      <w:pPr>
        <w:pStyle w:val="ListParagraph"/>
        <w:numPr>
          <w:ilvl w:val="0"/>
          <w:numId w:val="3"/>
        </w:numPr>
        <w:tabs>
          <w:tab w:val="left" w:pos="10260"/>
        </w:tabs>
        <w:rPr>
          <w:shd w:val="clear" w:color="auto" w:fill="FFFFFF"/>
        </w:rPr>
      </w:pPr>
      <w:r w:rsidRPr="00123CA7">
        <w:rPr>
          <w:shd w:val="clear" w:color="auto" w:fill="FFFFFF"/>
        </w:rPr>
        <w:t>One nutrition education newsletter.</w:t>
      </w:r>
    </w:p>
    <w:p w14:paraId="113D0413" w14:textId="77777777" w:rsidR="00FE4B48" w:rsidRPr="00123CA7" w:rsidRDefault="00FE4B48" w:rsidP="00DA7338">
      <w:pPr>
        <w:pStyle w:val="ListParagraph"/>
        <w:numPr>
          <w:ilvl w:val="0"/>
          <w:numId w:val="3"/>
        </w:numPr>
        <w:tabs>
          <w:tab w:val="left" w:pos="10260"/>
        </w:tabs>
        <w:rPr>
          <w:shd w:val="clear" w:color="auto" w:fill="FFFFFF"/>
        </w:rPr>
      </w:pPr>
      <w:r w:rsidRPr="00123CA7">
        <w:rPr>
          <w:shd w:val="clear" w:color="auto" w:fill="FFFFFF"/>
        </w:rPr>
        <w:t>When the same nutrition education content is communicated in more than one way (e.g., menu notes and social media).</w:t>
      </w:r>
    </w:p>
    <w:p w14:paraId="6CD215F4" w14:textId="454ACBAB" w:rsidR="00FE4B48" w:rsidRDefault="00FE4B48" w:rsidP="00123CA7">
      <w:pPr>
        <w:tabs>
          <w:tab w:val="left" w:pos="10260"/>
        </w:tabs>
        <w:spacing w:before="120"/>
        <w:rPr>
          <w:rFonts w:ascii="Calibri" w:eastAsia="Times New Roman" w:hAnsi="Calibri" w:cs="Calibri"/>
        </w:rPr>
      </w:pPr>
      <w:r w:rsidRPr="00123CA7">
        <w:rPr>
          <w:rFonts w:ascii="Calibri" w:eastAsia="Times New Roman" w:hAnsi="Calibri" w:cs="Calibri"/>
          <w:b/>
          <w:bCs/>
        </w:rPr>
        <w:t>Audience size:</w:t>
      </w:r>
      <w:r w:rsidRPr="00123CA7">
        <w:rPr>
          <w:rFonts w:ascii="Calibri" w:eastAsia="Times New Roman" w:hAnsi="Calibri" w:cs="Calibri"/>
        </w:rPr>
        <w:t xml:space="preserve"> “An individual who receives a service funded in whole or in part with OAA funds. For non-registered services (nutrition education and information and assistance) for which an “estimated audience size” is to be reported, an unduplicated count of participants may not be feasible and therefore audience size is acceptable. This figure is anticipated to be a duplicated count.”</w:t>
      </w:r>
    </w:p>
    <w:p w14:paraId="617441A6" w14:textId="024BE2B1" w:rsidR="00926259" w:rsidRPr="00123CA7" w:rsidRDefault="00AD014F" w:rsidP="00123CA7">
      <w:pPr>
        <w:tabs>
          <w:tab w:val="left" w:pos="10260"/>
        </w:tabs>
        <w:spacing w:before="120"/>
        <w:rPr>
          <w:rFonts w:eastAsiaTheme="majorEastAsia" w:cstheme="minorHAnsi"/>
          <w:b/>
          <w:bCs/>
          <w:color w:val="075190"/>
          <w:sz w:val="28"/>
          <w:szCs w:val="28"/>
        </w:rPr>
      </w:pPr>
      <w:hyperlink r:id="rId13" w:history="1">
        <w:r w:rsidR="00926259" w:rsidRPr="00703BB6">
          <w:rPr>
            <w:rStyle w:val="Hyperlink"/>
            <w:rFonts w:eastAsiaTheme="majorEastAsia" w:cstheme="minorHAnsi"/>
            <w:b/>
            <w:bCs/>
            <w:color w:val="002060"/>
          </w:rPr>
          <w:t>Appendix A: Data Element Definitions</w:t>
        </w:r>
      </w:hyperlink>
      <w:r w:rsidR="00926259">
        <w:rPr>
          <w:rFonts w:eastAsiaTheme="majorEastAsia" w:cstheme="minorHAnsi"/>
          <w:b/>
          <w:bCs/>
          <w:color w:val="002060"/>
        </w:rPr>
        <w:t xml:space="preserve"> </w:t>
      </w:r>
      <w:r w:rsidR="00926259" w:rsidRPr="00703BB6">
        <w:rPr>
          <w:rFonts w:eastAsiaTheme="majorEastAsia" w:cstheme="minorHAnsi"/>
        </w:rPr>
        <w:t xml:space="preserve">outlines </w:t>
      </w:r>
      <w:proofErr w:type="gramStart"/>
      <w:r w:rsidR="006575EB">
        <w:rPr>
          <w:rFonts w:eastAsiaTheme="majorEastAsia" w:cstheme="minorHAnsi"/>
        </w:rPr>
        <w:t>offers</w:t>
      </w:r>
      <w:proofErr w:type="gramEnd"/>
      <w:r w:rsidR="006575EB">
        <w:rPr>
          <w:rFonts w:eastAsiaTheme="majorEastAsia" w:cstheme="minorHAnsi"/>
        </w:rPr>
        <w:t xml:space="preserve"> more on</w:t>
      </w:r>
      <w:r w:rsidR="00926259" w:rsidRPr="00703BB6">
        <w:rPr>
          <w:rFonts w:eastAsiaTheme="majorEastAsia" w:cstheme="minorHAnsi"/>
        </w:rPr>
        <w:t xml:space="preserve"> how this service should be reported.</w:t>
      </w:r>
    </w:p>
    <w:p w14:paraId="52A135AA" w14:textId="77777777" w:rsidR="00FE4B48" w:rsidRDefault="00FE4B48" w:rsidP="00FE4B48">
      <w:pPr>
        <w:pStyle w:val="Heading2"/>
      </w:pPr>
      <w:bookmarkStart w:id="0" w:name="_State_Nutrition_Education"/>
      <w:bookmarkEnd w:id="0"/>
      <w:r>
        <w:t>State Nutrition Education Policies</w:t>
      </w:r>
    </w:p>
    <w:p w14:paraId="03C44D50" w14:textId="61B47C11" w:rsidR="006970E3" w:rsidRDefault="006970E3" w:rsidP="006970E3">
      <w:pPr>
        <w:tabs>
          <w:tab w:val="left" w:pos="10260"/>
        </w:tabs>
        <w:spacing w:after="120"/>
        <w:rPr>
          <w:rFonts w:eastAsia="Times New Roman"/>
        </w:rPr>
      </w:pPr>
      <w:r>
        <w:rPr>
          <w:rFonts w:ascii="Calibri" w:eastAsia="Times New Roman" w:hAnsi="Calibri" w:cs="Calibri"/>
        </w:rPr>
        <w:t xml:space="preserve">State-specific policies might </w:t>
      </w:r>
      <w:r>
        <w:rPr>
          <w:rFonts w:eastAsia="Times New Roman"/>
        </w:rPr>
        <w:t xml:space="preserve">include </w:t>
      </w:r>
      <w:r w:rsidRPr="009A3765">
        <w:rPr>
          <w:rFonts w:eastAsia="Times New Roman"/>
        </w:rPr>
        <w:t xml:space="preserve">synonyms or explanations </w:t>
      </w:r>
      <w:r>
        <w:rPr>
          <w:rFonts w:eastAsia="Times New Roman"/>
        </w:rPr>
        <w:t>of definition</w:t>
      </w:r>
      <w:r w:rsidRPr="009A3765">
        <w:rPr>
          <w:rFonts w:eastAsia="Times New Roman"/>
        </w:rPr>
        <w:t xml:space="preserve"> terms </w:t>
      </w:r>
      <w:r>
        <w:rPr>
          <w:rFonts w:eastAsia="Times New Roman"/>
        </w:rPr>
        <w:t>like</w:t>
      </w:r>
      <w:r w:rsidRPr="009A3765">
        <w:rPr>
          <w:rFonts w:eastAsia="Times New Roman"/>
        </w:rPr>
        <w:t xml:space="preserve"> “intervention” (</w:t>
      </w:r>
      <w:r w:rsidRPr="009A3765">
        <w:rPr>
          <w:shd w:val="clear" w:color="auto" w:fill="FFFFFF"/>
        </w:rPr>
        <w:t>an action taken to improve health) or</w:t>
      </w:r>
      <w:r w:rsidRPr="009A3765">
        <w:rPr>
          <w:rFonts w:eastAsia="Times New Roman"/>
        </w:rPr>
        <w:t xml:space="preserve"> “dissemination” (distribution).</w:t>
      </w:r>
      <w:r>
        <w:rPr>
          <w:rFonts w:eastAsia="Times New Roman"/>
        </w:rPr>
        <w:t xml:space="preserve"> Policies may also </w:t>
      </w:r>
      <w:r w:rsidRPr="00D962D2">
        <w:rPr>
          <w:rFonts w:eastAsia="Times New Roman"/>
        </w:rPr>
        <w:t xml:space="preserve">outline qualifications or minimum required duties of a </w:t>
      </w:r>
      <w:r w:rsidRPr="00D962D2">
        <w:rPr>
          <w:rFonts w:ascii="Calibri" w:eastAsia="Times New Roman" w:hAnsi="Calibri" w:cs="Calibri"/>
        </w:rPr>
        <w:t xml:space="preserve">registered dietitian </w:t>
      </w:r>
      <w:r w:rsidRPr="00D962D2">
        <w:rPr>
          <w:rFonts w:eastAsia="Times New Roman"/>
        </w:rPr>
        <w:t xml:space="preserve">or </w:t>
      </w:r>
      <w:r w:rsidRPr="00D962D2">
        <w:rPr>
          <w:rFonts w:ascii="Calibri" w:eastAsia="Times New Roman" w:hAnsi="Calibri" w:cs="Calibri"/>
        </w:rPr>
        <w:t>individual of comparable expertise</w:t>
      </w:r>
      <w:r w:rsidRPr="00D962D2">
        <w:rPr>
          <w:rFonts w:eastAsia="Times New Roman"/>
        </w:rPr>
        <w:t>.</w:t>
      </w:r>
    </w:p>
    <w:p w14:paraId="5B2E2D58" w14:textId="77777777" w:rsidR="00926259" w:rsidRPr="006575EB" w:rsidRDefault="00926259" w:rsidP="00926259">
      <w:pPr>
        <w:contextualSpacing/>
        <w:rPr>
          <w:rFonts w:eastAsia="Times New Roman"/>
        </w:rPr>
      </w:pPr>
      <w:r w:rsidRPr="006575EB">
        <w:rPr>
          <w:rFonts w:eastAsia="Times New Roman"/>
        </w:rPr>
        <w:t>SUAs may also limit service reporting elements based on practical or resource-based considerations. For example, a state policy might:</w:t>
      </w:r>
    </w:p>
    <w:p w14:paraId="158E76BE" w14:textId="77777777" w:rsidR="00926259" w:rsidRPr="006575EB" w:rsidRDefault="00926259" w:rsidP="00DA7338">
      <w:pPr>
        <w:pStyle w:val="ListParagraph"/>
        <w:numPr>
          <w:ilvl w:val="0"/>
          <w:numId w:val="2"/>
        </w:numPr>
        <w:contextualSpacing/>
        <w:rPr>
          <w:rFonts w:eastAsia="Times New Roman"/>
        </w:rPr>
      </w:pPr>
      <w:r w:rsidRPr="006575EB">
        <w:rPr>
          <w:rFonts w:eastAsia="Times New Roman"/>
        </w:rPr>
        <w:t>not permit counting social media posts as nutrition education. While allowable by federal standards, the state may determine counting these messages could not be consistently performed by all local organizations or other concerns.</w:t>
      </w:r>
    </w:p>
    <w:p w14:paraId="156E0E79" w14:textId="77777777" w:rsidR="00926259" w:rsidRPr="006575EB" w:rsidRDefault="00926259" w:rsidP="00DA7338">
      <w:pPr>
        <w:pStyle w:val="ListParagraph"/>
        <w:numPr>
          <w:ilvl w:val="0"/>
          <w:numId w:val="2"/>
        </w:numPr>
        <w:contextualSpacing/>
        <w:rPr>
          <w:rFonts w:eastAsia="Times New Roman"/>
        </w:rPr>
      </w:pPr>
      <w:r w:rsidRPr="006575EB">
        <w:t>require unduplicated (each person is only counted once) numbers rather than estimated audience size.</w:t>
      </w:r>
    </w:p>
    <w:p w14:paraId="1865FFA3" w14:textId="77777777" w:rsidR="00FE4B48" w:rsidRDefault="00FE4B48" w:rsidP="00FE4B48">
      <w:pPr>
        <w:pStyle w:val="Heading3"/>
        <w:rPr>
          <w:rFonts w:eastAsia="Times New Roman"/>
        </w:rPr>
      </w:pPr>
      <w:r>
        <w:rPr>
          <w:rFonts w:eastAsia="Times New Roman"/>
        </w:rPr>
        <w:t>Other sample policy topics</w:t>
      </w:r>
    </w:p>
    <w:p w14:paraId="1C0CC2F2" w14:textId="4769B661" w:rsidR="00FE4B48" w:rsidRPr="00DA7338" w:rsidRDefault="00FE4B48" w:rsidP="00DA7338">
      <w:pPr>
        <w:pStyle w:val="ListParagraph"/>
        <w:numPr>
          <w:ilvl w:val="0"/>
          <w:numId w:val="2"/>
        </w:numPr>
        <w:contextualSpacing/>
        <w:rPr>
          <w:rFonts w:eastAsia="Times New Roman"/>
        </w:rPr>
      </w:pPr>
      <w:r w:rsidRPr="00DA7338">
        <w:rPr>
          <w:rFonts w:eastAsia="Times New Roman"/>
        </w:rPr>
        <w:t>Frequency of sessions (e.g., quarterly nutrition education)</w:t>
      </w:r>
    </w:p>
    <w:p w14:paraId="309F7044" w14:textId="3D8693A9" w:rsidR="00FE4B48" w:rsidRPr="00DA7338" w:rsidRDefault="00FE4B48" w:rsidP="00DA7338">
      <w:pPr>
        <w:pStyle w:val="ListParagraph"/>
        <w:numPr>
          <w:ilvl w:val="0"/>
          <w:numId w:val="2"/>
        </w:numPr>
        <w:contextualSpacing/>
        <w:rPr>
          <w:rFonts w:eastAsia="Times New Roman"/>
        </w:rPr>
      </w:pPr>
      <w:r w:rsidRPr="00DA7338">
        <w:rPr>
          <w:rFonts w:eastAsia="Times New Roman"/>
        </w:rPr>
        <w:t>Documentation of materials, attendance, or registered dietitian review</w:t>
      </w:r>
    </w:p>
    <w:p w14:paraId="6FA2BCF0" w14:textId="77777777" w:rsidR="00FE4B48" w:rsidRPr="00DA7338" w:rsidRDefault="00FE4B48" w:rsidP="00DA7338">
      <w:pPr>
        <w:pStyle w:val="ListParagraph"/>
        <w:numPr>
          <w:ilvl w:val="0"/>
          <w:numId w:val="2"/>
        </w:numPr>
        <w:contextualSpacing/>
        <w:rPr>
          <w:rFonts w:eastAsia="Times New Roman"/>
        </w:rPr>
      </w:pPr>
      <w:r w:rsidRPr="00DA7338">
        <w:rPr>
          <w:rFonts w:eastAsia="Times New Roman"/>
        </w:rPr>
        <w:t>Required content (e.g., specific nutrients, food safety, or health literacy)</w:t>
      </w:r>
    </w:p>
    <w:p w14:paraId="51373407" w14:textId="77777777" w:rsidR="00FE4B48" w:rsidRPr="00DA7338" w:rsidRDefault="00FE4B48" w:rsidP="00DA7338">
      <w:pPr>
        <w:pStyle w:val="ListParagraph"/>
        <w:numPr>
          <w:ilvl w:val="0"/>
          <w:numId w:val="2"/>
        </w:numPr>
        <w:contextualSpacing/>
        <w:rPr>
          <w:rFonts w:eastAsia="Times New Roman"/>
        </w:rPr>
      </w:pPr>
      <w:r w:rsidRPr="00DA7338">
        <w:rPr>
          <w:rFonts w:eastAsia="Times New Roman"/>
        </w:rPr>
        <w:t>Reporting (e.g., what counts as a session, unduplicated versus estimated audience size)</w:t>
      </w:r>
    </w:p>
    <w:p w14:paraId="14B0AA43" w14:textId="39B865B1" w:rsidR="00123CA7" w:rsidRPr="00DA7338" w:rsidRDefault="007852DA" w:rsidP="00DA7338">
      <w:pPr>
        <w:pStyle w:val="ListParagraph"/>
        <w:numPr>
          <w:ilvl w:val="0"/>
          <w:numId w:val="2"/>
        </w:numPr>
        <w:contextualSpacing/>
        <w:rPr>
          <w:rFonts w:eastAsia="Times New Roman"/>
        </w:rPr>
      </w:pPr>
      <w:r w:rsidRPr="00DA7338">
        <w:rPr>
          <w:rFonts w:eastAsia="Times New Roman"/>
        </w:rPr>
        <w:t>Restrictions such as not</w:t>
      </w:r>
      <w:r w:rsidR="00123CA7" w:rsidRPr="00DA7338">
        <w:rPr>
          <w:rFonts w:eastAsia="Times New Roman"/>
        </w:rPr>
        <w:t xml:space="preserve"> counting social media as nutrition </w:t>
      </w:r>
      <w:proofErr w:type="gramStart"/>
      <w:r w:rsidR="00123CA7" w:rsidRPr="00DA7338">
        <w:rPr>
          <w:rFonts w:eastAsia="Times New Roman"/>
        </w:rPr>
        <w:t>education</w:t>
      </w:r>
      <w:proofErr w:type="gramEnd"/>
    </w:p>
    <w:p w14:paraId="4DD3DFA9" w14:textId="77777777" w:rsidR="00FE4B48" w:rsidRPr="00DA7338" w:rsidRDefault="00FE4B48" w:rsidP="00DA7338">
      <w:pPr>
        <w:pStyle w:val="ListParagraph"/>
        <w:numPr>
          <w:ilvl w:val="0"/>
          <w:numId w:val="2"/>
        </w:numPr>
        <w:contextualSpacing/>
        <w:rPr>
          <w:rFonts w:eastAsia="Times New Roman"/>
        </w:rPr>
      </w:pPr>
      <w:r w:rsidRPr="00DA7338">
        <w:rPr>
          <w:rFonts w:eastAsia="Times New Roman"/>
        </w:rPr>
        <w:t xml:space="preserve">Annual/semi-annual education plans or calendars </w:t>
      </w:r>
    </w:p>
    <w:p w14:paraId="6858E380" w14:textId="524B3126" w:rsidR="00FE4B48" w:rsidRPr="00DA7338" w:rsidRDefault="00123CA7" w:rsidP="00DA7338">
      <w:pPr>
        <w:pStyle w:val="ListParagraph"/>
        <w:numPr>
          <w:ilvl w:val="0"/>
          <w:numId w:val="2"/>
        </w:numPr>
        <w:contextualSpacing/>
        <w:rPr>
          <w:rFonts w:eastAsia="Times New Roman"/>
        </w:rPr>
      </w:pPr>
      <w:r w:rsidRPr="00DA7338">
        <w:rPr>
          <w:rFonts w:eastAsia="Times New Roman"/>
        </w:rPr>
        <w:t>Format or m</w:t>
      </w:r>
      <w:r w:rsidR="00FE4B48" w:rsidRPr="00DA7338">
        <w:rPr>
          <w:rFonts w:eastAsia="Times New Roman"/>
        </w:rPr>
        <w:t>inimum length of presentations</w:t>
      </w:r>
      <w:r w:rsidRPr="00DA7338">
        <w:rPr>
          <w:rFonts w:eastAsia="Times New Roman"/>
        </w:rPr>
        <w:t>, materials,</w:t>
      </w:r>
      <w:r w:rsidR="00FE4B48" w:rsidRPr="00DA7338">
        <w:rPr>
          <w:rFonts w:eastAsia="Times New Roman"/>
        </w:rPr>
        <w:t xml:space="preserve"> and activities </w:t>
      </w:r>
    </w:p>
    <w:p w14:paraId="351C8329" w14:textId="77777777" w:rsidR="00FE4B48" w:rsidRPr="00DA7338" w:rsidRDefault="00FE4B48" w:rsidP="00DA7338">
      <w:pPr>
        <w:pStyle w:val="ListParagraph"/>
        <w:numPr>
          <w:ilvl w:val="0"/>
          <w:numId w:val="2"/>
        </w:numPr>
        <w:contextualSpacing/>
        <w:rPr>
          <w:rFonts w:eastAsia="Times New Roman"/>
        </w:rPr>
      </w:pPr>
      <w:r w:rsidRPr="00DA7338">
        <w:rPr>
          <w:rFonts w:eastAsia="Times New Roman"/>
        </w:rPr>
        <w:t>Presenter training or specifications</w:t>
      </w:r>
    </w:p>
    <w:p w14:paraId="21E097AF" w14:textId="77777777" w:rsidR="00FE4B48" w:rsidRPr="00DA7338" w:rsidRDefault="00FE4B48" w:rsidP="00DA7338">
      <w:pPr>
        <w:pStyle w:val="ListParagraph"/>
        <w:numPr>
          <w:ilvl w:val="0"/>
          <w:numId w:val="2"/>
        </w:numPr>
        <w:contextualSpacing/>
        <w:rPr>
          <w:rFonts w:eastAsia="Times New Roman"/>
        </w:rPr>
      </w:pPr>
      <w:r w:rsidRPr="00DA7338">
        <w:rPr>
          <w:rFonts w:eastAsia="Times New Roman"/>
        </w:rPr>
        <w:t>Translation of materials</w:t>
      </w:r>
    </w:p>
    <w:p w14:paraId="043F2D8C" w14:textId="77777777" w:rsidR="00FE4B48" w:rsidRPr="00DA7338" w:rsidRDefault="00FE4B48" w:rsidP="00DA7338">
      <w:pPr>
        <w:pStyle w:val="ListParagraph"/>
        <w:numPr>
          <w:ilvl w:val="0"/>
          <w:numId w:val="2"/>
        </w:numPr>
        <w:contextualSpacing/>
        <w:rPr>
          <w:rFonts w:eastAsia="Times New Roman"/>
        </w:rPr>
      </w:pPr>
      <w:r w:rsidRPr="00DA7338">
        <w:rPr>
          <w:rFonts w:eastAsia="Times New Roman"/>
        </w:rPr>
        <w:t>Special focus areas (e.g., caregivers, people with disabilities, grandfamilies)</w:t>
      </w:r>
    </w:p>
    <w:p w14:paraId="06C310C8" w14:textId="77777777" w:rsidR="00FE4B48" w:rsidRPr="00DA7338" w:rsidRDefault="00FE4B48" w:rsidP="00DA7338">
      <w:pPr>
        <w:pStyle w:val="ListParagraph"/>
        <w:numPr>
          <w:ilvl w:val="0"/>
          <w:numId w:val="2"/>
        </w:numPr>
        <w:contextualSpacing/>
        <w:rPr>
          <w:rFonts w:eastAsia="Times New Roman"/>
        </w:rPr>
      </w:pPr>
      <w:r w:rsidRPr="00D962D2">
        <w:rPr>
          <w:rFonts w:eastAsia="Times New Roman"/>
        </w:rPr>
        <w:t xml:space="preserve">Collaboration with </w:t>
      </w:r>
      <w:r>
        <w:rPr>
          <w:rFonts w:eastAsia="Times New Roman"/>
        </w:rPr>
        <w:t xml:space="preserve">cooperative extension, SNAP-Ed, </w:t>
      </w:r>
      <w:r w:rsidRPr="00D962D2">
        <w:rPr>
          <w:rFonts w:eastAsia="Times New Roman"/>
        </w:rPr>
        <w:t xml:space="preserve">health department, </w:t>
      </w:r>
      <w:r>
        <w:rPr>
          <w:rFonts w:eastAsia="Times New Roman"/>
        </w:rPr>
        <w:t>etc.</w:t>
      </w:r>
    </w:p>
    <w:p w14:paraId="04676F9F" w14:textId="60C4623C" w:rsidR="00FE4B48" w:rsidRPr="003309C5" w:rsidRDefault="00FE4B48" w:rsidP="00DA7338">
      <w:pPr>
        <w:pStyle w:val="ListParagraph"/>
        <w:numPr>
          <w:ilvl w:val="0"/>
          <w:numId w:val="2"/>
        </w:numPr>
        <w:contextualSpacing/>
        <w:rPr>
          <w:rFonts w:eastAsia="Times New Roman"/>
        </w:rPr>
      </w:pPr>
      <w:r>
        <w:rPr>
          <w:rFonts w:eastAsia="Times New Roman"/>
        </w:rPr>
        <w:t>Evaluation of offerings</w:t>
      </w:r>
      <w:r w:rsidR="00AF7E22">
        <w:rPr>
          <w:rFonts w:eastAsia="Times New Roman"/>
        </w:rPr>
        <w:t xml:space="preserve"> </w:t>
      </w:r>
    </w:p>
    <w:p w14:paraId="0F31EBA0" w14:textId="78D6AEE2" w:rsidR="00FE4B48" w:rsidRDefault="00FE4B48" w:rsidP="007852DA">
      <w:pPr>
        <w:pStyle w:val="Heading2"/>
        <w:spacing w:after="240"/>
      </w:pPr>
      <w:r>
        <w:lastRenderedPageBreak/>
        <w:t>Explore More</w:t>
      </w:r>
      <w:r w:rsidRPr="0001165B">
        <w:t xml:space="preserve"> </w:t>
      </w:r>
      <w:r w:rsidR="007852DA">
        <w:t>from the Nutrition &amp; Aging Resource Center</w:t>
      </w:r>
    </w:p>
    <w:p w14:paraId="4C631E65" w14:textId="77777777" w:rsidR="00FE4B48" w:rsidRDefault="00AD014F" w:rsidP="007852DA">
      <w:hyperlink r:id="rId14" w:history="1">
        <w:r w:rsidR="00FE4B48" w:rsidRPr="007852DA">
          <w:rPr>
            <w:rStyle w:val="Hyperlink"/>
            <w:b/>
            <w:bCs/>
          </w:rPr>
          <w:t>Nutrition Education</w:t>
        </w:r>
      </w:hyperlink>
      <w:r w:rsidR="00FE4B48" w:rsidRPr="007852DA">
        <w:rPr>
          <w:b/>
          <w:bCs/>
        </w:rPr>
        <w:t>:</w:t>
      </w:r>
      <w:r w:rsidR="00FE4B48">
        <w:t xml:space="preserve"> A</w:t>
      </w:r>
      <w:r w:rsidR="00FE4B48" w:rsidRPr="00CF16C3">
        <w:t xml:space="preserve"> variety of resources reviewed by registered dietitians and approved by ACL for use in Title III-C nutrition education.</w:t>
      </w:r>
      <w:r w:rsidR="00FE4B48">
        <w:t xml:space="preserve"> Subtopics include consumer food safety, menus and recipes, nutrition facts labels, eating on a budget, and vitamins and supplements.</w:t>
      </w:r>
    </w:p>
    <w:p w14:paraId="5828BB6B" w14:textId="0B964DE3" w:rsidR="00E255A7" w:rsidRDefault="00AD014F" w:rsidP="007852DA">
      <w:pPr>
        <w:spacing w:before="120"/>
      </w:pPr>
      <w:hyperlink r:id="rId15" w:history="1">
        <w:r w:rsidR="00FE4B48" w:rsidRPr="007852DA">
          <w:rPr>
            <w:rStyle w:val="Hyperlink"/>
            <w:b/>
            <w:bCs/>
          </w:rPr>
          <w:t>OAA Basics &amp; Federal Requirements</w:t>
        </w:r>
      </w:hyperlink>
      <w:r w:rsidR="00FE4B48" w:rsidRPr="007852DA">
        <w:rPr>
          <w:b/>
          <w:bCs/>
        </w:rPr>
        <w:t>:</w:t>
      </w:r>
      <w:r w:rsidR="00FE4B48">
        <w:t xml:space="preserve"> Resources related to the spectrum of requirements for Title III-C grantees. Subtopics include data, grantee reporting, nutrition guidelines, and program evaluation.</w:t>
      </w:r>
    </w:p>
    <w:p w14:paraId="3ABB1941" w14:textId="5B5E4087" w:rsidR="006575EB" w:rsidRDefault="00AD014F" w:rsidP="007852DA">
      <w:pPr>
        <w:spacing w:before="120"/>
        <w:rPr>
          <w:rFonts w:eastAsia="Times New Roman" w:cstheme="minorHAnsi"/>
          <w:color w:val="000000"/>
        </w:rPr>
      </w:pPr>
      <w:hyperlink r:id="rId16" w:tgtFrame="_blank" w:history="1">
        <w:r w:rsidR="006575EB" w:rsidRPr="00DA7338">
          <w:rPr>
            <w:rFonts w:eastAsia="Times New Roman" w:cstheme="minorHAnsi"/>
            <w:b/>
            <w:bCs/>
            <w:color w:val="0A5090"/>
            <w:u w:val="single"/>
          </w:rPr>
          <w:t>Nutrition Education: What Are the Requirements?</w:t>
        </w:r>
      </w:hyperlink>
      <w:r w:rsidR="006575EB" w:rsidRPr="00B21AEE">
        <w:rPr>
          <w:rFonts w:eastAsia="Times New Roman" w:cstheme="minorHAnsi"/>
          <w:color w:val="000000"/>
        </w:rPr>
        <w:t> </w:t>
      </w:r>
      <w:r w:rsidR="006575EB">
        <w:rPr>
          <w:rFonts w:eastAsia="Times New Roman" w:cstheme="minorHAnsi"/>
          <w:color w:val="000000"/>
        </w:rPr>
        <w:t>This two-page r</w:t>
      </w:r>
      <w:r w:rsidR="006575EB" w:rsidRPr="00B21AEE">
        <w:rPr>
          <w:rFonts w:eastAsia="Times New Roman" w:cstheme="minorHAnsi"/>
          <w:color w:val="000000"/>
        </w:rPr>
        <w:t xml:space="preserve">esource </w:t>
      </w:r>
      <w:r w:rsidR="006575EB">
        <w:rPr>
          <w:rFonts w:eastAsia="Times New Roman" w:cstheme="minorHAnsi"/>
          <w:color w:val="000000"/>
        </w:rPr>
        <w:t>includes the SPR definition and requirements, strategies for nutrition education, responsibility for establishing nutrition education policies, and resources for nutrition education materials.</w:t>
      </w:r>
    </w:p>
    <w:p w14:paraId="34364784" w14:textId="07527873" w:rsidR="00DA7338" w:rsidRPr="00DA7338" w:rsidRDefault="00AD014F" w:rsidP="00DA7338">
      <w:pPr>
        <w:tabs>
          <w:tab w:val="left" w:pos="7796"/>
        </w:tabs>
        <w:spacing w:before="120" w:after="120"/>
        <w:rPr>
          <w:rFonts w:cstheme="minorHAnsi"/>
          <w:color w:val="000000"/>
          <w:shd w:val="clear" w:color="auto" w:fill="FFFFFF"/>
        </w:rPr>
      </w:pPr>
      <w:hyperlink r:id="rId17" w:tgtFrame="_blank" w:history="1">
        <w:r w:rsidR="00DA7338" w:rsidRPr="00DA7338">
          <w:rPr>
            <w:rStyle w:val="Hyperlink"/>
            <w:rFonts w:cstheme="minorHAnsi"/>
            <w:b/>
            <w:bCs/>
            <w:color w:val="0A5090"/>
            <w:shd w:val="clear" w:color="auto" w:fill="FFFFFF"/>
          </w:rPr>
          <w:t>What’s New for Reporting and Connecting with Clients (YouTube)</w:t>
        </w:r>
      </w:hyperlink>
      <w:r w:rsidR="00DA7338">
        <w:rPr>
          <w:rFonts w:cstheme="minorHAnsi"/>
          <w:color w:val="000000"/>
          <w:shd w:val="clear" w:color="auto" w:fill="FFFFFF"/>
        </w:rPr>
        <w:t>:</w:t>
      </w:r>
      <w:r w:rsidR="00DA7338" w:rsidRPr="00DA7338">
        <w:rPr>
          <w:rFonts w:cstheme="minorHAnsi"/>
          <w:color w:val="000000"/>
          <w:shd w:val="clear" w:color="auto" w:fill="FFFFFF"/>
        </w:rPr>
        <w:t xml:space="preserve"> An ACL webinar on the SPR’s revised definition </w:t>
      </w:r>
      <w:r w:rsidR="00DA7338">
        <w:rPr>
          <w:rFonts w:cstheme="minorHAnsi"/>
          <w:color w:val="000000"/>
          <w:shd w:val="clear" w:color="auto" w:fill="FFFFFF"/>
        </w:rPr>
        <w:t>of</w:t>
      </w:r>
      <w:r w:rsidR="00DA7338" w:rsidRPr="00DA7338">
        <w:rPr>
          <w:rFonts w:cstheme="minorHAnsi"/>
          <w:color w:val="000000"/>
          <w:shd w:val="clear" w:color="auto" w:fill="FFFFFF"/>
        </w:rPr>
        <w:t xml:space="preserve"> nutrition education and reporting requirements. The webinar also includes information on how to plan, conduct, and evaluate nutrition education interventions for older adults. </w:t>
      </w:r>
    </w:p>
    <w:p w14:paraId="26C6BE71" w14:textId="30823C8B" w:rsidR="00DA7338" w:rsidRPr="00286FBA" w:rsidRDefault="00E03410" w:rsidP="00286FBA">
      <w:pPr>
        <w:shd w:val="clear" w:color="auto" w:fill="FFFFFF"/>
        <w:spacing w:before="120" w:after="120" w:line="276" w:lineRule="auto"/>
        <w:rPr>
          <w:rFonts w:cstheme="minorHAnsi"/>
          <w:color w:val="000000"/>
        </w:rPr>
      </w:pPr>
      <w:hyperlink r:id="rId18" w:history="1">
        <w:r w:rsidRPr="00E03410">
          <w:rPr>
            <w:rStyle w:val="Hyperlink"/>
            <w:rFonts w:cstheme="minorHAnsi"/>
            <w:b/>
            <w:bCs/>
            <w:color w:val="0A5090"/>
          </w:rPr>
          <w:t>Nutrition Education Calendar</w:t>
        </w:r>
      </w:hyperlink>
      <w:r w:rsidRPr="00B21AEE">
        <w:rPr>
          <w:rFonts w:cstheme="minorHAnsi"/>
          <w:color w:val="000000"/>
        </w:rPr>
        <w:t> —</w:t>
      </w:r>
      <w:r>
        <w:rPr>
          <w:rFonts w:cstheme="minorHAnsi"/>
          <w:color w:val="000000"/>
        </w:rPr>
        <w:t xml:space="preserve"> 12-month plan for</w:t>
      </w:r>
      <w:r w:rsidRPr="00B21AEE">
        <w:rPr>
          <w:rFonts w:cstheme="minorHAnsi"/>
          <w:color w:val="000000"/>
        </w:rPr>
        <w:t xml:space="preserve"> </w:t>
      </w:r>
      <w:r>
        <w:rPr>
          <w:rFonts w:cstheme="minorHAnsi"/>
          <w:color w:val="000000"/>
        </w:rPr>
        <w:t>nutrition education with themes, background information for staff, and ready-to-use materials.</w:t>
      </w:r>
    </w:p>
    <w:sectPr w:rsidR="00DA7338" w:rsidRPr="00286FBA" w:rsidSect="00FE4B48">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ADAF" w14:textId="77777777" w:rsidR="00007DB7" w:rsidRDefault="00007DB7" w:rsidP="007E6EC4">
      <w:pPr>
        <w:spacing w:after="0" w:line="240" w:lineRule="auto"/>
      </w:pPr>
      <w:r>
        <w:separator/>
      </w:r>
    </w:p>
  </w:endnote>
  <w:endnote w:type="continuationSeparator" w:id="0">
    <w:p w14:paraId="39F742BB" w14:textId="77777777" w:rsidR="00007DB7" w:rsidRDefault="00007DB7" w:rsidP="007E6EC4">
      <w:pPr>
        <w:spacing w:after="0" w:line="240" w:lineRule="auto"/>
      </w:pPr>
      <w:r>
        <w:continuationSeparator/>
      </w:r>
    </w:p>
  </w:endnote>
  <w:endnote w:type="continuationNotice" w:id="1">
    <w:p w14:paraId="54DDEAEA" w14:textId="77777777" w:rsidR="00007DB7" w:rsidRDefault="00007D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950937"/>
      <w:docPartObj>
        <w:docPartGallery w:val="Page Numbers (Bottom of Page)"/>
        <w:docPartUnique/>
      </w:docPartObj>
    </w:sdtPr>
    <w:sdtEndPr>
      <w:rPr>
        <w:noProof/>
      </w:rPr>
    </w:sdtEndPr>
    <w:sdtContent>
      <w:p w14:paraId="5D9DFABE" w14:textId="49418B71" w:rsidR="00352AFB" w:rsidRDefault="00352A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F39191" w14:textId="77777777" w:rsidR="00352AFB" w:rsidRDefault="00352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B190" w14:textId="77777777" w:rsidR="00007DB7" w:rsidRDefault="00007DB7" w:rsidP="007E6EC4">
      <w:pPr>
        <w:spacing w:after="0" w:line="240" w:lineRule="auto"/>
      </w:pPr>
      <w:r>
        <w:separator/>
      </w:r>
    </w:p>
  </w:footnote>
  <w:footnote w:type="continuationSeparator" w:id="0">
    <w:p w14:paraId="520D9AE9" w14:textId="77777777" w:rsidR="00007DB7" w:rsidRDefault="00007DB7" w:rsidP="007E6EC4">
      <w:pPr>
        <w:spacing w:after="0" w:line="240" w:lineRule="auto"/>
      </w:pPr>
      <w:r>
        <w:continuationSeparator/>
      </w:r>
    </w:p>
  </w:footnote>
  <w:footnote w:type="continuationNotice" w:id="1">
    <w:p w14:paraId="6E42581D" w14:textId="77777777" w:rsidR="00007DB7" w:rsidRDefault="00007D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627DB"/>
    <w:multiLevelType w:val="hybridMultilevel"/>
    <w:tmpl w:val="C86AFF1A"/>
    <w:lvl w:ilvl="0" w:tplc="504031A2">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4698F"/>
    <w:multiLevelType w:val="hybridMultilevel"/>
    <w:tmpl w:val="342E3EAE"/>
    <w:lvl w:ilvl="0" w:tplc="0FB03B22">
      <w:numFmt w:val="bullet"/>
      <w:pStyle w:val="ListParagraph"/>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75725E"/>
    <w:multiLevelType w:val="multilevel"/>
    <w:tmpl w:val="C180D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B658AC"/>
    <w:multiLevelType w:val="hybridMultilevel"/>
    <w:tmpl w:val="9DDC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2460617">
    <w:abstractNumId w:val="1"/>
  </w:num>
  <w:num w:numId="2" w16cid:durableId="1935550210">
    <w:abstractNumId w:val="3"/>
  </w:num>
  <w:num w:numId="3" w16cid:durableId="1154684169">
    <w:abstractNumId w:val="0"/>
  </w:num>
  <w:num w:numId="4" w16cid:durableId="205680896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172485"/>
    <w:rsid w:val="00000B96"/>
    <w:rsid w:val="00003951"/>
    <w:rsid w:val="00004687"/>
    <w:rsid w:val="00007DB7"/>
    <w:rsid w:val="00010928"/>
    <w:rsid w:val="0001165B"/>
    <w:rsid w:val="00020FB8"/>
    <w:rsid w:val="00021B83"/>
    <w:rsid w:val="0002339B"/>
    <w:rsid w:val="00030F9D"/>
    <w:rsid w:val="00041CE2"/>
    <w:rsid w:val="000476AA"/>
    <w:rsid w:val="0006082C"/>
    <w:rsid w:val="00073A30"/>
    <w:rsid w:val="00083CF9"/>
    <w:rsid w:val="00085A54"/>
    <w:rsid w:val="00096F3C"/>
    <w:rsid w:val="000A09AB"/>
    <w:rsid w:val="000A4696"/>
    <w:rsid w:val="000A4B34"/>
    <w:rsid w:val="000B19BC"/>
    <w:rsid w:val="000B6C32"/>
    <w:rsid w:val="000C52E6"/>
    <w:rsid w:val="000C7597"/>
    <w:rsid w:val="000D1840"/>
    <w:rsid w:val="000E20B8"/>
    <w:rsid w:val="000F2782"/>
    <w:rsid w:val="000F4D04"/>
    <w:rsid w:val="0011167C"/>
    <w:rsid w:val="00113BC8"/>
    <w:rsid w:val="00114AA1"/>
    <w:rsid w:val="00123CA7"/>
    <w:rsid w:val="0012694F"/>
    <w:rsid w:val="00126F33"/>
    <w:rsid w:val="00140AD1"/>
    <w:rsid w:val="00140FB4"/>
    <w:rsid w:val="001418DA"/>
    <w:rsid w:val="00142DC8"/>
    <w:rsid w:val="00144C21"/>
    <w:rsid w:val="001452CC"/>
    <w:rsid w:val="0014760C"/>
    <w:rsid w:val="0015533D"/>
    <w:rsid w:val="00160660"/>
    <w:rsid w:val="001639CE"/>
    <w:rsid w:val="00170302"/>
    <w:rsid w:val="00174BB1"/>
    <w:rsid w:val="0017501D"/>
    <w:rsid w:val="00175FEF"/>
    <w:rsid w:val="00181E12"/>
    <w:rsid w:val="00191DB6"/>
    <w:rsid w:val="001922D2"/>
    <w:rsid w:val="001930C2"/>
    <w:rsid w:val="00194A4A"/>
    <w:rsid w:val="00195F6B"/>
    <w:rsid w:val="001C53C1"/>
    <w:rsid w:val="001D1E31"/>
    <w:rsid w:val="001D5C5E"/>
    <w:rsid w:val="001D739D"/>
    <w:rsid w:val="001E100D"/>
    <w:rsid w:val="001E5B04"/>
    <w:rsid w:val="001E75D7"/>
    <w:rsid w:val="001F1616"/>
    <w:rsid w:val="001F16AA"/>
    <w:rsid w:val="001F3286"/>
    <w:rsid w:val="00213243"/>
    <w:rsid w:val="00213EA5"/>
    <w:rsid w:val="002147E9"/>
    <w:rsid w:val="002158CA"/>
    <w:rsid w:val="00216AE4"/>
    <w:rsid w:val="00217133"/>
    <w:rsid w:val="002214A3"/>
    <w:rsid w:val="002366D6"/>
    <w:rsid w:val="00244100"/>
    <w:rsid w:val="00244BDE"/>
    <w:rsid w:val="002538C7"/>
    <w:rsid w:val="0025430F"/>
    <w:rsid w:val="00254A82"/>
    <w:rsid w:val="0026505A"/>
    <w:rsid w:val="00266961"/>
    <w:rsid w:val="00274727"/>
    <w:rsid w:val="00282388"/>
    <w:rsid w:val="00284E14"/>
    <w:rsid w:val="00286FBA"/>
    <w:rsid w:val="002A32A4"/>
    <w:rsid w:val="002C585E"/>
    <w:rsid w:val="002C7D01"/>
    <w:rsid w:val="002D2E49"/>
    <w:rsid w:val="002E02BB"/>
    <w:rsid w:val="002E02F1"/>
    <w:rsid w:val="002E09D3"/>
    <w:rsid w:val="002E32DB"/>
    <w:rsid w:val="002E3F3D"/>
    <w:rsid w:val="002E420C"/>
    <w:rsid w:val="002E5551"/>
    <w:rsid w:val="002E5FA5"/>
    <w:rsid w:val="003075A1"/>
    <w:rsid w:val="00310662"/>
    <w:rsid w:val="00322B01"/>
    <w:rsid w:val="00325434"/>
    <w:rsid w:val="003264FA"/>
    <w:rsid w:val="00326EC8"/>
    <w:rsid w:val="003309C5"/>
    <w:rsid w:val="00330A9A"/>
    <w:rsid w:val="00331B19"/>
    <w:rsid w:val="00332C2C"/>
    <w:rsid w:val="00335A50"/>
    <w:rsid w:val="003466C1"/>
    <w:rsid w:val="00352AFB"/>
    <w:rsid w:val="00353D90"/>
    <w:rsid w:val="00354448"/>
    <w:rsid w:val="00356AA8"/>
    <w:rsid w:val="003579B8"/>
    <w:rsid w:val="00367B84"/>
    <w:rsid w:val="0037158C"/>
    <w:rsid w:val="0037210F"/>
    <w:rsid w:val="0037281F"/>
    <w:rsid w:val="00375DEC"/>
    <w:rsid w:val="0037628D"/>
    <w:rsid w:val="003763FE"/>
    <w:rsid w:val="003953CD"/>
    <w:rsid w:val="003A230C"/>
    <w:rsid w:val="003B04D9"/>
    <w:rsid w:val="003B1A9F"/>
    <w:rsid w:val="003C08D5"/>
    <w:rsid w:val="003C398E"/>
    <w:rsid w:val="003C4D79"/>
    <w:rsid w:val="003C671C"/>
    <w:rsid w:val="003D11A9"/>
    <w:rsid w:val="003E1559"/>
    <w:rsid w:val="003E1654"/>
    <w:rsid w:val="003E44DC"/>
    <w:rsid w:val="003F168A"/>
    <w:rsid w:val="004023FA"/>
    <w:rsid w:val="00404B36"/>
    <w:rsid w:val="00407976"/>
    <w:rsid w:val="00412025"/>
    <w:rsid w:val="00415ADD"/>
    <w:rsid w:val="0041682C"/>
    <w:rsid w:val="00422FE4"/>
    <w:rsid w:val="004233ED"/>
    <w:rsid w:val="004329E2"/>
    <w:rsid w:val="004334F6"/>
    <w:rsid w:val="004365F8"/>
    <w:rsid w:val="00441E83"/>
    <w:rsid w:val="00450767"/>
    <w:rsid w:val="00453177"/>
    <w:rsid w:val="00456C79"/>
    <w:rsid w:val="0046237F"/>
    <w:rsid w:val="0046711A"/>
    <w:rsid w:val="004851CD"/>
    <w:rsid w:val="004853F5"/>
    <w:rsid w:val="004A2F03"/>
    <w:rsid w:val="004A45D5"/>
    <w:rsid w:val="004C10EF"/>
    <w:rsid w:val="004C6944"/>
    <w:rsid w:val="004D5F5C"/>
    <w:rsid w:val="004E40C2"/>
    <w:rsid w:val="004E76E9"/>
    <w:rsid w:val="00501E62"/>
    <w:rsid w:val="00502FC6"/>
    <w:rsid w:val="00514A53"/>
    <w:rsid w:val="00517ABA"/>
    <w:rsid w:val="00521D4A"/>
    <w:rsid w:val="005266DD"/>
    <w:rsid w:val="00530F95"/>
    <w:rsid w:val="00536726"/>
    <w:rsid w:val="00537872"/>
    <w:rsid w:val="005432D9"/>
    <w:rsid w:val="00554510"/>
    <w:rsid w:val="00556014"/>
    <w:rsid w:val="00557DBC"/>
    <w:rsid w:val="005607D7"/>
    <w:rsid w:val="005659DF"/>
    <w:rsid w:val="00584A32"/>
    <w:rsid w:val="00590417"/>
    <w:rsid w:val="005930F8"/>
    <w:rsid w:val="00595D0B"/>
    <w:rsid w:val="005A30ED"/>
    <w:rsid w:val="005A6766"/>
    <w:rsid w:val="005C10BC"/>
    <w:rsid w:val="005E13AE"/>
    <w:rsid w:val="005F51CA"/>
    <w:rsid w:val="005F55EA"/>
    <w:rsid w:val="005F7C6F"/>
    <w:rsid w:val="0060042C"/>
    <w:rsid w:val="00607DC5"/>
    <w:rsid w:val="0061130F"/>
    <w:rsid w:val="006167F0"/>
    <w:rsid w:val="00624454"/>
    <w:rsid w:val="00643B57"/>
    <w:rsid w:val="0065356A"/>
    <w:rsid w:val="006575EB"/>
    <w:rsid w:val="0067265E"/>
    <w:rsid w:val="00674180"/>
    <w:rsid w:val="00676BB8"/>
    <w:rsid w:val="006801B6"/>
    <w:rsid w:val="00685A6A"/>
    <w:rsid w:val="00691A5F"/>
    <w:rsid w:val="00692832"/>
    <w:rsid w:val="00693DC9"/>
    <w:rsid w:val="006970E3"/>
    <w:rsid w:val="006A11A5"/>
    <w:rsid w:val="006B2008"/>
    <w:rsid w:val="006B44DC"/>
    <w:rsid w:val="006C2658"/>
    <w:rsid w:val="006C3B41"/>
    <w:rsid w:val="006C4B93"/>
    <w:rsid w:val="006C6E93"/>
    <w:rsid w:val="006C7B79"/>
    <w:rsid w:val="006D16C9"/>
    <w:rsid w:val="006D78D3"/>
    <w:rsid w:val="006F0D46"/>
    <w:rsid w:val="006F0D6E"/>
    <w:rsid w:val="006F1E4B"/>
    <w:rsid w:val="00703BB6"/>
    <w:rsid w:val="00704306"/>
    <w:rsid w:val="00712396"/>
    <w:rsid w:val="007140FB"/>
    <w:rsid w:val="00726B2A"/>
    <w:rsid w:val="00742973"/>
    <w:rsid w:val="00742E1E"/>
    <w:rsid w:val="00743A63"/>
    <w:rsid w:val="0075091A"/>
    <w:rsid w:val="007556B8"/>
    <w:rsid w:val="007646FE"/>
    <w:rsid w:val="00764C65"/>
    <w:rsid w:val="0077404A"/>
    <w:rsid w:val="007833F8"/>
    <w:rsid w:val="007852DA"/>
    <w:rsid w:val="0079142C"/>
    <w:rsid w:val="007914DB"/>
    <w:rsid w:val="00791D1C"/>
    <w:rsid w:val="0079481A"/>
    <w:rsid w:val="007A6097"/>
    <w:rsid w:val="007B62FF"/>
    <w:rsid w:val="007B7DD7"/>
    <w:rsid w:val="007E4574"/>
    <w:rsid w:val="007E6EC4"/>
    <w:rsid w:val="007E75BE"/>
    <w:rsid w:val="007F1D5C"/>
    <w:rsid w:val="007F5084"/>
    <w:rsid w:val="007F645D"/>
    <w:rsid w:val="0080342A"/>
    <w:rsid w:val="00803FD9"/>
    <w:rsid w:val="00806538"/>
    <w:rsid w:val="00813FA9"/>
    <w:rsid w:val="008162C0"/>
    <w:rsid w:val="008213A5"/>
    <w:rsid w:val="008235BD"/>
    <w:rsid w:val="008472B3"/>
    <w:rsid w:val="00850B6B"/>
    <w:rsid w:val="00851F80"/>
    <w:rsid w:val="00856C5E"/>
    <w:rsid w:val="008628B1"/>
    <w:rsid w:val="00875562"/>
    <w:rsid w:val="008755ED"/>
    <w:rsid w:val="0088654F"/>
    <w:rsid w:val="00890739"/>
    <w:rsid w:val="00895824"/>
    <w:rsid w:val="008A07DB"/>
    <w:rsid w:val="008A2B62"/>
    <w:rsid w:val="008B09D4"/>
    <w:rsid w:val="008B6131"/>
    <w:rsid w:val="008C38E3"/>
    <w:rsid w:val="008D3557"/>
    <w:rsid w:val="008E037C"/>
    <w:rsid w:val="008E56B4"/>
    <w:rsid w:val="008F00B7"/>
    <w:rsid w:val="008F0BAE"/>
    <w:rsid w:val="008F535E"/>
    <w:rsid w:val="008F5AC4"/>
    <w:rsid w:val="00905D59"/>
    <w:rsid w:val="00922479"/>
    <w:rsid w:val="00923109"/>
    <w:rsid w:val="00926259"/>
    <w:rsid w:val="0092692A"/>
    <w:rsid w:val="00927577"/>
    <w:rsid w:val="009413F8"/>
    <w:rsid w:val="00941A83"/>
    <w:rsid w:val="00941E18"/>
    <w:rsid w:val="00946238"/>
    <w:rsid w:val="00963F73"/>
    <w:rsid w:val="00974D24"/>
    <w:rsid w:val="00980543"/>
    <w:rsid w:val="00980BAB"/>
    <w:rsid w:val="00983B63"/>
    <w:rsid w:val="00983FA8"/>
    <w:rsid w:val="009A3765"/>
    <w:rsid w:val="009A6680"/>
    <w:rsid w:val="009B1CF6"/>
    <w:rsid w:val="009C17C1"/>
    <w:rsid w:val="009C2E91"/>
    <w:rsid w:val="009D450C"/>
    <w:rsid w:val="009E12AA"/>
    <w:rsid w:val="009E5C6D"/>
    <w:rsid w:val="00A020C4"/>
    <w:rsid w:val="00A055E6"/>
    <w:rsid w:val="00A22B33"/>
    <w:rsid w:val="00A24F07"/>
    <w:rsid w:val="00A432CE"/>
    <w:rsid w:val="00A647CA"/>
    <w:rsid w:val="00A712C7"/>
    <w:rsid w:val="00A81FDD"/>
    <w:rsid w:val="00A842CE"/>
    <w:rsid w:val="00A930C7"/>
    <w:rsid w:val="00AA2D53"/>
    <w:rsid w:val="00AA6E2C"/>
    <w:rsid w:val="00AB15B3"/>
    <w:rsid w:val="00AB20A3"/>
    <w:rsid w:val="00AC34DD"/>
    <w:rsid w:val="00AC5DDC"/>
    <w:rsid w:val="00AD014F"/>
    <w:rsid w:val="00AD441E"/>
    <w:rsid w:val="00AD5DC3"/>
    <w:rsid w:val="00AD7976"/>
    <w:rsid w:val="00AE1FCE"/>
    <w:rsid w:val="00AF4C26"/>
    <w:rsid w:val="00AF7437"/>
    <w:rsid w:val="00AF7E22"/>
    <w:rsid w:val="00B00BA7"/>
    <w:rsid w:val="00B022DA"/>
    <w:rsid w:val="00B040CC"/>
    <w:rsid w:val="00B10085"/>
    <w:rsid w:val="00B1736E"/>
    <w:rsid w:val="00B21AEE"/>
    <w:rsid w:val="00B26169"/>
    <w:rsid w:val="00B376DA"/>
    <w:rsid w:val="00B41BF9"/>
    <w:rsid w:val="00B43791"/>
    <w:rsid w:val="00B610B2"/>
    <w:rsid w:val="00B6425F"/>
    <w:rsid w:val="00B70456"/>
    <w:rsid w:val="00B711F2"/>
    <w:rsid w:val="00B741AE"/>
    <w:rsid w:val="00B7621C"/>
    <w:rsid w:val="00B766C4"/>
    <w:rsid w:val="00B869A6"/>
    <w:rsid w:val="00B92D1F"/>
    <w:rsid w:val="00B96E73"/>
    <w:rsid w:val="00BA2715"/>
    <w:rsid w:val="00BB04F4"/>
    <w:rsid w:val="00BB5635"/>
    <w:rsid w:val="00BC25EE"/>
    <w:rsid w:val="00BC6DFC"/>
    <w:rsid w:val="00BD4BF0"/>
    <w:rsid w:val="00BE2C17"/>
    <w:rsid w:val="00BE49D4"/>
    <w:rsid w:val="00BE5969"/>
    <w:rsid w:val="00BE6468"/>
    <w:rsid w:val="00BE72BA"/>
    <w:rsid w:val="00BF04B7"/>
    <w:rsid w:val="00BF36AA"/>
    <w:rsid w:val="00C029BD"/>
    <w:rsid w:val="00C15947"/>
    <w:rsid w:val="00C236CD"/>
    <w:rsid w:val="00C541D3"/>
    <w:rsid w:val="00C61256"/>
    <w:rsid w:val="00C65C31"/>
    <w:rsid w:val="00C7195C"/>
    <w:rsid w:val="00C83A2E"/>
    <w:rsid w:val="00CA168C"/>
    <w:rsid w:val="00CA3665"/>
    <w:rsid w:val="00CA6255"/>
    <w:rsid w:val="00CB027C"/>
    <w:rsid w:val="00CB7FCB"/>
    <w:rsid w:val="00CC0A56"/>
    <w:rsid w:val="00CC1A40"/>
    <w:rsid w:val="00CC6197"/>
    <w:rsid w:val="00CE0836"/>
    <w:rsid w:val="00CE36C6"/>
    <w:rsid w:val="00CE376C"/>
    <w:rsid w:val="00CF0C5E"/>
    <w:rsid w:val="00CF16C3"/>
    <w:rsid w:val="00CF18E8"/>
    <w:rsid w:val="00CF2529"/>
    <w:rsid w:val="00CF2F5C"/>
    <w:rsid w:val="00CF56E2"/>
    <w:rsid w:val="00D074EA"/>
    <w:rsid w:val="00D12DE2"/>
    <w:rsid w:val="00D16529"/>
    <w:rsid w:val="00D23F98"/>
    <w:rsid w:val="00D271F9"/>
    <w:rsid w:val="00D27B79"/>
    <w:rsid w:val="00D40DB2"/>
    <w:rsid w:val="00D47FE8"/>
    <w:rsid w:val="00D51117"/>
    <w:rsid w:val="00D83E8D"/>
    <w:rsid w:val="00D87FF5"/>
    <w:rsid w:val="00D94C06"/>
    <w:rsid w:val="00D962D2"/>
    <w:rsid w:val="00DA71D2"/>
    <w:rsid w:val="00DA7338"/>
    <w:rsid w:val="00DA7A9B"/>
    <w:rsid w:val="00DC2CAD"/>
    <w:rsid w:val="00DC3CDC"/>
    <w:rsid w:val="00DC5093"/>
    <w:rsid w:val="00DE0047"/>
    <w:rsid w:val="00DE3C57"/>
    <w:rsid w:val="00DE7C5E"/>
    <w:rsid w:val="00E00D67"/>
    <w:rsid w:val="00E03410"/>
    <w:rsid w:val="00E126A7"/>
    <w:rsid w:val="00E16187"/>
    <w:rsid w:val="00E16D2E"/>
    <w:rsid w:val="00E240BB"/>
    <w:rsid w:val="00E24467"/>
    <w:rsid w:val="00E255A7"/>
    <w:rsid w:val="00E47652"/>
    <w:rsid w:val="00E4772B"/>
    <w:rsid w:val="00E51AAD"/>
    <w:rsid w:val="00E64883"/>
    <w:rsid w:val="00E80614"/>
    <w:rsid w:val="00E81EDB"/>
    <w:rsid w:val="00E87D0E"/>
    <w:rsid w:val="00E949B1"/>
    <w:rsid w:val="00EA09E9"/>
    <w:rsid w:val="00EA7615"/>
    <w:rsid w:val="00EB3A1E"/>
    <w:rsid w:val="00EC1379"/>
    <w:rsid w:val="00EC1852"/>
    <w:rsid w:val="00ED3DE4"/>
    <w:rsid w:val="00ED68F8"/>
    <w:rsid w:val="00ED7745"/>
    <w:rsid w:val="00EE61B9"/>
    <w:rsid w:val="00EE749B"/>
    <w:rsid w:val="00EF28E5"/>
    <w:rsid w:val="00EF32A2"/>
    <w:rsid w:val="00F027EE"/>
    <w:rsid w:val="00F06067"/>
    <w:rsid w:val="00F10FC0"/>
    <w:rsid w:val="00F157CA"/>
    <w:rsid w:val="00F2012F"/>
    <w:rsid w:val="00F224C6"/>
    <w:rsid w:val="00F2347B"/>
    <w:rsid w:val="00F26296"/>
    <w:rsid w:val="00F26C2B"/>
    <w:rsid w:val="00F27F87"/>
    <w:rsid w:val="00F334F2"/>
    <w:rsid w:val="00F35F75"/>
    <w:rsid w:val="00F473DF"/>
    <w:rsid w:val="00F50A83"/>
    <w:rsid w:val="00F524EB"/>
    <w:rsid w:val="00F63F5D"/>
    <w:rsid w:val="00F65A6C"/>
    <w:rsid w:val="00F71E46"/>
    <w:rsid w:val="00F72BD0"/>
    <w:rsid w:val="00F73EAA"/>
    <w:rsid w:val="00F74D65"/>
    <w:rsid w:val="00F76297"/>
    <w:rsid w:val="00F90875"/>
    <w:rsid w:val="00FA5368"/>
    <w:rsid w:val="00FB65D6"/>
    <w:rsid w:val="00FC5C30"/>
    <w:rsid w:val="00FD2174"/>
    <w:rsid w:val="00FD2552"/>
    <w:rsid w:val="00FD55ED"/>
    <w:rsid w:val="00FE242E"/>
    <w:rsid w:val="00FE4B48"/>
    <w:rsid w:val="00FE588F"/>
    <w:rsid w:val="00FF01FD"/>
    <w:rsid w:val="00FF56E5"/>
    <w:rsid w:val="06090832"/>
    <w:rsid w:val="0C172485"/>
    <w:rsid w:val="68C8A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C172485"/>
  <w15:chartTrackingRefBased/>
  <w15:docId w15:val="{A801E29E-0846-4D81-8E28-14D4005C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2D2"/>
  </w:style>
  <w:style w:type="paragraph" w:styleId="Heading1">
    <w:name w:val="heading 1"/>
    <w:basedOn w:val="Normal"/>
    <w:next w:val="Normal"/>
    <w:link w:val="Heading1Char"/>
    <w:uiPriority w:val="9"/>
    <w:qFormat/>
    <w:rsid w:val="008C38E3"/>
    <w:pPr>
      <w:keepNext/>
      <w:keepLines/>
      <w:spacing w:before="320" w:after="120" w:line="240" w:lineRule="auto"/>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9413F8"/>
    <w:pPr>
      <w:keepNext/>
      <w:keepLines/>
      <w:spacing w:before="240" w:after="60" w:line="240" w:lineRule="auto"/>
      <w:outlineLvl w:val="1"/>
    </w:pPr>
    <w:rPr>
      <w:rFonts w:ascii="Calibri" w:eastAsia="Times New Roman" w:hAnsi="Calibri" w:cs="Calibri"/>
      <w:b/>
      <w:bCs/>
      <w:color w:val="075190"/>
      <w:sz w:val="26"/>
      <w:szCs w:val="26"/>
    </w:rPr>
  </w:style>
  <w:style w:type="paragraph" w:styleId="Heading3">
    <w:name w:val="heading 3"/>
    <w:basedOn w:val="Normal"/>
    <w:next w:val="Normal"/>
    <w:link w:val="Heading3Char"/>
    <w:uiPriority w:val="9"/>
    <w:unhideWhenUsed/>
    <w:qFormat/>
    <w:rsid w:val="00927577"/>
    <w:pPr>
      <w:keepNext/>
      <w:keepLines/>
      <w:spacing w:before="160" w:after="60" w:line="240" w:lineRule="auto"/>
      <w:outlineLvl w:val="2"/>
    </w:pPr>
    <w:rPr>
      <w:rFonts w:eastAsiaTheme="majorEastAsia" w:cstheme="minorHAnsi"/>
      <w:i/>
      <w:iCs/>
      <w:color w:val="075190"/>
      <w:sz w:val="24"/>
      <w:szCs w:val="24"/>
    </w:rPr>
  </w:style>
  <w:style w:type="paragraph" w:styleId="Heading4">
    <w:name w:val="heading 4"/>
    <w:basedOn w:val="Normal"/>
    <w:next w:val="Normal"/>
    <w:link w:val="Heading4Char"/>
    <w:uiPriority w:val="9"/>
    <w:unhideWhenUsed/>
    <w:qFormat/>
    <w:rsid w:val="00905D59"/>
    <w:pPr>
      <w:keepNext/>
      <w:keepLines/>
      <w:spacing w:before="120" w:after="0"/>
      <w:outlineLvl w:val="3"/>
    </w:pPr>
    <w:rPr>
      <w:rFonts w:eastAsiaTheme="majorEastAsia" w:cstheme="minorHAnsi"/>
      <w:color w:val="075190"/>
    </w:rPr>
  </w:style>
  <w:style w:type="paragraph" w:styleId="Heading5">
    <w:name w:val="heading 5"/>
    <w:basedOn w:val="Normal"/>
    <w:next w:val="Normal"/>
    <w:link w:val="Heading5Char"/>
    <w:uiPriority w:val="9"/>
    <w:semiHidden/>
    <w:unhideWhenUsed/>
    <w:qFormat/>
    <w:rsid w:val="006A11A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A11A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A11A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A11A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A11A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8E3"/>
    <w:rPr>
      <w:rFonts w:eastAsiaTheme="majorEastAsia" w:cstheme="minorHAnsi"/>
      <w:b/>
      <w:bCs/>
      <w:sz w:val="28"/>
      <w:szCs w:val="28"/>
    </w:rPr>
  </w:style>
  <w:style w:type="character" w:customStyle="1" w:styleId="Heading2Char">
    <w:name w:val="Heading 2 Char"/>
    <w:basedOn w:val="DefaultParagraphFont"/>
    <w:link w:val="Heading2"/>
    <w:uiPriority w:val="9"/>
    <w:rsid w:val="009413F8"/>
    <w:rPr>
      <w:rFonts w:ascii="Calibri" w:eastAsia="Times New Roman" w:hAnsi="Calibri" w:cs="Calibri"/>
      <w:b/>
      <w:bCs/>
      <w:color w:val="075190"/>
      <w:sz w:val="26"/>
      <w:szCs w:val="26"/>
    </w:rPr>
  </w:style>
  <w:style w:type="character" w:customStyle="1" w:styleId="Heading3Char">
    <w:name w:val="Heading 3 Char"/>
    <w:basedOn w:val="DefaultParagraphFont"/>
    <w:link w:val="Heading3"/>
    <w:uiPriority w:val="9"/>
    <w:rsid w:val="00927577"/>
    <w:rPr>
      <w:rFonts w:eastAsiaTheme="majorEastAsia" w:cstheme="minorHAnsi"/>
      <w:i/>
      <w:iCs/>
      <w:color w:val="075190"/>
      <w:sz w:val="24"/>
      <w:szCs w:val="24"/>
    </w:rPr>
  </w:style>
  <w:style w:type="paragraph" w:styleId="Footer">
    <w:name w:val="footer"/>
    <w:basedOn w:val="Normal"/>
    <w:link w:val="FooterChar"/>
    <w:uiPriority w:val="99"/>
    <w:unhideWhenUsed/>
    <w:rsid w:val="00191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DB6"/>
  </w:style>
  <w:style w:type="paragraph" w:styleId="Title">
    <w:name w:val="Title"/>
    <w:basedOn w:val="Normal"/>
    <w:next w:val="Normal"/>
    <w:link w:val="TitleChar"/>
    <w:uiPriority w:val="10"/>
    <w:qFormat/>
    <w:rsid w:val="006A1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1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430F"/>
    <w:pPr>
      <w:numPr>
        <w:ilvl w:val="1"/>
      </w:numPr>
      <w:spacing w:after="240" w:line="240" w:lineRule="auto"/>
      <w:jc w:val="center"/>
    </w:pPr>
    <w:rPr>
      <w:rFonts w:asciiTheme="majorHAnsi" w:eastAsiaTheme="majorEastAsia" w:hAnsiTheme="majorHAnsi" w:cstheme="majorHAnsi"/>
      <w:spacing w:val="20"/>
      <w:sz w:val="28"/>
      <w:szCs w:val="28"/>
    </w:rPr>
  </w:style>
  <w:style w:type="character" w:customStyle="1" w:styleId="SubtitleChar">
    <w:name w:val="Subtitle Char"/>
    <w:basedOn w:val="DefaultParagraphFont"/>
    <w:link w:val="Subtitle"/>
    <w:uiPriority w:val="11"/>
    <w:rsid w:val="0025430F"/>
    <w:rPr>
      <w:rFonts w:asciiTheme="majorHAnsi" w:eastAsiaTheme="majorEastAsia" w:hAnsiTheme="majorHAnsi" w:cstheme="majorHAnsi"/>
      <w:spacing w:val="20"/>
      <w:sz w:val="28"/>
      <w:szCs w:val="28"/>
    </w:rPr>
  </w:style>
  <w:style w:type="character" w:customStyle="1" w:styleId="Heading4Char">
    <w:name w:val="Heading 4 Char"/>
    <w:basedOn w:val="DefaultParagraphFont"/>
    <w:link w:val="Heading4"/>
    <w:uiPriority w:val="9"/>
    <w:rsid w:val="00905D59"/>
    <w:rPr>
      <w:rFonts w:eastAsiaTheme="majorEastAsia" w:cstheme="minorHAnsi"/>
      <w:color w:val="075190"/>
    </w:rPr>
  </w:style>
  <w:style w:type="paragraph" w:styleId="ListParagraph">
    <w:name w:val="List Paragraph"/>
    <w:basedOn w:val="NoSpacing"/>
    <w:uiPriority w:val="34"/>
    <w:qFormat/>
    <w:rsid w:val="006A11A5"/>
    <w:pPr>
      <w:numPr>
        <w:numId w:val="1"/>
      </w:numPr>
    </w:pPr>
  </w:style>
  <w:style w:type="character" w:customStyle="1" w:styleId="Heading5Char">
    <w:name w:val="Heading 5 Char"/>
    <w:basedOn w:val="DefaultParagraphFont"/>
    <w:link w:val="Heading5"/>
    <w:uiPriority w:val="9"/>
    <w:semiHidden/>
    <w:rsid w:val="006A11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A11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A11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A11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A11A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A11A5"/>
    <w:pPr>
      <w:spacing w:line="240" w:lineRule="auto"/>
    </w:pPr>
    <w:rPr>
      <w:rFonts w:eastAsiaTheme="minorEastAsia"/>
      <w:b/>
      <w:bCs/>
      <w:smallCaps/>
      <w:color w:val="44546A" w:themeColor="text2"/>
    </w:rPr>
  </w:style>
  <w:style w:type="character" w:styleId="Strong">
    <w:name w:val="Strong"/>
    <w:basedOn w:val="DefaultParagraphFont"/>
    <w:uiPriority w:val="22"/>
    <w:qFormat/>
    <w:rsid w:val="006A11A5"/>
    <w:rPr>
      <w:b/>
      <w:bCs/>
    </w:rPr>
  </w:style>
  <w:style w:type="character" w:styleId="Emphasis">
    <w:name w:val="Emphasis"/>
    <w:basedOn w:val="DefaultParagraphFont"/>
    <w:uiPriority w:val="20"/>
    <w:qFormat/>
    <w:rsid w:val="006A11A5"/>
    <w:rPr>
      <w:i/>
      <w:iCs/>
    </w:rPr>
  </w:style>
  <w:style w:type="paragraph" w:styleId="NoSpacing">
    <w:name w:val="No Spacing"/>
    <w:uiPriority w:val="1"/>
    <w:qFormat/>
    <w:rsid w:val="006A11A5"/>
    <w:pPr>
      <w:spacing w:after="0" w:line="240" w:lineRule="auto"/>
    </w:pPr>
    <w:rPr>
      <w:rFonts w:eastAsiaTheme="minorEastAsia"/>
    </w:rPr>
  </w:style>
  <w:style w:type="paragraph" w:styleId="Quote">
    <w:name w:val="Quote"/>
    <w:basedOn w:val="Normal"/>
    <w:next w:val="Normal"/>
    <w:link w:val="QuoteChar"/>
    <w:uiPriority w:val="29"/>
    <w:qFormat/>
    <w:rsid w:val="006A11A5"/>
    <w:pPr>
      <w:pBdr>
        <w:left w:val="single" w:sz="4" w:space="4" w:color="833C0B" w:themeColor="accent2" w:themeShade="80"/>
      </w:pBdr>
      <w:spacing w:after="60" w:line="240" w:lineRule="auto"/>
      <w:ind w:left="720"/>
    </w:pPr>
    <w:rPr>
      <w:rFonts w:asciiTheme="majorHAnsi" w:eastAsiaTheme="minorEastAsia" w:hAnsiTheme="majorHAnsi" w:cstheme="majorHAnsi"/>
      <w:color w:val="833C0B" w:themeColor="accent2" w:themeShade="80"/>
      <w:sz w:val="24"/>
      <w:szCs w:val="24"/>
    </w:rPr>
  </w:style>
  <w:style w:type="character" w:customStyle="1" w:styleId="QuoteChar">
    <w:name w:val="Quote Char"/>
    <w:basedOn w:val="DefaultParagraphFont"/>
    <w:link w:val="Quote"/>
    <w:uiPriority w:val="29"/>
    <w:rsid w:val="006A11A5"/>
    <w:rPr>
      <w:rFonts w:asciiTheme="majorHAnsi" w:eastAsiaTheme="minorEastAsia" w:hAnsiTheme="majorHAnsi" w:cstheme="majorHAnsi"/>
      <w:color w:val="833C0B" w:themeColor="accent2" w:themeShade="80"/>
      <w:sz w:val="24"/>
      <w:szCs w:val="24"/>
    </w:rPr>
  </w:style>
  <w:style w:type="paragraph" w:styleId="IntenseQuote">
    <w:name w:val="Intense Quote"/>
    <w:basedOn w:val="Normal"/>
    <w:next w:val="Normal"/>
    <w:link w:val="IntenseQuoteChar"/>
    <w:uiPriority w:val="30"/>
    <w:qFormat/>
    <w:rsid w:val="006A11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A11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A11A5"/>
    <w:rPr>
      <w:i/>
      <w:iCs/>
      <w:color w:val="595959" w:themeColor="text1" w:themeTint="A6"/>
    </w:rPr>
  </w:style>
  <w:style w:type="character" w:styleId="IntenseEmphasis">
    <w:name w:val="Intense Emphasis"/>
    <w:basedOn w:val="DefaultParagraphFont"/>
    <w:uiPriority w:val="21"/>
    <w:qFormat/>
    <w:rsid w:val="006A11A5"/>
    <w:rPr>
      <w:b/>
      <w:bCs/>
      <w:i/>
      <w:iCs/>
    </w:rPr>
  </w:style>
  <w:style w:type="character" w:styleId="SubtleReference">
    <w:name w:val="Subtle Reference"/>
    <w:basedOn w:val="DefaultParagraphFont"/>
    <w:uiPriority w:val="31"/>
    <w:qFormat/>
    <w:rsid w:val="006A11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A11A5"/>
    <w:rPr>
      <w:b/>
      <w:bCs/>
      <w:smallCaps/>
      <w:color w:val="44546A" w:themeColor="text2"/>
      <w:u w:val="single"/>
    </w:rPr>
  </w:style>
  <w:style w:type="character" w:styleId="BookTitle">
    <w:name w:val="Book Title"/>
    <w:basedOn w:val="DefaultParagraphFont"/>
    <w:uiPriority w:val="33"/>
    <w:qFormat/>
    <w:rsid w:val="006A11A5"/>
    <w:rPr>
      <w:b/>
      <w:bCs/>
      <w:smallCaps/>
      <w:spacing w:val="10"/>
    </w:rPr>
  </w:style>
  <w:style w:type="paragraph" w:styleId="TOCHeading">
    <w:name w:val="TOC Heading"/>
    <w:basedOn w:val="Heading1"/>
    <w:next w:val="Normal"/>
    <w:uiPriority w:val="39"/>
    <w:semiHidden/>
    <w:unhideWhenUsed/>
    <w:qFormat/>
    <w:rsid w:val="006A11A5"/>
    <w:pPr>
      <w:spacing w:before="240" w:after="0" w:line="259" w:lineRule="auto"/>
      <w:outlineLvl w:val="9"/>
    </w:pPr>
    <w:rPr>
      <w:rFonts w:asciiTheme="majorHAnsi" w:hAnsiTheme="majorHAnsi"/>
      <w:b w:val="0"/>
      <w:bCs w:val="0"/>
      <w:color w:val="2F5496" w:themeColor="accent1" w:themeShade="BF"/>
      <w:sz w:val="32"/>
      <w:szCs w:val="32"/>
    </w:rPr>
  </w:style>
  <w:style w:type="paragraph" w:styleId="Header">
    <w:name w:val="header"/>
    <w:basedOn w:val="Normal"/>
    <w:link w:val="HeaderChar"/>
    <w:uiPriority w:val="99"/>
    <w:unhideWhenUsed/>
    <w:rsid w:val="007E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C4"/>
  </w:style>
  <w:style w:type="character" w:styleId="Hyperlink">
    <w:name w:val="Hyperlink"/>
    <w:basedOn w:val="DefaultParagraphFont"/>
    <w:uiPriority w:val="99"/>
    <w:unhideWhenUsed/>
    <w:rsid w:val="00F26C2B"/>
    <w:rPr>
      <w:color w:val="2F5496" w:themeColor="accent1" w:themeShade="BF"/>
      <w:u w:val="single"/>
    </w:rPr>
  </w:style>
  <w:style w:type="paragraph" w:styleId="Revision">
    <w:name w:val="Revision"/>
    <w:hidden/>
    <w:uiPriority w:val="99"/>
    <w:semiHidden/>
    <w:rsid w:val="003A230C"/>
    <w:pPr>
      <w:spacing w:after="0" w:line="240" w:lineRule="auto"/>
    </w:pPr>
  </w:style>
  <w:style w:type="character" w:styleId="CommentReference">
    <w:name w:val="annotation reference"/>
    <w:basedOn w:val="DefaultParagraphFont"/>
    <w:uiPriority w:val="99"/>
    <w:semiHidden/>
    <w:unhideWhenUsed/>
    <w:rsid w:val="0079142C"/>
    <w:rPr>
      <w:sz w:val="16"/>
      <w:szCs w:val="16"/>
    </w:rPr>
  </w:style>
  <w:style w:type="paragraph" w:styleId="CommentText">
    <w:name w:val="annotation text"/>
    <w:basedOn w:val="Normal"/>
    <w:link w:val="CommentTextChar"/>
    <w:uiPriority w:val="99"/>
    <w:unhideWhenUsed/>
    <w:rsid w:val="0079142C"/>
    <w:pPr>
      <w:spacing w:line="240" w:lineRule="auto"/>
    </w:pPr>
    <w:rPr>
      <w:sz w:val="20"/>
      <w:szCs w:val="20"/>
    </w:rPr>
  </w:style>
  <w:style w:type="character" w:customStyle="1" w:styleId="CommentTextChar">
    <w:name w:val="Comment Text Char"/>
    <w:basedOn w:val="DefaultParagraphFont"/>
    <w:link w:val="CommentText"/>
    <w:uiPriority w:val="99"/>
    <w:rsid w:val="0079142C"/>
    <w:rPr>
      <w:sz w:val="20"/>
      <w:szCs w:val="20"/>
    </w:rPr>
  </w:style>
  <w:style w:type="paragraph" w:styleId="CommentSubject">
    <w:name w:val="annotation subject"/>
    <w:basedOn w:val="CommentText"/>
    <w:next w:val="CommentText"/>
    <w:link w:val="CommentSubjectChar"/>
    <w:uiPriority w:val="99"/>
    <w:semiHidden/>
    <w:unhideWhenUsed/>
    <w:rsid w:val="0079142C"/>
    <w:rPr>
      <w:b/>
      <w:bCs/>
    </w:rPr>
  </w:style>
  <w:style w:type="character" w:customStyle="1" w:styleId="CommentSubjectChar">
    <w:name w:val="Comment Subject Char"/>
    <w:basedOn w:val="CommentTextChar"/>
    <w:link w:val="CommentSubject"/>
    <w:uiPriority w:val="99"/>
    <w:semiHidden/>
    <w:rsid w:val="0079142C"/>
    <w:rPr>
      <w:b/>
      <w:bCs/>
      <w:sz w:val="20"/>
      <w:szCs w:val="20"/>
    </w:rPr>
  </w:style>
  <w:style w:type="character" w:styleId="UnresolvedMention">
    <w:name w:val="Unresolved Mention"/>
    <w:basedOn w:val="DefaultParagraphFont"/>
    <w:uiPriority w:val="99"/>
    <w:semiHidden/>
    <w:unhideWhenUsed/>
    <w:rsid w:val="00B040CC"/>
    <w:rPr>
      <w:color w:val="605E5C"/>
      <w:shd w:val="clear" w:color="auto" w:fill="E1DFDD"/>
    </w:rPr>
  </w:style>
  <w:style w:type="table" w:styleId="TableGrid">
    <w:name w:val="Table Grid"/>
    <w:basedOn w:val="TableNormal"/>
    <w:uiPriority w:val="39"/>
    <w:rsid w:val="0053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1AEE"/>
    <w:rPr>
      <w:color w:val="954F72" w:themeColor="followedHyperlink"/>
      <w:u w:val="single"/>
    </w:rPr>
  </w:style>
  <w:style w:type="paragraph" w:styleId="BalloonText">
    <w:name w:val="Balloon Text"/>
    <w:basedOn w:val="Normal"/>
    <w:link w:val="BalloonTextChar"/>
    <w:uiPriority w:val="99"/>
    <w:semiHidden/>
    <w:unhideWhenUsed/>
    <w:rsid w:val="00441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E83"/>
    <w:rPr>
      <w:rFonts w:ascii="Segoe UI" w:hAnsi="Segoe UI" w:cs="Segoe UI"/>
      <w:sz w:val="18"/>
      <w:szCs w:val="18"/>
    </w:rPr>
  </w:style>
  <w:style w:type="character" w:styleId="LineNumber">
    <w:name w:val="line number"/>
    <w:basedOn w:val="DefaultParagraphFont"/>
    <w:uiPriority w:val="99"/>
    <w:semiHidden/>
    <w:unhideWhenUsed/>
    <w:rsid w:val="008B0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2725">
      <w:bodyDiv w:val="1"/>
      <w:marLeft w:val="0"/>
      <w:marRight w:val="0"/>
      <w:marTop w:val="0"/>
      <w:marBottom w:val="0"/>
      <w:divBdr>
        <w:top w:val="none" w:sz="0" w:space="0" w:color="auto"/>
        <w:left w:val="none" w:sz="0" w:space="0" w:color="auto"/>
        <w:bottom w:val="none" w:sz="0" w:space="0" w:color="auto"/>
        <w:right w:val="none" w:sz="0" w:space="0" w:color="auto"/>
      </w:divBdr>
      <w:divsChild>
        <w:div w:id="1748577920">
          <w:marLeft w:val="360"/>
          <w:marRight w:val="0"/>
          <w:marTop w:val="96"/>
          <w:marBottom w:val="0"/>
          <w:divBdr>
            <w:top w:val="none" w:sz="0" w:space="0" w:color="auto"/>
            <w:left w:val="none" w:sz="0" w:space="0" w:color="auto"/>
            <w:bottom w:val="none" w:sz="0" w:space="0" w:color="auto"/>
            <w:right w:val="none" w:sz="0" w:space="0" w:color="auto"/>
          </w:divBdr>
        </w:div>
      </w:divsChild>
    </w:div>
    <w:div w:id="240457564">
      <w:bodyDiv w:val="1"/>
      <w:marLeft w:val="0"/>
      <w:marRight w:val="0"/>
      <w:marTop w:val="0"/>
      <w:marBottom w:val="0"/>
      <w:divBdr>
        <w:top w:val="none" w:sz="0" w:space="0" w:color="auto"/>
        <w:left w:val="none" w:sz="0" w:space="0" w:color="auto"/>
        <w:bottom w:val="none" w:sz="0" w:space="0" w:color="auto"/>
        <w:right w:val="none" w:sz="0" w:space="0" w:color="auto"/>
      </w:divBdr>
    </w:div>
    <w:div w:id="558590401">
      <w:bodyDiv w:val="1"/>
      <w:marLeft w:val="0"/>
      <w:marRight w:val="0"/>
      <w:marTop w:val="0"/>
      <w:marBottom w:val="0"/>
      <w:divBdr>
        <w:top w:val="none" w:sz="0" w:space="0" w:color="auto"/>
        <w:left w:val="none" w:sz="0" w:space="0" w:color="auto"/>
        <w:bottom w:val="none" w:sz="0" w:space="0" w:color="auto"/>
        <w:right w:val="none" w:sz="0" w:space="0" w:color="auto"/>
      </w:divBdr>
      <w:divsChild>
        <w:div w:id="982928513">
          <w:marLeft w:val="360"/>
          <w:marRight w:val="0"/>
          <w:marTop w:val="96"/>
          <w:marBottom w:val="0"/>
          <w:divBdr>
            <w:top w:val="none" w:sz="0" w:space="0" w:color="auto"/>
            <w:left w:val="none" w:sz="0" w:space="0" w:color="auto"/>
            <w:bottom w:val="none" w:sz="0" w:space="0" w:color="auto"/>
            <w:right w:val="none" w:sz="0" w:space="0" w:color="auto"/>
          </w:divBdr>
        </w:div>
      </w:divsChild>
    </w:div>
    <w:div w:id="599266432">
      <w:bodyDiv w:val="1"/>
      <w:marLeft w:val="0"/>
      <w:marRight w:val="0"/>
      <w:marTop w:val="0"/>
      <w:marBottom w:val="0"/>
      <w:divBdr>
        <w:top w:val="none" w:sz="0" w:space="0" w:color="auto"/>
        <w:left w:val="none" w:sz="0" w:space="0" w:color="auto"/>
        <w:bottom w:val="none" w:sz="0" w:space="0" w:color="auto"/>
        <w:right w:val="none" w:sz="0" w:space="0" w:color="auto"/>
      </w:divBdr>
      <w:divsChild>
        <w:div w:id="1282881431">
          <w:marLeft w:val="1166"/>
          <w:marRight w:val="0"/>
          <w:marTop w:val="86"/>
          <w:marBottom w:val="0"/>
          <w:divBdr>
            <w:top w:val="none" w:sz="0" w:space="0" w:color="auto"/>
            <w:left w:val="none" w:sz="0" w:space="0" w:color="auto"/>
            <w:bottom w:val="none" w:sz="0" w:space="0" w:color="auto"/>
            <w:right w:val="none" w:sz="0" w:space="0" w:color="auto"/>
          </w:divBdr>
        </w:div>
      </w:divsChild>
    </w:div>
    <w:div w:id="649134631">
      <w:bodyDiv w:val="1"/>
      <w:marLeft w:val="0"/>
      <w:marRight w:val="0"/>
      <w:marTop w:val="0"/>
      <w:marBottom w:val="0"/>
      <w:divBdr>
        <w:top w:val="none" w:sz="0" w:space="0" w:color="auto"/>
        <w:left w:val="none" w:sz="0" w:space="0" w:color="auto"/>
        <w:bottom w:val="none" w:sz="0" w:space="0" w:color="auto"/>
        <w:right w:val="none" w:sz="0" w:space="0" w:color="auto"/>
      </w:divBdr>
    </w:div>
    <w:div w:id="730857510">
      <w:bodyDiv w:val="1"/>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1166"/>
          <w:marRight w:val="0"/>
          <w:marTop w:val="200"/>
          <w:marBottom w:val="0"/>
          <w:divBdr>
            <w:top w:val="none" w:sz="0" w:space="0" w:color="auto"/>
            <w:left w:val="none" w:sz="0" w:space="0" w:color="auto"/>
            <w:bottom w:val="none" w:sz="0" w:space="0" w:color="auto"/>
            <w:right w:val="none" w:sz="0" w:space="0" w:color="auto"/>
          </w:divBdr>
        </w:div>
        <w:div w:id="1609311582">
          <w:marLeft w:val="1166"/>
          <w:marRight w:val="0"/>
          <w:marTop w:val="200"/>
          <w:marBottom w:val="0"/>
          <w:divBdr>
            <w:top w:val="none" w:sz="0" w:space="0" w:color="auto"/>
            <w:left w:val="none" w:sz="0" w:space="0" w:color="auto"/>
            <w:bottom w:val="none" w:sz="0" w:space="0" w:color="auto"/>
            <w:right w:val="none" w:sz="0" w:space="0" w:color="auto"/>
          </w:divBdr>
        </w:div>
        <w:div w:id="681710729">
          <w:marLeft w:val="1166"/>
          <w:marRight w:val="0"/>
          <w:marTop w:val="200"/>
          <w:marBottom w:val="0"/>
          <w:divBdr>
            <w:top w:val="none" w:sz="0" w:space="0" w:color="auto"/>
            <w:left w:val="none" w:sz="0" w:space="0" w:color="auto"/>
            <w:bottom w:val="none" w:sz="0" w:space="0" w:color="auto"/>
            <w:right w:val="none" w:sz="0" w:space="0" w:color="auto"/>
          </w:divBdr>
        </w:div>
        <w:div w:id="292753114">
          <w:marLeft w:val="1166"/>
          <w:marRight w:val="0"/>
          <w:marTop w:val="200"/>
          <w:marBottom w:val="0"/>
          <w:divBdr>
            <w:top w:val="none" w:sz="0" w:space="0" w:color="auto"/>
            <w:left w:val="none" w:sz="0" w:space="0" w:color="auto"/>
            <w:bottom w:val="none" w:sz="0" w:space="0" w:color="auto"/>
            <w:right w:val="none" w:sz="0" w:space="0" w:color="auto"/>
          </w:divBdr>
        </w:div>
        <w:div w:id="705641428">
          <w:marLeft w:val="1166"/>
          <w:marRight w:val="0"/>
          <w:marTop w:val="200"/>
          <w:marBottom w:val="0"/>
          <w:divBdr>
            <w:top w:val="none" w:sz="0" w:space="0" w:color="auto"/>
            <w:left w:val="none" w:sz="0" w:space="0" w:color="auto"/>
            <w:bottom w:val="none" w:sz="0" w:space="0" w:color="auto"/>
            <w:right w:val="none" w:sz="0" w:space="0" w:color="auto"/>
          </w:divBdr>
        </w:div>
        <w:div w:id="1457679512">
          <w:marLeft w:val="1166"/>
          <w:marRight w:val="0"/>
          <w:marTop w:val="200"/>
          <w:marBottom w:val="0"/>
          <w:divBdr>
            <w:top w:val="none" w:sz="0" w:space="0" w:color="auto"/>
            <w:left w:val="none" w:sz="0" w:space="0" w:color="auto"/>
            <w:bottom w:val="none" w:sz="0" w:space="0" w:color="auto"/>
            <w:right w:val="none" w:sz="0" w:space="0" w:color="auto"/>
          </w:divBdr>
        </w:div>
      </w:divsChild>
    </w:div>
    <w:div w:id="869488692">
      <w:bodyDiv w:val="1"/>
      <w:marLeft w:val="0"/>
      <w:marRight w:val="0"/>
      <w:marTop w:val="0"/>
      <w:marBottom w:val="0"/>
      <w:divBdr>
        <w:top w:val="none" w:sz="0" w:space="0" w:color="auto"/>
        <w:left w:val="none" w:sz="0" w:space="0" w:color="auto"/>
        <w:bottom w:val="none" w:sz="0" w:space="0" w:color="auto"/>
        <w:right w:val="none" w:sz="0" w:space="0" w:color="auto"/>
      </w:divBdr>
    </w:div>
    <w:div w:id="880362511">
      <w:bodyDiv w:val="1"/>
      <w:marLeft w:val="0"/>
      <w:marRight w:val="0"/>
      <w:marTop w:val="0"/>
      <w:marBottom w:val="0"/>
      <w:divBdr>
        <w:top w:val="none" w:sz="0" w:space="0" w:color="auto"/>
        <w:left w:val="none" w:sz="0" w:space="0" w:color="auto"/>
        <w:bottom w:val="none" w:sz="0" w:space="0" w:color="auto"/>
        <w:right w:val="none" w:sz="0" w:space="0" w:color="auto"/>
      </w:divBdr>
      <w:divsChild>
        <w:div w:id="1061708421">
          <w:marLeft w:val="360"/>
          <w:marRight w:val="0"/>
          <w:marTop w:val="96"/>
          <w:marBottom w:val="0"/>
          <w:divBdr>
            <w:top w:val="none" w:sz="0" w:space="0" w:color="auto"/>
            <w:left w:val="none" w:sz="0" w:space="0" w:color="auto"/>
            <w:bottom w:val="none" w:sz="0" w:space="0" w:color="auto"/>
            <w:right w:val="none" w:sz="0" w:space="0" w:color="auto"/>
          </w:divBdr>
        </w:div>
      </w:divsChild>
    </w:div>
    <w:div w:id="1115052790">
      <w:bodyDiv w:val="1"/>
      <w:marLeft w:val="0"/>
      <w:marRight w:val="0"/>
      <w:marTop w:val="0"/>
      <w:marBottom w:val="0"/>
      <w:divBdr>
        <w:top w:val="none" w:sz="0" w:space="0" w:color="auto"/>
        <w:left w:val="none" w:sz="0" w:space="0" w:color="auto"/>
        <w:bottom w:val="none" w:sz="0" w:space="0" w:color="auto"/>
        <w:right w:val="none" w:sz="0" w:space="0" w:color="auto"/>
      </w:divBdr>
    </w:div>
    <w:div w:id="1129906911">
      <w:bodyDiv w:val="1"/>
      <w:marLeft w:val="0"/>
      <w:marRight w:val="0"/>
      <w:marTop w:val="0"/>
      <w:marBottom w:val="0"/>
      <w:divBdr>
        <w:top w:val="none" w:sz="0" w:space="0" w:color="auto"/>
        <w:left w:val="none" w:sz="0" w:space="0" w:color="auto"/>
        <w:bottom w:val="none" w:sz="0" w:space="0" w:color="auto"/>
        <w:right w:val="none" w:sz="0" w:space="0" w:color="auto"/>
      </w:divBdr>
      <w:divsChild>
        <w:div w:id="957638825">
          <w:marLeft w:val="360"/>
          <w:marRight w:val="0"/>
          <w:marTop w:val="96"/>
          <w:marBottom w:val="0"/>
          <w:divBdr>
            <w:top w:val="none" w:sz="0" w:space="0" w:color="auto"/>
            <w:left w:val="none" w:sz="0" w:space="0" w:color="auto"/>
            <w:bottom w:val="none" w:sz="0" w:space="0" w:color="auto"/>
            <w:right w:val="none" w:sz="0" w:space="0" w:color="auto"/>
          </w:divBdr>
        </w:div>
      </w:divsChild>
    </w:div>
    <w:div w:id="1137793429">
      <w:bodyDiv w:val="1"/>
      <w:marLeft w:val="0"/>
      <w:marRight w:val="0"/>
      <w:marTop w:val="0"/>
      <w:marBottom w:val="0"/>
      <w:divBdr>
        <w:top w:val="none" w:sz="0" w:space="0" w:color="auto"/>
        <w:left w:val="none" w:sz="0" w:space="0" w:color="auto"/>
        <w:bottom w:val="none" w:sz="0" w:space="0" w:color="auto"/>
        <w:right w:val="none" w:sz="0" w:space="0" w:color="auto"/>
      </w:divBdr>
    </w:div>
    <w:div w:id="1152789893">
      <w:bodyDiv w:val="1"/>
      <w:marLeft w:val="0"/>
      <w:marRight w:val="0"/>
      <w:marTop w:val="0"/>
      <w:marBottom w:val="0"/>
      <w:divBdr>
        <w:top w:val="none" w:sz="0" w:space="0" w:color="auto"/>
        <w:left w:val="none" w:sz="0" w:space="0" w:color="auto"/>
        <w:bottom w:val="none" w:sz="0" w:space="0" w:color="auto"/>
        <w:right w:val="none" w:sz="0" w:space="0" w:color="auto"/>
      </w:divBdr>
    </w:div>
    <w:div w:id="1670987817">
      <w:bodyDiv w:val="1"/>
      <w:marLeft w:val="0"/>
      <w:marRight w:val="0"/>
      <w:marTop w:val="0"/>
      <w:marBottom w:val="0"/>
      <w:divBdr>
        <w:top w:val="none" w:sz="0" w:space="0" w:color="auto"/>
        <w:left w:val="none" w:sz="0" w:space="0" w:color="auto"/>
        <w:bottom w:val="none" w:sz="0" w:space="0" w:color="auto"/>
        <w:right w:val="none" w:sz="0" w:space="0" w:color="auto"/>
      </w:divBdr>
    </w:div>
    <w:div w:id="177702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aps-pilot.acl.gov/api/upload/download?title=III&amp;downloadType=AppendixA" TargetMode="External"/><Relationship Id="rId18" Type="http://schemas.openxmlformats.org/officeDocument/2006/relationships/hyperlink" Target="https://acl.gov/sites/default/files/NutritionEducationCalenda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youtube.com/watch?v=ADXYPAFVnQs" TargetMode="External"/><Relationship Id="rId2" Type="http://schemas.openxmlformats.org/officeDocument/2006/relationships/customXml" Target="../customXml/item2.xml"/><Relationship Id="rId16" Type="http://schemas.openxmlformats.org/officeDocument/2006/relationships/hyperlink" Target="https://acl.gov/sites/default/files/nutrition/SNPNutritionEdRequirements_Dec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l.gov/sites/default/files/nutrition/NutritionServiceReportingQuickTips2023.pdf" TargetMode="External"/><Relationship Id="rId5" Type="http://schemas.openxmlformats.org/officeDocument/2006/relationships/numbering" Target="numbering.xml"/><Relationship Id="rId15" Type="http://schemas.openxmlformats.org/officeDocument/2006/relationships/hyperlink" Target="https://acl.gov/senior-nutrition/oaa-basics-federal-requirem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l.gov/senior-nutrition/nutritio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a4b1bcb-7f27-4b5a-8fd6-c9b520912dc4" xsi:nil="true"/>
    <lcf76f155ced4ddcb4097134ff3c332f xmlns="ea20a885-74d7-48f3-8484-9606ca1e6f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7" ma:contentTypeDescription="Create a new document." ma:contentTypeScope="" ma:versionID="be3a51e2a5e604474fc1cbfeb5d4e9b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306560895e542fa14f23f2ff72d8c255"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1BABE-355F-47F1-BE4F-6AD5FA52042D}">
  <ds:schemaRefs>
    <ds:schemaRef ds:uri="http://schemas.openxmlformats.org/officeDocument/2006/bibliography"/>
  </ds:schemaRefs>
</ds:datastoreItem>
</file>

<file path=customXml/itemProps2.xml><?xml version="1.0" encoding="utf-8"?>
<ds:datastoreItem xmlns:ds="http://schemas.openxmlformats.org/officeDocument/2006/customXml" ds:itemID="{A64440A8-165E-453F-BF53-45FA20849039}">
  <ds:schemaRefs>
    <ds:schemaRef ds:uri="ea20a885-74d7-48f3-8484-9606ca1e6fc6"/>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5a4b1bcb-7f27-4b5a-8fd6-c9b520912dc4"/>
  </ds:schemaRefs>
</ds:datastoreItem>
</file>

<file path=customXml/itemProps3.xml><?xml version="1.0" encoding="utf-8"?>
<ds:datastoreItem xmlns:ds="http://schemas.openxmlformats.org/officeDocument/2006/customXml" ds:itemID="{8B87D633-3700-4B4E-A4CD-A61F07F6B672}">
  <ds:schemaRefs>
    <ds:schemaRef ds:uri="http://schemas.microsoft.com/sharepoint/v3/contenttype/forms"/>
  </ds:schemaRefs>
</ds:datastoreItem>
</file>

<file path=customXml/itemProps4.xml><?xml version="1.0" encoding="utf-8"?>
<ds:datastoreItem xmlns:ds="http://schemas.openxmlformats.org/officeDocument/2006/customXml" ds:itemID="{178E1B25-7EF9-4512-A6EA-4162585DD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898</Words>
  <Characters>5831</Characters>
  <Application>Microsoft Office Word</Application>
  <DocSecurity>0</DocSecurity>
  <Lines>208</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Education Monitoring Template for SUAs</dc:title>
  <dc:subject/>
  <dc:creator>Office of Nutrition and Health Promotion Programs</dc:creator>
  <cp:keywords/>
  <dc:description/>
  <cp:lastModifiedBy>Christine Hubbard</cp:lastModifiedBy>
  <cp:revision>20</cp:revision>
  <cp:lastPrinted>2023-08-23T21:04:00Z</cp:lastPrinted>
  <dcterms:created xsi:type="dcterms:W3CDTF">2023-10-05T12:44:00Z</dcterms:created>
  <dcterms:modified xsi:type="dcterms:W3CDTF">2023-10-13T13:34:00Z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y fmtid="{D5CDD505-2E9C-101B-9397-08002B2CF9AE}" pid="3" name="MediaServiceImageTags">
    <vt:lpwstr/>
  </property>
  <property fmtid="{D5CDD505-2E9C-101B-9397-08002B2CF9AE}" pid="4" name="GrammarlyDocumentId">
    <vt:lpwstr>85937395ea7861bfca872e4544bf321bea15c7a197026c28bfc2ba8ab7ade600</vt:lpwstr>
  </property>
</Properties>
</file>