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59E" w:rsidRPr="00987B90" w:rsidRDefault="007C759E" w:rsidP="00592C15">
      <w:pPr>
        <w:pStyle w:val="NoSpacing"/>
        <w:rPr>
          <w:rFonts w:ascii="Times New Roman" w:hAnsi="Times New Roman" w:cs="Times New Roman"/>
          <w:b/>
          <w:sz w:val="24"/>
          <w:szCs w:val="24"/>
        </w:rPr>
      </w:pPr>
    </w:p>
    <w:p w:rsidR="00592C15" w:rsidRPr="00987B90" w:rsidRDefault="00592C15" w:rsidP="00592C15">
      <w:pPr>
        <w:pStyle w:val="NoSpacing"/>
        <w:rPr>
          <w:rFonts w:ascii="Times New Roman" w:hAnsi="Times New Roman" w:cs="Times New Roman"/>
          <w:b/>
          <w:sz w:val="24"/>
          <w:szCs w:val="24"/>
        </w:rPr>
      </w:pPr>
      <w:r w:rsidRPr="00987B90">
        <w:rPr>
          <w:rFonts w:ascii="Times New Roman" w:hAnsi="Times New Roman" w:cs="Times New Roman"/>
          <w:b/>
          <w:sz w:val="24"/>
          <w:szCs w:val="24"/>
        </w:rPr>
        <w:t>Information Memorandum</w:t>
      </w:r>
    </w:p>
    <w:p w:rsidR="00504183" w:rsidRPr="00987B90" w:rsidRDefault="00037BA0" w:rsidP="00592C15">
      <w:pPr>
        <w:pStyle w:val="NoSpacing"/>
        <w:rPr>
          <w:rFonts w:ascii="Times New Roman" w:hAnsi="Times New Roman" w:cs="Times New Roman"/>
          <w:b/>
          <w:sz w:val="24"/>
          <w:szCs w:val="24"/>
        </w:rPr>
      </w:pPr>
      <w:r w:rsidRPr="00987B90">
        <w:rPr>
          <w:rFonts w:ascii="Times New Roman" w:hAnsi="Times New Roman" w:cs="Times New Roman"/>
          <w:b/>
          <w:sz w:val="24"/>
          <w:szCs w:val="24"/>
        </w:rPr>
        <w:t>AIDD-IM</w:t>
      </w:r>
      <w:r w:rsidR="00D464DF">
        <w:rPr>
          <w:rFonts w:ascii="Times New Roman" w:hAnsi="Times New Roman" w:cs="Times New Roman"/>
          <w:b/>
          <w:sz w:val="24"/>
          <w:szCs w:val="24"/>
        </w:rPr>
        <w:t>-19</w:t>
      </w:r>
      <w:r w:rsidR="00D74569" w:rsidRPr="00987B90">
        <w:rPr>
          <w:rFonts w:ascii="Times New Roman" w:hAnsi="Times New Roman" w:cs="Times New Roman"/>
          <w:b/>
          <w:sz w:val="24"/>
          <w:szCs w:val="24"/>
        </w:rPr>
        <w:t>-01</w:t>
      </w:r>
    </w:p>
    <w:p w:rsidR="00504183" w:rsidRPr="00987B90" w:rsidRDefault="00D464DF" w:rsidP="00504183">
      <w:pPr>
        <w:pStyle w:val="NoSpacing"/>
        <w:rPr>
          <w:rFonts w:ascii="Times New Roman" w:hAnsi="Times New Roman" w:cs="Times New Roman"/>
          <w:sz w:val="24"/>
          <w:szCs w:val="24"/>
        </w:rPr>
      </w:pPr>
      <w:r>
        <w:rPr>
          <w:rFonts w:ascii="Times New Roman" w:hAnsi="Times New Roman" w:cs="Times New Roman"/>
          <w:b/>
          <w:sz w:val="24"/>
          <w:szCs w:val="24"/>
        </w:rPr>
        <w:t xml:space="preserve">Issued:  </w:t>
      </w:r>
      <w:r w:rsidR="0085250A">
        <w:rPr>
          <w:rFonts w:ascii="Times New Roman" w:hAnsi="Times New Roman" w:cs="Times New Roman"/>
          <w:b/>
          <w:sz w:val="24"/>
          <w:szCs w:val="24"/>
        </w:rPr>
        <w:t>February 4, 2019</w:t>
      </w:r>
    </w:p>
    <w:p w:rsidR="007C759E" w:rsidRPr="00987B90" w:rsidRDefault="007C759E" w:rsidP="00504183">
      <w:pPr>
        <w:pStyle w:val="NoSpacing"/>
        <w:rPr>
          <w:rFonts w:ascii="Times New Roman" w:hAnsi="Times New Roman" w:cs="Times New Roman"/>
          <w:b/>
          <w:bCs/>
          <w:sz w:val="24"/>
          <w:szCs w:val="24"/>
        </w:rPr>
      </w:pPr>
    </w:p>
    <w:p w:rsidR="00592C15" w:rsidRPr="00987B90" w:rsidRDefault="00592C15" w:rsidP="00504183">
      <w:pPr>
        <w:pStyle w:val="NoSpacing"/>
        <w:rPr>
          <w:rFonts w:ascii="Times New Roman" w:hAnsi="Times New Roman" w:cs="Times New Roman"/>
          <w:b/>
          <w:bCs/>
          <w:sz w:val="24"/>
          <w:szCs w:val="24"/>
        </w:rPr>
      </w:pPr>
      <w:r w:rsidRPr="00987B90">
        <w:rPr>
          <w:rFonts w:ascii="Times New Roman" w:hAnsi="Times New Roman" w:cs="Times New Roman"/>
          <w:b/>
          <w:bCs/>
          <w:sz w:val="24"/>
          <w:szCs w:val="24"/>
        </w:rPr>
        <w:t>TO:</w:t>
      </w:r>
    </w:p>
    <w:p w:rsidR="00592C15" w:rsidRPr="00987B90" w:rsidRDefault="00592C15" w:rsidP="00504183">
      <w:pPr>
        <w:pStyle w:val="NoSpacing"/>
        <w:rPr>
          <w:rFonts w:ascii="Times New Roman" w:hAnsi="Times New Roman" w:cs="Times New Roman"/>
          <w:bCs/>
          <w:sz w:val="24"/>
          <w:szCs w:val="24"/>
        </w:rPr>
      </w:pPr>
      <w:r w:rsidRPr="00987B90">
        <w:rPr>
          <w:rFonts w:ascii="Times New Roman" w:hAnsi="Times New Roman" w:cs="Times New Roman"/>
          <w:bCs/>
          <w:sz w:val="24"/>
          <w:szCs w:val="24"/>
        </w:rPr>
        <w:t>Director, Designated State Agencies</w:t>
      </w:r>
    </w:p>
    <w:p w:rsidR="00592C15" w:rsidRPr="00987B90" w:rsidRDefault="00592C15" w:rsidP="00504183">
      <w:pPr>
        <w:pStyle w:val="NoSpacing"/>
        <w:rPr>
          <w:rFonts w:ascii="Times New Roman" w:hAnsi="Times New Roman" w:cs="Times New Roman"/>
          <w:bCs/>
          <w:sz w:val="24"/>
          <w:szCs w:val="24"/>
        </w:rPr>
      </w:pPr>
      <w:r w:rsidRPr="00987B90">
        <w:rPr>
          <w:rFonts w:ascii="Times New Roman" w:hAnsi="Times New Roman" w:cs="Times New Roman"/>
          <w:bCs/>
          <w:sz w:val="24"/>
          <w:szCs w:val="24"/>
        </w:rPr>
        <w:t xml:space="preserve">Executive Directors, State </w:t>
      </w:r>
      <w:r w:rsidR="008D0B27" w:rsidRPr="00987B90">
        <w:rPr>
          <w:rFonts w:ascii="Times New Roman" w:hAnsi="Times New Roman" w:cs="Times New Roman"/>
          <w:bCs/>
          <w:sz w:val="24"/>
          <w:szCs w:val="24"/>
        </w:rPr>
        <w:t xml:space="preserve">Councils </w:t>
      </w:r>
      <w:r w:rsidR="008D0B27">
        <w:rPr>
          <w:rFonts w:ascii="Times New Roman" w:hAnsi="Times New Roman" w:cs="Times New Roman"/>
          <w:bCs/>
          <w:sz w:val="24"/>
          <w:szCs w:val="24"/>
        </w:rPr>
        <w:t xml:space="preserve">on </w:t>
      </w:r>
      <w:r w:rsidRPr="00987B90">
        <w:rPr>
          <w:rFonts w:ascii="Times New Roman" w:hAnsi="Times New Roman" w:cs="Times New Roman"/>
          <w:bCs/>
          <w:sz w:val="24"/>
          <w:szCs w:val="24"/>
        </w:rPr>
        <w:t xml:space="preserve">Developmental Disabilities </w:t>
      </w:r>
    </w:p>
    <w:p w:rsidR="00592C15" w:rsidRPr="00987B90" w:rsidRDefault="00592C15" w:rsidP="00504183">
      <w:pPr>
        <w:pStyle w:val="NoSpacing"/>
        <w:rPr>
          <w:rFonts w:ascii="Times New Roman" w:hAnsi="Times New Roman" w:cs="Times New Roman"/>
          <w:bCs/>
          <w:sz w:val="24"/>
          <w:szCs w:val="24"/>
        </w:rPr>
      </w:pPr>
      <w:r w:rsidRPr="00987B90">
        <w:rPr>
          <w:rFonts w:ascii="Times New Roman" w:hAnsi="Times New Roman" w:cs="Times New Roman"/>
          <w:bCs/>
          <w:sz w:val="24"/>
          <w:szCs w:val="24"/>
        </w:rPr>
        <w:t xml:space="preserve">Chairpersons, State </w:t>
      </w:r>
      <w:r w:rsidR="008D0B27" w:rsidRPr="00987B90">
        <w:rPr>
          <w:rFonts w:ascii="Times New Roman" w:hAnsi="Times New Roman" w:cs="Times New Roman"/>
          <w:bCs/>
          <w:sz w:val="24"/>
          <w:szCs w:val="24"/>
        </w:rPr>
        <w:t xml:space="preserve">Councils </w:t>
      </w:r>
      <w:r w:rsidR="008D0B27">
        <w:rPr>
          <w:rFonts w:ascii="Times New Roman" w:hAnsi="Times New Roman" w:cs="Times New Roman"/>
          <w:bCs/>
          <w:sz w:val="24"/>
          <w:szCs w:val="24"/>
        </w:rPr>
        <w:t xml:space="preserve">on </w:t>
      </w:r>
      <w:r w:rsidRPr="00987B90">
        <w:rPr>
          <w:rFonts w:ascii="Times New Roman" w:hAnsi="Times New Roman" w:cs="Times New Roman"/>
          <w:bCs/>
          <w:sz w:val="24"/>
          <w:szCs w:val="24"/>
        </w:rPr>
        <w:t xml:space="preserve">Developmental Disabilities </w:t>
      </w:r>
    </w:p>
    <w:p w:rsidR="00592C15" w:rsidRPr="00987B90" w:rsidRDefault="00592C15" w:rsidP="00504183">
      <w:pPr>
        <w:pStyle w:val="NoSpacing"/>
        <w:rPr>
          <w:rFonts w:ascii="Times New Roman" w:hAnsi="Times New Roman" w:cs="Times New Roman"/>
          <w:b/>
          <w:bCs/>
          <w:sz w:val="24"/>
          <w:szCs w:val="24"/>
        </w:rPr>
      </w:pPr>
    </w:p>
    <w:p w:rsidR="00592C15" w:rsidRPr="00987B90" w:rsidRDefault="00592C15" w:rsidP="00504183">
      <w:pPr>
        <w:pStyle w:val="NoSpacing"/>
        <w:rPr>
          <w:rFonts w:ascii="Times New Roman" w:hAnsi="Times New Roman" w:cs="Times New Roman"/>
          <w:b/>
          <w:bCs/>
          <w:sz w:val="24"/>
          <w:szCs w:val="24"/>
        </w:rPr>
      </w:pPr>
      <w:r w:rsidRPr="00987B90">
        <w:rPr>
          <w:rFonts w:ascii="Times New Roman" w:hAnsi="Times New Roman" w:cs="Times New Roman"/>
          <w:b/>
          <w:bCs/>
          <w:sz w:val="24"/>
          <w:szCs w:val="24"/>
        </w:rPr>
        <w:t>SUBJECT:</w:t>
      </w:r>
    </w:p>
    <w:p w:rsidR="00592C15" w:rsidRPr="00987B90" w:rsidRDefault="00592C15" w:rsidP="00504183">
      <w:pPr>
        <w:pStyle w:val="NoSpacing"/>
        <w:rPr>
          <w:rFonts w:ascii="Times New Roman" w:hAnsi="Times New Roman" w:cs="Times New Roman"/>
          <w:bCs/>
          <w:sz w:val="24"/>
          <w:szCs w:val="24"/>
        </w:rPr>
      </w:pPr>
      <w:r w:rsidRPr="00987B90">
        <w:rPr>
          <w:rFonts w:ascii="Times New Roman" w:hAnsi="Times New Roman" w:cs="Times New Roman"/>
          <w:bCs/>
          <w:sz w:val="24"/>
          <w:szCs w:val="24"/>
        </w:rPr>
        <w:t>Administrative Requirements of Federal Grant Funds pertaining to Obligation, Liquidation, and Date of Completion</w:t>
      </w:r>
      <w:r w:rsidR="007712A3">
        <w:rPr>
          <w:rFonts w:ascii="Times New Roman" w:hAnsi="Times New Roman" w:cs="Times New Roman"/>
          <w:bCs/>
          <w:sz w:val="24"/>
          <w:szCs w:val="24"/>
        </w:rPr>
        <w:t>.</w:t>
      </w:r>
    </w:p>
    <w:p w:rsidR="00592C15" w:rsidRPr="00987B90" w:rsidRDefault="00592C15" w:rsidP="00504183">
      <w:pPr>
        <w:pStyle w:val="NoSpacing"/>
        <w:rPr>
          <w:rFonts w:ascii="Times New Roman" w:hAnsi="Times New Roman" w:cs="Times New Roman"/>
          <w:b/>
          <w:bCs/>
          <w:sz w:val="24"/>
          <w:szCs w:val="24"/>
        </w:rPr>
      </w:pPr>
    </w:p>
    <w:p w:rsidR="000F79E9" w:rsidRPr="00987B90" w:rsidRDefault="000F79E9" w:rsidP="00504183">
      <w:pPr>
        <w:pStyle w:val="NoSpacing"/>
        <w:rPr>
          <w:rFonts w:ascii="Times New Roman" w:hAnsi="Times New Roman" w:cs="Times New Roman"/>
          <w:bCs/>
          <w:sz w:val="24"/>
          <w:szCs w:val="24"/>
        </w:rPr>
      </w:pPr>
      <w:r w:rsidRPr="00987B90">
        <w:rPr>
          <w:rFonts w:ascii="Times New Roman" w:hAnsi="Times New Roman" w:cs="Times New Roman"/>
          <w:b/>
          <w:bCs/>
          <w:sz w:val="24"/>
          <w:szCs w:val="24"/>
        </w:rPr>
        <w:t>GRANT TERMS AND CONDITIONS:</w:t>
      </w:r>
    </w:p>
    <w:p w:rsidR="000F79E9" w:rsidRPr="00987B90" w:rsidRDefault="000F79E9" w:rsidP="00504183">
      <w:pPr>
        <w:pStyle w:val="NoSpacing"/>
        <w:rPr>
          <w:rFonts w:ascii="Times New Roman" w:hAnsi="Times New Roman" w:cs="Times New Roman"/>
          <w:bCs/>
          <w:sz w:val="24"/>
          <w:szCs w:val="24"/>
        </w:rPr>
      </w:pPr>
      <w:r w:rsidRPr="00987B90">
        <w:rPr>
          <w:rFonts w:ascii="Times New Roman" w:hAnsi="Times New Roman" w:cs="Times New Roman"/>
          <w:bCs/>
          <w:sz w:val="24"/>
          <w:szCs w:val="24"/>
        </w:rPr>
        <w:t xml:space="preserve">42 </w:t>
      </w:r>
      <w:r w:rsidR="000850BD" w:rsidRPr="00987B90">
        <w:rPr>
          <w:rFonts w:ascii="Times New Roman" w:hAnsi="Times New Roman" w:cs="Times New Roman"/>
          <w:bCs/>
          <w:sz w:val="24"/>
          <w:szCs w:val="24"/>
        </w:rPr>
        <w:t xml:space="preserve">USC 15001 et seq. Developmental Disabilities Assistance and </w:t>
      </w:r>
      <w:r w:rsidR="008A4CF9" w:rsidRPr="00987B90">
        <w:rPr>
          <w:rFonts w:ascii="Times New Roman" w:hAnsi="Times New Roman" w:cs="Times New Roman"/>
          <w:bCs/>
          <w:sz w:val="24"/>
          <w:szCs w:val="24"/>
        </w:rPr>
        <w:t>Bill</w:t>
      </w:r>
      <w:r w:rsidR="000850BD" w:rsidRPr="00987B90">
        <w:rPr>
          <w:rFonts w:ascii="Times New Roman" w:hAnsi="Times New Roman" w:cs="Times New Roman"/>
          <w:bCs/>
          <w:sz w:val="24"/>
          <w:szCs w:val="24"/>
        </w:rPr>
        <w:t xml:space="preserve"> of Rights Act of 2000</w:t>
      </w:r>
    </w:p>
    <w:p w:rsidR="000F6DF0" w:rsidRPr="000F6DF0" w:rsidRDefault="000F79E9" w:rsidP="00504183">
      <w:pPr>
        <w:pStyle w:val="NoSpacing"/>
        <w:rPr>
          <w:rFonts w:ascii="Times New Roman" w:hAnsi="Times New Roman" w:cs="Times New Roman"/>
          <w:bCs/>
          <w:i/>
          <w:sz w:val="24"/>
          <w:szCs w:val="24"/>
        </w:rPr>
      </w:pPr>
      <w:r w:rsidRPr="00987B90">
        <w:rPr>
          <w:rFonts w:ascii="Times New Roman" w:hAnsi="Times New Roman" w:cs="Times New Roman"/>
          <w:bCs/>
          <w:sz w:val="24"/>
          <w:szCs w:val="24"/>
        </w:rPr>
        <w:t xml:space="preserve">45 CFR </w:t>
      </w:r>
      <w:r w:rsidR="000F6DF0">
        <w:rPr>
          <w:rFonts w:ascii="Times New Roman" w:hAnsi="Times New Roman" w:cs="Times New Roman"/>
          <w:bCs/>
          <w:sz w:val="24"/>
          <w:szCs w:val="24"/>
        </w:rPr>
        <w:t xml:space="preserve">1325 </w:t>
      </w:r>
      <w:r w:rsidR="000F6DF0">
        <w:rPr>
          <w:rFonts w:ascii="Times New Roman" w:hAnsi="Times New Roman" w:cs="Times New Roman"/>
          <w:bCs/>
          <w:i/>
          <w:sz w:val="24"/>
          <w:szCs w:val="24"/>
        </w:rPr>
        <w:t>Requirements Applicable to the Developmental Disabilities Program</w:t>
      </w:r>
    </w:p>
    <w:p w:rsidR="000F79E9" w:rsidRDefault="000F6DF0" w:rsidP="00504183">
      <w:pPr>
        <w:pStyle w:val="NoSpacing"/>
        <w:rPr>
          <w:rFonts w:ascii="Times New Roman" w:hAnsi="Times New Roman" w:cs="Times New Roman"/>
          <w:bCs/>
          <w:i/>
          <w:sz w:val="24"/>
          <w:szCs w:val="24"/>
        </w:rPr>
      </w:pPr>
      <w:r>
        <w:rPr>
          <w:rFonts w:ascii="Times New Roman" w:hAnsi="Times New Roman" w:cs="Times New Roman"/>
          <w:bCs/>
          <w:sz w:val="24"/>
          <w:szCs w:val="24"/>
        </w:rPr>
        <w:t>45 CFR</w:t>
      </w:r>
      <w:r w:rsidR="00D464DF">
        <w:rPr>
          <w:rFonts w:ascii="Times New Roman" w:hAnsi="Times New Roman" w:cs="Times New Roman"/>
          <w:bCs/>
          <w:sz w:val="24"/>
          <w:szCs w:val="24"/>
        </w:rPr>
        <w:t xml:space="preserve"> </w:t>
      </w:r>
      <w:r w:rsidR="000F79E9" w:rsidRPr="00987B90">
        <w:rPr>
          <w:rFonts w:ascii="Times New Roman" w:hAnsi="Times New Roman" w:cs="Times New Roman"/>
          <w:bCs/>
          <w:sz w:val="24"/>
          <w:szCs w:val="24"/>
        </w:rPr>
        <w:t xml:space="preserve">1326 </w:t>
      </w:r>
      <w:r w:rsidR="000F79E9" w:rsidRPr="00987B90">
        <w:rPr>
          <w:rFonts w:ascii="Times New Roman" w:hAnsi="Times New Roman" w:cs="Times New Roman"/>
          <w:bCs/>
          <w:i/>
          <w:sz w:val="24"/>
          <w:szCs w:val="24"/>
        </w:rPr>
        <w:t>Formula Grant Programs</w:t>
      </w:r>
    </w:p>
    <w:p w:rsidR="00235C91" w:rsidRDefault="000F79E9" w:rsidP="00235C91">
      <w:pPr>
        <w:pStyle w:val="NoSpacing"/>
        <w:rPr>
          <w:rFonts w:ascii="Times New Roman" w:hAnsi="Times New Roman" w:cs="Times New Roman"/>
          <w:bCs/>
          <w:i/>
          <w:sz w:val="24"/>
          <w:szCs w:val="24"/>
        </w:rPr>
      </w:pPr>
      <w:r w:rsidRPr="00987B90">
        <w:rPr>
          <w:rFonts w:ascii="Times New Roman" w:hAnsi="Times New Roman" w:cs="Times New Roman"/>
          <w:bCs/>
          <w:sz w:val="24"/>
          <w:szCs w:val="24"/>
        </w:rPr>
        <w:t xml:space="preserve">45 CFR 75 </w:t>
      </w:r>
      <w:r w:rsidRPr="00987B90">
        <w:rPr>
          <w:rFonts w:ascii="Times New Roman" w:hAnsi="Times New Roman" w:cs="Times New Roman"/>
          <w:bCs/>
          <w:i/>
          <w:sz w:val="24"/>
          <w:szCs w:val="24"/>
        </w:rPr>
        <w:t>Uniform Administrative Requirements, Cost Pri</w:t>
      </w:r>
      <w:r w:rsidR="00235C91">
        <w:rPr>
          <w:rFonts w:ascii="Times New Roman" w:hAnsi="Times New Roman" w:cs="Times New Roman"/>
          <w:bCs/>
          <w:i/>
          <w:sz w:val="24"/>
          <w:szCs w:val="24"/>
        </w:rPr>
        <w:t xml:space="preserve">nciples, and Audit Requirements       </w:t>
      </w:r>
    </w:p>
    <w:p w:rsidR="000850BD" w:rsidRPr="00987B90" w:rsidRDefault="00235C91" w:rsidP="00235C91">
      <w:pPr>
        <w:pStyle w:val="NoSpacing"/>
        <w:rPr>
          <w:rFonts w:ascii="Times New Roman" w:hAnsi="Times New Roman" w:cs="Times New Roman"/>
          <w:bCs/>
          <w:i/>
          <w:sz w:val="24"/>
          <w:szCs w:val="24"/>
        </w:rPr>
      </w:pPr>
      <w:r>
        <w:rPr>
          <w:rFonts w:ascii="Times New Roman" w:hAnsi="Times New Roman" w:cs="Times New Roman"/>
          <w:bCs/>
          <w:i/>
          <w:sz w:val="24"/>
          <w:szCs w:val="24"/>
        </w:rPr>
        <w:t xml:space="preserve">     </w:t>
      </w:r>
      <w:r w:rsidR="000F79E9" w:rsidRPr="00987B90">
        <w:rPr>
          <w:rFonts w:ascii="Times New Roman" w:hAnsi="Times New Roman" w:cs="Times New Roman"/>
          <w:bCs/>
          <w:i/>
          <w:sz w:val="24"/>
          <w:szCs w:val="24"/>
        </w:rPr>
        <w:t>For HHS Awards</w:t>
      </w:r>
    </w:p>
    <w:p w:rsidR="000850BD" w:rsidRPr="00987B90" w:rsidRDefault="000850BD" w:rsidP="000850BD">
      <w:pPr>
        <w:pStyle w:val="NoSpacing"/>
        <w:rPr>
          <w:rFonts w:ascii="Times New Roman" w:hAnsi="Times New Roman" w:cs="Times New Roman"/>
          <w:bCs/>
          <w:i/>
          <w:sz w:val="24"/>
          <w:szCs w:val="24"/>
        </w:rPr>
      </w:pPr>
      <w:r w:rsidRPr="00987B90">
        <w:rPr>
          <w:rFonts w:ascii="Times New Roman" w:hAnsi="Times New Roman" w:cs="Times New Roman"/>
          <w:bCs/>
          <w:sz w:val="24"/>
          <w:szCs w:val="24"/>
        </w:rPr>
        <w:t>ACL issued Notice of Award</w:t>
      </w:r>
    </w:p>
    <w:p w:rsidR="000F79E9" w:rsidRPr="00987B90" w:rsidRDefault="000F79E9" w:rsidP="00504183">
      <w:pPr>
        <w:pStyle w:val="NoSpacing"/>
        <w:rPr>
          <w:rFonts w:ascii="Times New Roman" w:hAnsi="Times New Roman" w:cs="Times New Roman"/>
          <w:b/>
          <w:bCs/>
          <w:sz w:val="24"/>
          <w:szCs w:val="24"/>
        </w:rPr>
      </w:pPr>
    </w:p>
    <w:p w:rsidR="007C759E" w:rsidRDefault="007C759E" w:rsidP="00504183">
      <w:pPr>
        <w:pStyle w:val="NoSpacing"/>
        <w:rPr>
          <w:rFonts w:ascii="Times New Roman" w:hAnsi="Times New Roman" w:cs="Times New Roman"/>
          <w:b/>
          <w:bCs/>
          <w:sz w:val="24"/>
          <w:szCs w:val="24"/>
        </w:rPr>
      </w:pPr>
    </w:p>
    <w:p w:rsidR="00592C15" w:rsidRPr="00987B90" w:rsidRDefault="00592C15" w:rsidP="00504183">
      <w:pPr>
        <w:pStyle w:val="NoSpacing"/>
        <w:rPr>
          <w:rFonts w:ascii="Times New Roman" w:hAnsi="Times New Roman" w:cs="Times New Roman"/>
          <w:b/>
          <w:bCs/>
          <w:sz w:val="24"/>
          <w:szCs w:val="24"/>
        </w:rPr>
      </w:pPr>
      <w:r w:rsidRPr="00987B90">
        <w:rPr>
          <w:rFonts w:ascii="Times New Roman" w:hAnsi="Times New Roman" w:cs="Times New Roman"/>
          <w:b/>
          <w:bCs/>
          <w:sz w:val="24"/>
          <w:szCs w:val="24"/>
        </w:rPr>
        <w:t>DISCUSSION:</w:t>
      </w:r>
    </w:p>
    <w:p w:rsidR="00A15474" w:rsidRPr="0085250A" w:rsidRDefault="003F751D" w:rsidP="0085250A">
      <w:pPr>
        <w:pStyle w:val="NoSpacing"/>
        <w:rPr>
          <w:rFonts w:ascii="Times New Roman" w:hAnsi="Times New Roman" w:cs="Times New Roman"/>
          <w:bCs/>
          <w:sz w:val="24"/>
          <w:szCs w:val="24"/>
        </w:rPr>
      </w:pPr>
      <w:r w:rsidRPr="00987B90">
        <w:rPr>
          <w:rFonts w:ascii="Times New Roman" w:hAnsi="Times New Roman" w:cs="Times New Roman"/>
          <w:bCs/>
          <w:sz w:val="24"/>
          <w:szCs w:val="24"/>
        </w:rPr>
        <w:t xml:space="preserve">The purpose of this </w:t>
      </w:r>
      <w:r w:rsidR="008D0B27" w:rsidRPr="008D0B27">
        <w:rPr>
          <w:rFonts w:ascii="Times New Roman" w:hAnsi="Times New Roman" w:cs="Times New Roman"/>
          <w:bCs/>
          <w:sz w:val="24"/>
          <w:szCs w:val="24"/>
        </w:rPr>
        <w:t>Information Memorandum</w:t>
      </w:r>
      <w:r w:rsidR="008D0B27">
        <w:rPr>
          <w:rFonts w:ascii="Times New Roman" w:hAnsi="Times New Roman" w:cs="Times New Roman"/>
          <w:bCs/>
          <w:sz w:val="24"/>
          <w:szCs w:val="24"/>
        </w:rPr>
        <w:t xml:space="preserve"> (</w:t>
      </w:r>
      <w:r w:rsidRPr="00987B90">
        <w:rPr>
          <w:rFonts w:ascii="Times New Roman" w:hAnsi="Times New Roman" w:cs="Times New Roman"/>
          <w:bCs/>
          <w:sz w:val="24"/>
          <w:szCs w:val="24"/>
        </w:rPr>
        <w:t>IM</w:t>
      </w:r>
      <w:r w:rsidR="008D0B27">
        <w:rPr>
          <w:rFonts w:ascii="Times New Roman" w:hAnsi="Times New Roman" w:cs="Times New Roman"/>
          <w:bCs/>
          <w:sz w:val="24"/>
          <w:szCs w:val="24"/>
        </w:rPr>
        <w:t>)</w:t>
      </w:r>
      <w:r w:rsidRPr="00987B90">
        <w:rPr>
          <w:rFonts w:ascii="Times New Roman" w:hAnsi="Times New Roman" w:cs="Times New Roman"/>
          <w:bCs/>
          <w:sz w:val="24"/>
          <w:szCs w:val="24"/>
        </w:rPr>
        <w:t xml:space="preserve"> is to update the requirements of the State Councils on Developmental Disabilities (SCDD) program with current law, regulations, and policies.  </w:t>
      </w:r>
      <w:r w:rsidR="008D0B27">
        <w:rPr>
          <w:rFonts w:ascii="Times New Roman" w:hAnsi="Times New Roman" w:cs="Times New Roman"/>
          <w:bCs/>
          <w:sz w:val="24"/>
          <w:szCs w:val="24"/>
        </w:rPr>
        <w:t>T</w:t>
      </w:r>
      <w:r w:rsidRPr="00987B90">
        <w:rPr>
          <w:rFonts w:ascii="Times New Roman" w:hAnsi="Times New Roman" w:cs="Times New Roman"/>
          <w:bCs/>
          <w:sz w:val="24"/>
          <w:szCs w:val="24"/>
        </w:rPr>
        <w:t>he Developmental Disabilities Assistance and Bill of Rights (DD) Act of 2000</w:t>
      </w:r>
      <w:r w:rsidR="00F615E3">
        <w:rPr>
          <w:rFonts w:ascii="Times New Roman" w:hAnsi="Times New Roman" w:cs="Times New Roman"/>
          <w:bCs/>
          <w:sz w:val="24"/>
          <w:szCs w:val="24"/>
        </w:rPr>
        <w:t xml:space="preserve"> (42 USC 15001 et seq.) was last reauthorized in 200</w:t>
      </w:r>
      <w:r w:rsidR="00F615E3" w:rsidRPr="00A75594">
        <w:rPr>
          <w:rFonts w:ascii="Times New Roman" w:hAnsi="Times New Roman" w:cs="Times New Roman"/>
          <w:bCs/>
          <w:sz w:val="24"/>
          <w:szCs w:val="24"/>
        </w:rPr>
        <w:t>0</w:t>
      </w:r>
      <w:r w:rsidR="008D0B27">
        <w:rPr>
          <w:rFonts w:ascii="Times New Roman" w:hAnsi="Times New Roman" w:cs="Times New Roman"/>
          <w:bCs/>
          <w:sz w:val="24"/>
          <w:szCs w:val="24"/>
        </w:rPr>
        <w:t>. C</w:t>
      </w:r>
      <w:r w:rsidR="0014006F" w:rsidRPr="00987B90">
        <w:rPr>
          <w:rFonts w:ascii="Times New Roman" w:hAnsi="Times New Roman" w:cs="Times New Roman"/>
          <w:bCs/>
          <w:sz w:val="24"/>
          <w:szCs w:val="24"/>
        </w:rPr>
        <w:t>hanges made by the reauthorization</w:t>
      </w:r>
      <w:r w:rsidRPr="00987B90">
        <w:rPr>
          <w:rFonts w:ascii="Times New Roman" w:hAnsi="Times New Roman" w:cs="Times New Roman"/>
          <w:bCs/>
          <w:sz w:val="24"/>
          <w:szCs w:val="24"/>
        </w:rPr>
        <w:t xml:space="preserve"> invalidated previously issued IMs.  New regulations to implement the changes made by the reauthorization </w:t>
      </w:r>
      <w:r w:rsidR="0014006F" w:rsidRPr="00987B90">
        <w:rPr>
          <w:rFonts w:ascii="Times New Roman" w:hAnsi="Times New Roman" w:cs="Times New Roman"/>
          <w:bCs/>
          <w:sz w:val="24"/>
          <w:szCs w:val="24"/>
        </w:rPr>
        <w:t xml:space="preserve">of the DD Act </w:t>
      </w:r>
      <w:r w:rsidRPr="00987B90">
        <w:rPr>
          <w:rFonts w:ascii="Times New Roman" w:hAnsi="Times New Roman" w:cs="Times New Roman"/>
          <w:bCs/>
          <w:sz w:val="24"/>
          <w:szCs w:val="24"/>
        </w:rPr>
        <w:t>were issued in</w:t>
      </w:r>
      <w:r w:rsidR="00F615E3">
        <w:rPr>
          <w:rFonts w:ascii="Times New Roman" w:hAnsi="Times New Roman" w:cs="Times New Roman"/>
          <w:bCs/>
          <w:sz w:val="24"/>
          <w:szCs w:val="24"/>
        </w:rPr>
        <w:t xml:space="preserve"> July</w:t>
      </w:r>
      <w:r w:rsidRPr="00987B90">
        <w:rPr>
          <w:rFonts w:ascii="Times New Roman" w:hAnsi="Times New Roman" w:cs="Times New Roman"/>
          <w:bCs/>
          <w:sz w:val="24"/>
          <w:szCs w:val="24"/>
        </w:rPr>
        <w:t xml:space="preserve"> 2015 and can be found in 45 CFR </w:t>
      </w:r>
      <w:r w:rsidR="00F615E3">
        <w:rPr>
          <w:rFonts w:ascii="Times New Roman" w:hAnsi="Times New Roman" w:cs="Times New Roman"/>
          <w:bCs/>
          <w:sz w:val="24"/>
          <w:szCs w:val="24"/>
        </w:rPr>
        <w:t>1325,</w:t>
      </w:r>
      <w:r w:rsidR="0068517B">
        <w:rPr>
          <w:rFonts w:ascii="Times New Roman" w:hAnsi="Times New Roman" w:cs="Times New Roman"/>
          <w:bCs/>
          <w:sz w:val="24"/>
          <w:szCs w:val="24"/>
        </w:rPr>
        <w:t xml:space="preserve"> </w:t>
      </w:r>
      <w:r w:rsidRPr="00987B90">
        <w:rPr>
          <w:rFonts w:ascii="Times New Roman" w:hAnsi="Times New Roman" w:cs="Times New Roman"/>
          <w:bCs/>
          <w:sz w:val="24"/>
          <w:szCs w:val="24"/>
        </w:rPr>
        <w:t>1326</w:t>
      </w:r>
      <w:r w:rsidR="00F615E3">
        <w:rPr>
          <w:rFonts w:ascii="Times New Roman" w:hAnsi="Times New Roman" w:cs="Times New Roman"/>
          <w:bCs/>
          <w:sz w:val="24"/>
          <w:szCs w:val="24"/>
        </w:rPr>
        <w:t>, 1327, and 1328</w:t>
      </w:r>
      <w:r w:rsidRPr="00987B90">
        <w:rPr>
          <w:rFonts w:ascii="Times New Roman" w:hAnsi="Times New Roman" w:cs="Times New Roman"/>
          <w:bCs/>
          <w:sz w:val="24"/>
          <w:szCs w:val="24"/>
        </w:rPr>
        <w:t xml:space="preserve">.  Effective with Federal fiscal year </w:t>
      </w:r>
      <w:r w:rsidR="008D0B27">
        <w:rPr>
          <w:rFonts w:ascii="Times New Roman" w:hAnsi="Times New Roman" w:cs="Times New Roman"/>
          <w:bCs/>
          <w:sz w:val="24"/>
          <w:szCs w:val="24"/>
        </w:rPr>
        <w:t xml:space="preserve">(FFY) </w:t>
      </w:r>
      <w:r w:rsidRPr="00987B90">
        <w:rPr>
          <w:rFonts w:ascii="Times New Roman" w:hAnsi="Times New Roman" w:cs="Times New Roman"/>
          <w:bCs/>
          <w:sz w:val="24"/>
          <w:szCs w:val="24"/>
        </w:rPr>
        <w:t xml:space="preserve">2015 awards, ACL implemented the </w:t>
      </w:r>
      <w:r w:rsidR="008776CE" w:rsidRPr="00987B90">
        <w:rPr>
          <w:rFonts w:ascii="Times New Roman" w:hAnsi="Times New Roman" w:cs="Times New Roman"/>
          <w:bCs/>
          <w:sz w:val="24"/>
          <w:szCs w:val="24"/>
        </w:rPr>
        <w:t>uniform administrative requirements, cost principles,</w:t>
      </w:r>
      <w:r w:rsidRPr="00987B90">
        <w:rPr>
          <w:rFonts w:ascii="Times New Roman" w:hAnsi="Times New Roman" w:cs="Times New Roman"/>
          <w:bCs/>
          <w:sz w:val="24"/>
          <w:szCs w:val="24"/>
        </w:rPr>
        <w:t xml:space="preserve"> and audit requirements</w:t>
      </w:r>
      <w:r w:rsidR="007F32A7">
        <w:rPr>
          <w:rFonts w:ascii="Times New Roman" w:hAnsi="Times New Roman" w:cs="Times New Roman"/>
          <w:bCs/>
          <w:sz w:val="24"/>
          <w:szCs w:val="24"/>
        </w:rPr>
        <w:t xml:space="preserve"> found in 45 CFR 75.  </w:t>
      </w:r>
      <w:r w:rsidR="0014006F" w:rsidRPr="00987B90">
        <w:rPr>
          <w:rFonts w:ascii="Times New Roman" w:hAnsi="Times New Roman" w:cs="Times New Roman"/>
          <w:bCs/>
          <w:sz w:val="24"/>
          <w:szCs w:val="24"/>
        </w:rPr>
        <w:t>Please note that while this IM provides updates with current law, regulations, and policies, the requirements of the SCDD program remain unaltered</w:t>
      </w:r>
      <w:r w:rsidR="00D464DF">
        <w:rPr>
          <w:rFonts w:ascii="Times New Roman" w:hAnsi="Times New Roman" w:cs="Times New Roman"/>
          <w:bCs/>
          <w:sz w:val="24"/>
          <w:szCs w:val="24"/>
        </w:rPr>
        <w:t xml:space="preserve"> with</w:t>
      </w:r>
      <w:r w:rsidR="007F32A7">
        <w:rPr>
          <w:rFonts w:ascii="Times New Roman" w:hAnsi="Times New Roman" w:cs="Times New Roman"/>
          <w:bCs/>
          <w:sz w:val="24"/>
          <w:szCs w:val="24"/>
        </w:rPr>
        <w:t xml:space="preserve"> respect to the obligation and liquidation of awarded funds and the date of completion of work authorized.</w:t>
      </w:r>
      <w:r w:rsidR="0085250A">
        <w:rPr>
          <w:rFonts w:ascii="Times New Roman" w:hAnsi="Times New Roman" w:cs="Times New Roman"/>
          <w:bCs/>
          <w:sz w:val="24"/>
          <w:szCs w:val="24"/>
        </w:rPr>
        <w:t xml:space="preserve"> It is noted that 42 USC 15002 also defines </w:t>
      </w:r>
      <w:r w:rsidR="0085250A" w:rsidRPr="0085250A">
        <w:rPr>
          <w:rFonts w:ascii="Times New Roman" w:hAnsi="Times New Roman" w:cs="Times New Roman"/>
          <w:bCs/>
          <w:sz w:val="24"/>
          <w:szCs w:val="24"/>
        </w:rPr>
        <w:t xml:space="preserve">“State” as, </w:t>
      </w:r>
      <w:r w:rsidR="0085250A" w:rsidRPr="0085250A">
        <w:rPr>
          <w:rFonts w:ascii="Times New Roman" w:hAnsi="Times New Roman" w:cs="Times New Roman"/>
          <w:sz w:val="24"/>
          <w:szCs w:val="24"/>
        </w:rPr>
        <w:t>except as otherwise provided, includes, in addition to each of the several States of the United States, the District of Columbia, the Commonwealth of Puerto Rico, the United States Virgin Islands, Guam, American Samoa, and the Commonwealth of the Northern Mariana Islands.</w:t>
      </w:r>
      <w:r w:rsidR="0085250A" w:rsidRPr="0085250A">
        <w:rPr>
          <w:rFonts w:ascii="Times New Roman" w:hAnsi="Times New Roman" w:cs="Times New Roman"/>
          <w:sz w:val="24"/>
          <w:szCs w:val="24"/>
        </w:rPr>
        <w:t>”</w:t>
      </w:r>
    </w:p>
    <w:p w:rsidR="0044593A" w:rsidRPr="00987B90" w:rsidRDefault="0044593A" w:rsidP="00504183">
      <w:pPr>
        <w:pStyle w:val="NoSpacing"/>
        <w:rPr>
          <w:rFonts w:ascii="Times New Roman" w:hAnsi="Times New Roman" w:cs="Times New Roman"/>
          <w:bCs/>
          <w:sz w:val="24"/>
          <w:szCs w:val="24"/>
        </w:rPr>
      </w:pPr>
    </w:p>
    <w:p w:rsidR="006511DD" w:rsidRPr="00987B90" w:rsidRDefault="007C759E" w:rsidP="004C2390">
      <w:pPr>
        <w:pStyle w:val="NoSpacing"/>
        <w:rPr>
          <w:rFonts w:ascii="Times New Roman" w:hAnsi="Times New Roman" w:cs="Times New Roman"/>
          <w:bCs/>
          <w:sz w:val="24"/>
          <w:szCs w:val="24"/>
        </w:rPr>
      </w:pPr>
      <w:r>
        <w:rPr>
          <w:rFonts w:ascii="Times New Roman" w:hAnsi="Times New Roman" w:cs="Times New Roman"/>
          <w:bCs/>
          <w:sz w:val="24"/>
          <w:szCs w:val="24"/>
        </w:rPr>
        <w:t>The DD Act regulations published in 45 CFR 1326</w:t>
      </w:r>
      <w:r w:rsidR="00F615E3">
        <w:rPr>
          <w:rFonts w:ascii="Times New Roman" w:hAnsi="Times New Roman" w:cs="Times New Roman"/>
          <w:bCs/>
          <w:sz w:val="24"/>
          <w:szCs w:val="24"/>
        </w:rPr>
        <w:t>.2 and 45 CFR 1326.3</w:t>
      </w:r>
      <w:r w:rsidR="0085250A">
        <w:rPr>
          <w:rFonts w:ascii="Times New Roman" w:hAnsi="Times New Roman" w:cs="Times New Roman"/>
          <w:bCs/>
          <w:sz w:val="24"/>
          <w:szCs w:val="24"/>
        </w:rPr>
        <w:t xml:space="preserve"> clarify the States’ </w:t>
      </w:r>
      <w:r>
        <w:rPr>
          <w:rFonts w:ascii="Times New Roman" w:hAnsi="Times New Roman" w:cs="Times New Roman"/>
          <w:bCs/>
          <w:sz w:val="24"/>
          <w:szCs w:val="24"/>
        </w:rPr>
        <w:t>responsibilities for the obligation and liquidation of Federal funds.  45 CFR 75.2 defines terms related to the obligation and liquidation of Federal grant funds received by the State as follows:</w:t>
      </w:r>
      <w:r w:rsidR="005C4576" w:rsidRPr="00987B90">
        <w:rPr>
          <w:rFonts w:ascii="Times New Roman" w:hAnsi="Times New Roman" w:cs="Times New Roman"/>
          <w:bCs/>
          <w:sz w:val="24"/>
          <w:szCs w:val="24"/>
        </w:rPr>
        <w:t xml:space="preserve">  </w:t>
      </w:r>
      <w:r w:rsidR="00C0487E" w:rsidRPr="00987B90">
        <w:rPr>
          <w:rFonts w:ascii="Times New Roman" w:hAnsi="Times New Roman" w:cs="Times New Roman"/>
          <w:bCs/>
          <w:sz w:val="24"/>
          <w:szCs w:val="24"/>
        </w:rPr>
        <w:t xml:space="preserve">  </w:t>
      </w:r>
    </w:p>
    <w:p w:rsidR="007C759E" w:rsidRDefault="007C759E" w:rsidP="007D3D82">
      <w:pPr>
        <w:pStyle w:val="NoSpacing"/>
        <w:ind w:left="720"/>
        <w:rPr>
          <w:rFonts w:ascii="Times New Roman" w:hAnsi="Times New Roman" w:cs="Times New Roman"/>
          <w:bCs/>
          <w:sz w:val="24"/>
          <w:szCs w:val="24"/>
        </w:rPr>
      </w:pPr>
    </w:p>
    <w:p w:rsidR="007D3D82" w:rsidRPr="005328FF" w:rsidRDefault="007C759E" w:rsidP="007D3D82">
      <w:pPr>
        <w:pStyle w:val="ListParagraph"/>
        <w:numPr>
          <w:ilvl w:val="0"/>
          <w:numId w:val="15"/>
        </w:numPr>
        <w:rPr>
          <w:color w:val="000000"/>
        </w:rPr>
      </w:pPr>
      <w:r w:rsidRPr="007D3D82">
        <w:rPr>
          <w:bCs/>
        </w:rPr>
        <w:t>“Obligations”</w:t>
      </w:r>
      <w:r w:rsidR="008D0B27">
        <w:rPr>
          <w:bCs/>
        </w:rPr>
        <w:t>,</w:t>
      </w:r>
      <w:r w:rsidRPr="007D3D82">
        <w:rPr>
          <w:bCs/>
        </w:rPr>
        <w:t xml:space="preserve"> </w:t>
      </w:r>
      <w:r w:rsidR="00A11B44" w:rsidRPr="007D3D82">
        <w:rPr>
          <w:color w:val="000000"/>
        </w:rPr>
        <w:t xml:space="preserve">when used in connection with a non-Federal entity's utilization of funds under a Federal award, means orders placed for property and services, contracts and </w:t>
      </w:r>
      <w:r w:rsidR="00144406" w:rsidRPr="007D3D82">
        <w:rPr>
          <w:color w:val="000000"/>
        </w:rPr>
        <w:t>sub awards</w:t>
      </w:r>
      <w:r w:rsidR="00A11B44" w:rsidRPr="007D3D82">
        <w:rPr>
          <w:color w:val="000000"/>
        </w:rPr>
        <w:t xml:space="preserve"> made, and similar transactions during a given period that requires payment by the non-Federal entity during the same or a future period.</w:t>
      </w:r>
      <w:r w:rsidR="00A11B44" w:rsidRPr="007D3D82">
        <w:rPr>
          <w:rFonts w:ascii="Calibri" w:hAnsi="Calibri" w:cs="Calibri"/>
          <w:color w:val="000000"/>
          <w:sz w:val="20"/>
          <w:szCs w:val="20"/>
        </w:rPr>
        <w:t xml:space="preserve"> </w:t>
      </w:r>
    </w:p>
    <w:p w:rsidR="005328FF" w:rsidRPr="007D3D82" w:rsidRDefault="005328FF" w:rsidP="005328FF">
      <w:pPr>
        <w:pStyle w:val="ListParagraph"/>
        <w:rPr>
          <w:color w:val="000000"/>
        </w:rPr>
      </w:pPr>
    </w:p>
    <w:p w:rsidR="007D3D82" w:rsidRPr="005328FF" w:rsidRDefault="007D3D82" w:rsidP="005328FF">
      <w:pPr>
        <w:pStyle w:val="ListParagraph"/>
        <w:numPr>
          <w:ilvl w:val="0"/>
          <w:numId w:val="15"/>
        </w:numPr>
        <w:rPr>
          <w:color w:val="000000"/>
          <w:szCs w:val="20"/>
        </w:rPr>
      </w:pPr>
      <w:r w:rsidRPr="005328FF">
        <w:rPr>
          <w:color w:val="000000"/>
        </w:rPr>
        <w:t>“Project Costs” are total allowable costs incurred under a Federal award and all required cost sharing and voluntary committed cost sharing, including third-party contributions.</w:t>
      </w:r>
      <w:r w:rsidRPr="005328FF">
        <w:rPr>
          <w:color w:val="000000"/>
          <w:szCs w:val="20"/>
        </w:rPr>
        <w:t xml:space="preserve"> </w:t>
      </w:r>
    </w:p>
    <w:p w:rsidR="007D3D82" w:rsidRDefault="007D3D82" w:rsidP="007D3D82">
      <w:pPr>
        <w:pStyle w:val="ListParagraph"/>
        <w:rPr>
          <w:color w:val="000000"/>
          <w:szCs w:val="20"/>
        </w:rPr>
      </w:pPr>
    </w:p>
    <w:p w:rsidR="007712A3" w:rsidRDefault="007D3D82" w:rsidP="007712A3">
      <w:pPr>
        <w:pStyle w:val="ListParagraph"/>
        <w:numPr>
          <w:ilvl w:val="0"/>
          <w:numId w:val="15"/>
        </w:numPr>
        <w:rPr>
          <w:color w:val="000000"/>
          <w:szCs w:val="20"/>
        </w:rPr>
      </w:pPr>
      <w:r>
        <w:rPr>
          <w:color w:val="000000"/>
          <w:szCs w:val="20"/>
        </w:rPr>
        <w:t xml:space="preserve">“Project Period”, also referred to as “Period of Performance”, is </w:t>
      </w:r>
      <w:r w:rsidRPr="00A11B44">
        <w:rPr>
          <w:color w:val="000000"/>
          <w:szCs w:val="20"/>
        </w:rPr>
        <w:t xml:space="preserve">the time during which the non-Federal entity may incur new obligations to carry out the work authorized under the Federal award. The Federal awarding agency or pass-through entity must include start and end dates of the period of performance in the Federal award. </w:t>
      </w:r>
    </w:p>
    <w:p w:rsidR="007712A3" w:rsidRPr="00144406" w:rsidRDefault="007712A3" w:rsidP="00144406">
      <w:pPr>
        <w:pStyle w:val="ListParagraph"/>
        <w:rPr>
          <w:color w:val="000000"/>
          <w:szCs w:val="20"/>
        </w:rPr>
      </w:pPr>
    </w:p>
    <w:p w:rsidR="007712A3" w:rsidRPr="00144406" w:rsidRDefault="007712A3" w:rsidP="00144406">
      <w:pPr>
        <w:pStyle w:val="ListParagraph"/>
        <w:numPr>
          <w:ilvl w:val="1"/>
          <w:numId w:val="15"/>
        </w:numPr>
        <w:rPr>
          <w:color w:val="000000"/>
          <w:szCs w:val="20"/>
        </w:rPr>
      </w:pPr>
      <w:r>
        <w:rPr>
          <w:color w:val="000000"/>
          <w:szCs w:val="20"/>
        </w:rPr>
        <w:t xml:space="preserve"> Please refer to the </w:t>
      </w:r>
      <w:r>
        <w:rPr>
          <w:i/>
          <w:color w:val="000000"/>
          <w:szCs w:val="20"/>
        </w:rPr>
        <w:t xml:space="preserve">Notice of </w:t>
      </w:r>
      <w:r w:rsidR="007918C5">
        <w:rPr>
          <w:i/>
          <w:color w:val="000000"/>
          <w:szCs w:val="20"/>
        </w:rPr>
        <w:t xml:space="preserve">Award </w:t>
      </w:r>
      <w:r w:rsidR="007918C5">
        <w:rPr>
          <w:color w:val="000000"/>
          <w:szCs w:val="20"/>
        </w:rPr>
        <w:t>for</w:t>
      </w:r>
      <w:r>
        <w:rPr>
          <w:color w:val="000000"/>
          <w:szCs w:val="20"/>
        </w:rPr>
        <w:t xml:space="preserve"> </w:t>
      </w:r>
      <w:r w:rsidR="007918C5">
        <w:rPr>
          <w:color w:val="000000"/>
          <w:szCs w:val="20"/>
        </w:rPr>
        <w:t>dates of the project period.</w:t>
      </w:r>
    </w:p>
    <w:p w:rsidR="00A11B44" w:rsidRPr="00A11B44" w:rsidRDefault="00A11B44" w:rsidP="007D3D82">
      <w:pPr>
        <w:pStyle w:val="ListParagraph"/>
        <w:rPr>
          <w:color w:val="000000"/>
          <w:szCs w:val="20"/>
        </w:rPr>
      </w:pPr>
    </w:p>
    <w:p w:rsidR="00A11B44" w:rsidRPr="00A11B44" w:rsidRDefault="00A11B44" w:rsidP="007D3D82">
      <w:pPr>
        <w:pStyle w:val="ListParagraph"/>
        <w:numPr>
          <w:ilvl w:val="0"/>
          <w:numId w:val="15"/>
        </w:numPr>
        <w:rPr>
          <w:color w:val="000000"/>
          <w:szCs w:val="20"/>
        </w:rPr>
      </w:pPr>
      <w:r>
        <w:rPr>
          <w:color w:val="000000"/>
          <w:szCs w:val="20"/>
        </w:rPr>
        <w:t>“</w:t>
      </w:r>
      <w:r w:rsidRPr="00A11B44">
        <w:rPr>
          <w:color w:val="000000"/>
          <w:szCs w:val="20"/>
        </w:rPr>
        <w:t>Unliquidated obligations</w:t>
      </w:r>
      <w:r>
        <w:rPr>
          <w:color w:val="000000"/>
          <w:szCs w:val="20"/>
        </w:rPr>
        <w:t xml:space="preserve">” are </w:t>
      </w:r>
      <w:r w:rsidRPr="00A11B44">
        <w:rPr>
          <w:color w:val="000000"/>
          <w:szCs w:val="20"/>
        </w:rPr>
        <w:t>for financial reports prepared on a cash basis, obligations incurred by the non-Federal entity that have not been paid (liquidated). For reports prepared on an accrual expenditure basis, these are obligations incurred by the non-Federal entity for which an expenditure has not been recorded.</w:t>
      </w:r>
    </w:p>
    <w:p w:rsidR="00A11B44" w:rsidRDefault="00A11B44" w:rsidP="007D3D82">
      <w:pPr>
        <w:pStyle w:val="ListParagraph"/>
        <w:rPr>
          <w:color w:val="000000"/>
          <w:szCs w:val="20"/>
        </w:rPr>
      </w:pPr>
    </w:p>
    <w:p w:rsidR="00A11B44" w:rsidRPr="00A11B44" w:rsidRDefault="00A11B44" w:rsidP="007D3D82">
      <w:pPr>
        <w:pStyle w:val="ListParagraph"/>
        <w:numPr>
          <w:ilvl w:val="0"/>
          <w:numId w:val="15"/>
        </w:numPr>
        <w:rPr>
          <w:color w:val="000000"/>
          <w:szCs w:val="20"/>
        </w:rPr>
      </w:pPr>
      <w:r>
        <w:rPr>
          <w:color w:val="000000"/>
          <w:szCs w:val="20"/>
        </w:rPr>
        <w:t>“</w:t>
      </w:r>
      <w:r w:rsidRPr="00A11B44">
        <w:rPr>
          <w:color w:val="000000"/>
          <w:szCs w:val="20"/>
        </w:rPr>
        <w:t>Unobligated balance</w:t>
      </w:r>
      <w:r w:rsidRPr="00A11B44">
        <w:rPr>
          <w:color w:val="000000"/>
        </w:rPr>
        <w:t>” is the</w:t>
      </w:r>
      <w:r w:rsidRPr="00A11B44">
        <w:rPr>
          <w:color w:val="000000"/>
          <w:sz w:val="28"/>
          <w:szCs w:val="20"/>
        </w:rPr>
        <w:t xml:space="preserve"> </w:t>
      </w:r>
      <w:r w:rsidRPr="00A11B44">
        <w:rPr>
          <w:color w:val="000000"/>
          <w:szCs w:val="20"/>
        </w:rPr>
        <w:t xml:space="preserve">amount of funds authorized under a Federal award that the non-Federal entity has not obligated. The amount is computed by subtracting the cumulative amount of the non-Federal entity's unliquidated obligations and expenditures of funds under the Federal award from the cumulative amount of the funds that the Federal awarding agency or pass-through entity authorized the non-Federal entity to obligate. </w:t>
      </w:r>
    </w:p>
    <w:p w:rsidR="00C13F5E" w:rsidRDefault="00C13F5E" w:rsidP="00504183">
      <w:pPr>
        <w:pStyle w:val="NoSpacing"/>
        <w:rPr>
          <w:rFonts w:ascii="Times New Roman" w:hAnsi="Times New Roman" w:cs="Times New Roman"/>
          <w:sz w:val="24"/>
          <w:szCs w:val="24"/>
        </w:rPr>
      </w:pPr>
    </w:p>
    <w:p w:rsidR="006C1153" w:rsidRDefault="00A63985" w:rsidP="00504183">
      <w:pPr>
        <w:pStyle w:val="NoSpacing"/>
        <w:rPr>
          <w:rFonts w:ascii="Times New Roman" w:hAnsi="Times New Roman" w:cs="Times New Roman"/>
          <w:sz w:val="24"/>
          <w:szCs w:val="24"/>
        </w:rPr>
      </w:pPr>
      <w:r>
        <w:rPr>
          <w:rFonts w:ascii="Times New Roman" w:hAnsi="Times New Roman" w:cs="Times New Roman"/>
          <w:sz w:val="24"/>
          <w:szCs w:val="24"/>
        </w:rPr>
        <w:t>The following points are most important in regard to specific time limits for the SCDD program:</w:t>
      </w:r>
    </w:p>
    <w:p w:rsidR="00A63985" w:rsidRDefault="00A63985" w:rsidP="00504183">
      <w:pPr>
        <w:pStyle w:val="NoSpacing"/>
        <w:rPr>
          <w:rFonts w:ascii="Times New Roman" w:hAnsi="Times New Roman" w:cs="Times New Roman"/>
          <w:sz w:val="24"/>
          <w:szCs w:val="24"/>
        </w:rPr>
      </w:pPr>
    </w:p>
    <w:p w:rsidR="00A63985" w:rsidRDefault="00A63985" w:rsidP="00A63985">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u w:val="single"/>
        </w:rPr>
        <w:t>Obligation</w:t>
      </w:r>
      <w:r>
        <w:rPr>
          <w:rFonts w:ascii="Times New Roman" w:hAnsi="Times New Roman" w:cs="Times New Roman"/>
          <w:sz w:val="24"/>
          <w:szCs w:val="24"/>
        </w:rPr>
        <w:t xml:space="preserve"> – Funds which the Federal Government allots during a Federal fiscal year are available for obligation by States for a two-year period beginning with the first day of the Federal fiscal year in which the grant is awarded.  [Reference: </w:t>
      </w:r>
      <w:r w:rsidR="00144406">
        <w:rPr>
          <w:rFonts w:ascii="Times New Roman" w:hAnsi="Times New Roman" w:cs="Times New Roman"/>
          <w:sz w:val="24"/>
          <w:szCs w:val="24"/>
        </w:rPr>
        <w:t xml:space="preserve">42 USC 15022 &amp; </w:t>
      </w:r>
      <w:r>
        <w:rPr>
          <w:rFonts w:ascii="Times New Roman" w:hAnsi="Times New Roman" w:cs="Times New Roman"/>
          <w:sz w:val="24"/>
          <w:szCs w:val="24"/>
        </w:rPr>
        <w:t>45 CFR 1326.2(a)]</w:t>
      </w:r>
    </w:p>
    <w:p w:rsidR="00A63985" w:rsidRDefault="00A63985" w:rsidP="00A63985">
      <w:pPr>
        <w:pStyle w:val="NoSpacing"/>
        <w:rPr>
          <w:rFonts w:ascii="Times New Roman" w:hAnsi="Times New Roman" w:cs="Times New Roman"/>
          <w:sz w:val="24"/>
          <w:szCs w:val="24"/>
        </w:rPr>
      </w:pPr>
    </w:p>
    <w:p w:rsidR="00A63985" w:rsidRDefault="00A63985" w:rsidP="00A63985">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u w:val="single"/>
        </w:rPr>
        <w:t>Liquidation</w:t>
      </w:r>
      <w:r>
        <w:rPr>
          <w:rFonts w:ascii="Times New Roman" w:hAnsi="Times New Roman" w:cs="Times New Roman"/>
          <w:sz w:val="24"/>
          <w:szCs w:val="24"/>
        </w:rPr>
        <w:t xml:space="preserve"> – All obligations incurred pursuant to a grant made under the Act for a specific </w:t>
      </w:r>
      <w:r w:rsidR="00144406">
        <w:rPr>
          <w:rFonts w:ascii="Times New Roman" w:hAnsi="Times New Roman" w:cs="Times New Roman"/>
          <w:sz w:val="24"/>
          <w:szCs w:val="24"/>
        </w:rPr>
        <w:t>FFY</w:t>
      </w:r>
      <w:r>
        <w:rPr>
          <w:rFonts w:ascii="Times New Roman" w:hAnsi="Times New Roman" w:cs="Times New Roman"/>
          <w:sz w:val="24"/>
          <w:szCs w:val="24"/>
        </w:rPr>
        <w:t xml:space="preserve"> must be liquidated within two years of the close of the Federal fiscal year in which the grant was awarded.  [Reference: 45 CFR 1326.3(a)]</w:t>
      </w:r>
    </w:p>
    <w:p w:rsidR="0061290A" w:rsidRDefault="0061290A" w:rsidP="0061290A">
      <w:pPr>
        <w:pStyle w:val="ListParagraph"/>
      </w:pPr>
    </w:p>
    <w:p w:rsidR="009C5BC2" w:rsidRDefault="0061290A" w:rsidP="00666C4D">
      <w:pPr>
        <w:spacing w:after="27"/>
      </w:pPr>
      <w:r>
        <w:t>The current SCDD program regulations provide an opportunity for States to request a waiver of the two year liquidation time requirement if (a) the State law impeded implementation of the requirement, or (b) the amount of obligat</w:t>
      </w:r>
      <w:r w:rsidR="008D0B27">
        <w:t>ed</w:t>
      </w:r>
      <w:r>
        <w:t xml:space="preserve"> funds to be liquidated is in dispute.  </w:t>
      </w:r>
      <w:r w:rsidR="00F6127B">
        <w:t xml:space="preserve">[Reference: 45 CFR 1326.3(b)].  </w:t>
      </w:r>
      <w:r w:rsidR="00144406">
        <w:t>Additionally</w:t>
      </w:r>
      <w:r w:rsidR="00F6127B">
        <w:t xml:space="preserve">, if </w:t>
      </w:r>
      <w:r w:rsidR="00666C4D">
        <w:t xml:space="preserve">there is a Presidential </w:t>
      </w:r>
      <w:r w:rsidR="007918C5">
        <w:t xml:space="preserve">declared </w:t>
      </w:r>
      <w:r w:rsidR="00666C4D">
        <w:t xml:space="preserve">disaster that prevents a grantee from meeting the </w:t>
      </w:r>
      <w:r w:rsidR="00F6127B">
        <w:t xml:space="preserve">liquidation </w:t>
      </w:r>
      <w:r w:rsidR="00227E57">
        <w:t>deadline</w:t>
      </w:r>
      <w:r w:rsidR="00F6127B">
        <w:t xml:space="preserve">, </w:t>
      </w:r>
      <w:r w:rsidR="00144406">
        <w:t>the grantee</w:t>
      </w:r>
      <w:r w:rsidR="00F6127B">
        <w:t xml:space="preserve"> should</w:t>
      </w:r>
      <w:r w:rsidR="00666C4D">
        <w:t xml:space="preserve"> immediately</w:t>
      </w:r>
      <w:r w:rsidR="00F6127B">
        <w:t xml:space="preserve"> submit a request for </w:t>
      </w:r>
      <w:r w:rsidR="00DB5391">
        <w:t xml:space="preserve">a liquidation </w:t>
      </w:r>
      <w:r w:rsidR="00F6127B">
        <w:t>waiver to the</w:t>
      </w:r>
      <w:r w:rsidR="00227E57">
        <w:t>ir</w:t>
      </w:r>
      <w:bookmarkStart w:id="0" w:name="_GoBack"/>
      <w:bookmarkEnd w:id="0"/>
      <w:r w:rsidR="00144406">
        <w:t xml:space="preserve"> </w:t>
      </w:r>
      <w:r w:rsidR="000320D3">
        <w:t xml:space="preserve">AIDD </w:t>
      </w:r>
      <w:r w:rsidR="00554155">
        <w:t>Project Officer.</w:t>
      </w:r>
    </w:p>
    <w:p w:rsidR="00F6127B" w:rsidRDefault="00F6127B" w:rsidP="0061290A">
      <w:pPr>
        <w:pStyle w:val="NoSpacing"/>
        <w:rPr>
          <w:rFonts w:ascii="Times New Roman" w:hAnsi="Times New Roman" w:cs="Times New Roman"/>
          <w:b/>
          <w:sz w:val="24"/>
          <w:szCs w:val="24"/>
        </w:rPr>
      </w:pPr>
    </w:p>
    <w:p w:rsidR="000320D3" w:rsidRDefault="000320D3" w:rsidP="0061290A">
      <w:pPr>
        <w:pStyle w:val="NoSpacing"/>
        <w:rPr>
          <w:rFonts w:ascii="Times New Roman" w:hAnsi="Times New Roman" w:cs="Times New Roman"/>
          <w:b/>
          <w:sz w:val="24"/>
          <w:szCs w:val="24"/>
        </w:rPr>
      </w:pPr>
    </w:p>
    <w:p w:rsidR="0061290A" w:rsidRPr="0090045E" w:rsidRDefault="00316466" w:rsidP="0061290A">
      <w:pPr>
        <w:pStyle w:val="NoSpacing"/>
        <w:rPr>
          <w:rFonts w:ascii="Times New Roman" w:hAnsi="Times New Roman" w:cs="Times New Roman"/>
          <w:sz w:val="24"/>
          <w:szCs w:val="24"/>
        </w:rPr>
      </w:pPr>
      <w:r w:rsidRPr="0090045E">
        <w:rPr>
          <w:rFonts w:ascii="Times New Roman" w:hAnsi="Times New Roman" w:cs="Times New Roman"/>
          <w:b/>
          <w:sz w:val="24"/>
          <w:szCs w:val="24"/>
        </w:rPr>
        <w:t>DECISION:</w:t>
      </w:r>
    </w:p>
    <w:p w:rsidR="00316466" w:rsidRDefault="00316466" w:rsidP="0061290A">
      <w:pPr>
        <w:pStyle w:val="NoSpacing"/>
        <w:rPr>
          <w:rFonts w:ascii="Times New Roman" w:hAnsi="Times New Roman" w:cs="Times New Roman"/>
          <w:sz w:val="24"/>
          <w:szCs w:val="24"/>
        </w:rPr>
      </w:pPr>
      <w:r w:rsidRPr="0090045E">
        <w:rPr>
          <w:rFonts w:ascii="Times New Roman" w:hAnsi="Times New Roman" w:cs="Times New Roman"/>
          <w:sz w:val="24"/>
          <w:szCs w:val="24"/>
        </w:rPr>
        <w:t>In understanding that some grant recipients may need additional time to amend internal policies</w:t>
      </w:r>
      <w:r w:rsidR="000320D3">
        <w:rPr>
          <w:rFonts w:ascii="Times New Roman" w:hAnsi="Times New Roman" w:cs="Times New Roman"/>
          <w:sz w:val="24"/>
          <w:szCs w:val="24"/>
        </w:rPr>
        <w:t>, as well as</w:t>
      </w:r>
      <w:r w:rsidRPr="0090045E">
        <w:rPr>
          <w:rFonts w:ascii="Times New Roman" w:hAnsi="Times New Roman" w:cs="Times New Roman"/>
          <w:sz w:val="24"/>
          <w:szCs w:val="24"/>
        </w:rPr>
        <w:t xml:space="preserve"> procedures and procurement </w:t>
      </w:r>
      <w:r w:rsidR="00F6127B">
        <w:rPr>
          <w:rFonts w:ascii="Times New Roman" w:hAnsi="Times New Roman" w:cs="Times New Roman"/>
          <w:sz w:val="24"/>
          <w:szCs w:val="24"/>
        </w:rPr>
        <w:t xml:space="preserve">policies </w:t>
      </w:r>
      <w:r w:rsidRPr="0090045E">
        <w:rPr>
          <w:rFonts w:ascii="Times New Roman" w:hAnsi="Times New Roman" w:cs="Times New Roman"/>
          <w:sz w:val="24"/>
          <w:szCs w:val="24"/>
        </w:rPr>
        <w:t xml:space="preserve">to comply with the completion of work authorized by the project period end date, ACL will approve a one-time special condition for </w:t>
      </w:r>
      <w:r w:rsidR="000320D3">
        <w:rPr>
          <w:rFonts w:ascii="Times New Roman" w:hAnsi="Times New Roman" w:cs="Times New Roman"/>
          <w:sz w:val="24"/>
          <w:szCs w:val="24"/>
        </w:rPr>
        <w:t xml:space="preserve">SCDD </w:t>
      </w:r>
      <w:r w:rsidRPr="0090045E">
        <w:rPr>
          <w:rFonts w:ascii="Times New Roman" w:hAnsi="Times New Roman" w:cs="Times New Roman"/>
          <w:sz w:val="24"/>
          <w:szCs w:val="24"/>
        </w:rPr>
        <w:t xml:space="preserve">FFY 2019 </w:t>
      </w:r>
      <w:r w:rsidR="000320D3">
        <w:rPr>
          <w:rFonts w:ascii="Times New Roman" w:hAnsi="Times New Roman" w:cs="Times New Roman"/>
          <w:sz w:val="24"/>
          <w:szCs w:val="24"/>
        </w:rPr>
        <w:t xml:space="preserve">grant </w:t>
      </w:r>
      <w:r w:rsidRPr="0090045E">
        <w:rPr>
          <w:rFonts w:ascii="Times New Roman" w:hAnsi="Times New Roman" w:cs="Times New Roman"/>
          <w:sz w:val="24"/>
          <w:szCs w:val="24"/>
        </w:rPr>
        <w:t xml:space="preserve">awards </w:t>
      </w:r>
      <w:r w:rsidRPr="0090045E">
        <w:rPr>
          <w:rFonts w:ascii="Times New Roman" w:hAnsi="Times New Roman" w:cs="Times New Roman"/>
          <w:sz w:val="24"/>
          <w:szCs w:val="24"/>
        </w:rPr>
        <w:lastRenderedPageBreak/>
        <w:t>that will allow for grant recipients to complete the work authorized</w:t>
      </w:r>
      <w:r w:rsidR="007A333C">
        <w:rPr>
          <w:rFonts w:ascii="Times New Roman" w:hAnsi="Times New Roman" w:cs="Times New Roman"/>
          <w:sz w:val="24"/>
          <w:szCs w:val="24"/>
        </w:rPr>
        <w:t xml:space="preserve"> by</w:t>
      </w:r>
      <w:r w:rsidRPr="0090045E">
        <w:rPr>
          <w:rFonts w:ascii="Times New Roman" w:hAnsi="Times New Roman" w:cs="Times New Roman"/>
          <w:sz w:val="24"/>
          <w:szCs w:val="24"/>
        </w:rPr>
        <w:t xml:space="preserve"> </w:t>
      </w:r>
      <w:r w:rsidR="006B73AC">
        <w:rPr>
          <w:rFonts w:ascii="Times New Roman" w:hAnsi="Times New Roman" w:cs="Times New Roman"/>
          <w:sz w:val="24"/>
          <w:szCs w:val="24"/>
        </w:rPr>
        <w:t>September 30, 2021</w:t>
      </w:r>
      <w:r w:rsidR="000320D3">
        <w:rPr>
          <w:rFonts w:ascii="Times New Roman" w:hAnsi="Times New Roman" w:cs="Times New Roman"/>
          <w:sz w:val="24"/>
          <w:szCs w:val="24"/>
        </w:rPr>
        <w:t>. However,</w:t>
      </w:r>
      <w:r w:rsidRPr="0090045E">
        <w:rPr>
          <w:rFonts w:ascii="Times New Roman" w:hAnsi="Times New Roman" w:cs="Times New Roman"/>
          <w:sz w:val="24"/>
          <w:szCs w:val="24"/>
        </w:rPr>
        <w:t xml:space="preserve"> obligations </w:t>
      </w:r>
      <w:r w:rsidR="000320D3">
        <w:rPr>
          <w:rFonts w:ascii="Times New Roman" w:hAnsi="Times New Roman" w:cs="Times New Roman"/>
          <w:sz w:val="24"/>
          <w:szCs w:val="24"/>
        </w:rPr>
        <w:t xml:space="preserve">made with the SCDD FFY 2019 grant award </w:t>
      </w:r>
      <w:r w:rsidRPr="0090045E">
        <w:rPr>
          <w:rFonts w:ascii="Times New Roman" w:hAnsi="Times New Roman" w:cs="Times New Roman"/>
          <w:sz w:val="24"/>
          <w:szCs w:val="24"/>
        </w:rPr>
        <w:t>must be made by the 24-month project period end date</w:t>
      </w:r>
      <w:r w:rsidR="006B73AC">
        <w:rPr>
          <w:rFonts w:ascii="Times New Roman" w:hAnsi="Times New Roman" w:cs="Times New Roman"/>
          <w:sz w:val="24"/>
          <w:szCs w:val="24"/>
        </w:rPr>
        <w:t xml:space="preserve"> of September 30, 2020.</w:t>
      </w:r>
      <w:r w:rsidRPr="0090045E">
        <w:rPr>
          <w:rFonts w:ascii="Times New Roman" w:hAnsi="Times New Roman" w:cs="Times New Roman"/>
          <w:sz w:val="24"/>
          <w:szCs w:val="24"/>
        </w:rPr>
        <w:t xml:space="preserve">  Consistent with existing requirements, grant recipients are to liquidate obligations within two years from the close of the </w:t>
      </w:r>
      <w:r w:rsidR="00227E57">
        <w:rPr>
          <w:rFonts w:ascii="Times New Roman" w:hAnsi="Times New Roman" w:cs="Times New Roman"/>
          <w:sz w:val="24"/>
          <w:szCs w:val="24"/>
        </w:rPr>
        <w:t>FFY</w:t>
      </w:r>
      <w:r w:rsidRPr="0090045E">
        <w:rPr>
          <w:rFonts w:ascii="Times New Roman" w:hAnsi="Times New Roman" w:cs="Times New Roman"/>
          <w:sz w:val="24"/>
          <w:szCs w:val="24"/>
        </w:rPr>
        <w:t xml:space="preserve"> of </w:t>
      </w:r>
      <w:r w:rsidR="00227E57">
        <w:rPr>
          <w:rFonts w:ascii="Times New Roman" w:hAnsi="Times New Roman" w:cs="Times New Roman"/>
          <w:sz w:val="24"/>
          <w:szCs w:val="24"/>
        </w:rPr>
        <w:t xml:space="preserve">the </w:t>
      </w:r>
      <w:r w:rsidRPr="0090045E">
        <w:rPr>
          <w:rFonts w:ascii="Times New Roman" w:hAnsi="Times New Roman" w:cs="Times New Roman"/>
          <w:sz w:val="24"/>
          <w:szCs w:val="24"/>
        </w:rPr>
        <w:t>award or by September 30, 2021 u</w:t>
      </w:r>
      <w:r w:rsidR="00F31A17">
        <w:rPr>
          <w:rFonts w:ascii="Times New Roman" w:hAnsi="Times New Roman" w:cs="Times New Roman"/>
          <w:sz w:val="24"/>
          <w:szCs w:val="24"/>
        </w:rPr>
        <w:t xml:space="preserve">nless a waiver </w:t>
      </w:r>
      <w:proofErr w:type="gramStart"/>
      <w:r w:rsidR="00F31A17">
        <w:rPr>
          <w:rFonts w:ascii="Times New Roman" w:hAnsi="Times New Roman" w:cs="Times New Roman"/>
          <w:sz w:val="24"/>
          <w:szCs w:val="24"/>
        </w:rPr>
        <w:t>is approved</w:t>
      </w:r>
      <w:proofErr w:type="gramEnd"/>
      <w:r w:rsidR="00F31A17">
        <w:rPr>
          <w:rFonts w:ascii="Times New Roman" w:hAnsi="Times New Roman" w:cs="Times New Roman"/>
          <w:sz w:val="24"/>
          <w:szCs w:val="24"/>
        </w:rPr>
        <w:t xml:space="preserve">. </w:t>
      </w:r>
    </w:p>
    <w:p w:rsidR="00EB0889" w:rsidRDefault="00EB0889" w:rsidP="0061290A">
      <w:pPr>
        <w:pStyle w:val="NoSpacing"/>
        <w:rPr>
          <w:rFonts w:ascii="Times New Roman" w:hAnsi="Times New Roman" w:cs="Times New Roman"/>
          <w:sz w:val="24"/>
          <w:szCs w:val="24"/>
        </w:rPr>
      </w:pPr>
    </w:p>
    <w:p w:rsidR="00EB0889" w:rsidRPr="0090045E" w:rsidRDefault="00EB0889" w:rsidP="0061290A">
      <w:pPr>
        <w:pStyle w:val="NoSpacing"/>
        <w:rPr>
          <w:rFonts w:ascii="Times New Roman" w:hAnsi="Times New Roman" w:cs="Times New Roman"/>
          <w:sz w:val="24"/>
          <w:szCs w:val="24"/>
        </w:rPr>
      </w:pPr>
      <w:r>
        <w:rPr>
          <w:rFonts w:ascii="Times New Roman" w:hAnsi="Times New Roman" w:cs="Times New Roman"/>
          <w:sz w:val="24"/>
          <w:szCs w:val="24"/>
        </w:rPr>
        <w:t xml:space="preserve">ACL plans to conduct additional technical assistance in </w:t>
      </w:r>
      <w:r w:rsidR="007C32FE">
        <w:rPr>
          <w:rFonts w:ascii="Times New Roman" w:hAnsi="Times New Roman" w:cs="Times New Roman"/>
          <w:sz w:val="24"/>
          <w:szCs w:val="24"/>
        </w:rPr>
        <w:t>the near future.</w:t>
      </w:r>
    </w:p>
    <w:p w:rsidR="00F615E3" w:rsidRPr="0090045E" w:rsidRDefault="00F615E3" w:rsidP="000F6DF0"/>
    <w:p w:rsidR="00316466" w:rsidRPr="0090045E" w:rsidRDefault="00316466" w:rsidP="000F6DF0">
      <w:pPr>
        <w:rPr>
          <w:b/>
        </w:rPr>
      </w:pPr>
      <w:r w:rsidRPr="0090045E">
        <w:rPr>
          <w:rFonts w:eastAsiaTheme="minorHAnsi"/>
          <w:b/>
        </w:rPr>
        <w:t>FOR MORE INFORMATION:</w:t>
      </w:r>
    </w:p>
    <w:p w:rsidR="00316466" w:rsidRPr="0090045E" w:rsidRDefault="00316466" w:rsidP="000F6DF0">
      <w:r w:rsidRPr="0090045E">
        <w:rPr>
          <w:rFonts w:eastAsiaTheme="minorHAnsi"/>
        </w:rPr>
        <w:t xml:space="preserve">For more information please contact Andrew Morris in the ACL Office for Policy Analysis and Development at </w:t>
      </w:r>
      <w:hyperlink r:id="rId8" w:history="1">
        <w:r w:rsidRPr="0090045E">
          <w:rPr>
            <w:rStyle w:val="Hyperlink"/>
            <w:rFonts w:eastAsiaTheme="minorHAnsi"/>
          </w:rPr>
          <w:t>andrew.morris@acl.hhs.gov</w:t>
        </w:r>
      </w:hyperlink>
      <w:r w:rsidRPr="0090045E">
        <w:rPr>
          <w:rFonts w:eastAsiaTheme="minorHAnsi"/>
        </w:rPr>
        <w:t>.</w:t>
      </w:r>
    </w:p>
    <w:p w:rsidR="00316466" w:rsidRDefault="00316466" w:rsidP="000F6DF0"/>
    <w:p w:rsidR="00316466" w:rsidRDefault="00316466" w:rsidP="005D5503">
      <w:pPr>
        <w:ind w:left="2880" w:firstLine="720"/>
      </w:pPr>
      <w:r>
        <w:t>Sincerely,</w:t>
      </w:r>
    </w:p>
    <w:p w:rsidR="00316466" w:rsidRDefault="00316466" w:rsidP="00316466">
      <w:pPr>
        <w:pStyle w:val="NoSpacing"/>
        <w:rPr>
          <w:rFonts w:ascii="Times New Roman" w:hAnsi="Times New Roman" w:cs="Times New Roman"/>
          <w:color w:val="FF0000"/>
          <w:sz w:val="24"/>
          <w:szCs w:val="24"/>
        </w:rPr>
      </w:pPr>
    </w:p>
    <w:p w:rsidR="00316466" w:rsidRDefault="00316466" w:rsidP="00316466">
      <w:pPr>
        <w:pStyle w:val="NoSpacing"/>
        <w:rPr>
          <w:rFonts w:ascii="Times New Roman" w:hAnsi="Times New Roman" w:cs="Times New Roman"/>
          <w:color w:val="FF0000"/>
          <w:sz w:val="24"/>
          <w:szCs w:val="24"/>
        </w:rPr>
      </w:pPr>
    </w:p>
    <w:p w:rsidR="00316466" w:rsidRDefault="00316466" w:rsidP="00316466">
      <w:pPr>
        <w:pStyle w:val="NoSpacing"/>
        <w:rPr>
          <w:rFonts w:ascii="Times New Roman" w:hAnsi="Times New Roman" w:cs="Times New Roman"/>
          <w:color w:val="FF0000"/>
          <w:sz w:val="24"/>
          <w:szCs w:val="24"/>
        </w:rPr>
      </w:pPr>
    </w:p>
    <w:p w:rsidR="00316466" w:rsidRPr="00145658" w:rsidRDefault="00316466" w:rsidP="00316466">
      <w:pPr>
        <w:pStyle w:val="NoSpacing"/>
        <w:rPr>
          <w:rFonts w:ascii="Times New Roman" w:hAnsi="Times New Roman" w:cs="Times New Roman"/>
          <w:sz w:val="24"/>
          <w:szCs w:val="24"/>
        </w:rPr>
      </w:pPr>
      <w:r w:rsidRPr="00145658">
        <w:rPr>
          <w:rFonts w:ascii="Times New Roman" w:hAnsi="Times New Roman" w:cs="Times New Roman"/>
          <w:sz w:val="24"/>
          <w:szCs w:val="24"/>
        </w:rPr>
        <w:t>Jennifer Johnson</w:t>
      </w:r>
      <w:r w:rsidRPr="00145658">
        <w:rPr>
          <w:rFonts w:ascii="Times New Roman" w:hAnsi="Times New Roman" w:cs="Times New Roman"/>
          <w:sz w:val="24"/>
          <w:szCs w:val="24"/>
        </w:rPr>
        <w:tab/>
      </w:r>
      <w:r w:rsidRPr="00145658">
        <w:rPr>
          <w:rFonts w:ascii="Times New Roman" w:hAnsi="Times New Roman" w:cs="Times New Roman"/>
          <w:sz w:val="24"/>
          <w:szCs w:val="24"/>
        </w:rPr>
        <w:tab/>
      </w:r>
      <w:r w:rsidRPr="00145658">
        <w:rPr>
          <w:rFonts w:ascii="Times New Roman" w:hAnsi="Times New Roman" w:cs="Times New Roman"/>
          <w:sz w:val="24"/>
          <w:szCs w:val="24"/>
        </w:rPr>
        <w:tab/>
      </w:r>
      <w:r w:rsidRPr="00145658">
        <w:rPr>
          <w:rFonts w:ascii="Times New Roman" w:hAnsi="Times New Roman" w:cs="Times New Roman"/>
          <w:sz w:val="24"/>
          <w:szCs w:val="24"/>
        </w:rPr>
        <w:tab/>
      </w:r>
      <w:r w:rsidRPr="00145658">
        <w:rPr>
          <w:rFonts w:ascii="Times New Roman" w:hAnsi="Times New Roman" w:cs="Times New Roman"/>
          <w:sz w:val="24"/>
          <w:szCs w:val="24"/>
        </w:rPr>
        <w:tab/>
      </w:r>
      <w:r w:rsidRPr="00145658">
        <w:rPr>
          <w:rFonts w:ascii="Times New Roman" w:hAnsi="Times New Roman" w:cs="Times New Roman"/>
          <w:sz w:val="24"/>
          <w:szCs w:val="24"/>
        </w:rPr>
        <w:tab/>
      </w:r>
      <w:r>
        <w:rPr>
          <w:rFonts w:ascii="Times New Roman" w:hAnsi="Times New Roman" w:cs="Times New Roman"/>
          <w:sz w:val="24"/>
          <w:szCs w:val="24"/>
        </w:rPr>
        <w:t>Tanielle Chandler</w:t>
      </w:r>
    </w:p>
    <w:p w:rsidR="00316466" w:rsidRPr="00145658" w:rsidRDefault="00316466" w:rsidP="00316466">
      <w:pPr>
        <w:pStyle w:val="NoSpacing"/>
        <w:rPr>
          <w:rFonts w:ascii="Times New Roman" w:hAnsi="Times New Roman" w:cs="Times New Roman"/>
          <w:sz w:val="24"/>
          <w:szCs w:val="24"/>
        </w:rPr>
      </w:pPr>
      <w:r w:rsidRPr="00145658">
        <w:rPr>
          <w:rFonts w:ascii="Times New Roman" w:hAnsi="Times New Roman" w:cs="Times New Roman"/>
          <w:sz w:val="24"/>
          <w:szCs w:val="24"/>
        </w:rPr>
        <w:t>Deputy Director</w:t>
      </w:r>
      <w:r w:rsidRPr="00145658">
        <w:rPr>
          <w:rFonts w:ascii="Times New Roman" w:hAnsi="Times New Roman" w:cs="Times New Roman"/>
          <w:sz w:val="24"/>
          <w:szCs w:val="24"/>
        </w:rPr>
        <w:tab/>
      </w:r>
      <w:r w:rsidRPr="00145658">
        <w:rPr>
          <w:rFonts w:ascii="Times New Roman" w:hAnsi="Times New Roman" w:cs="Times New Roman"/>
          <w:sz w:val="24"/>
          <w:szCs w:val="24"/>
        </w:rPr>
        <w:tab/>
      </w:r>
      <w:r w:rsidRPr="00145658">
        <w:rPr>
          <w:rFonts w:ascii="Times New Roman" w:hAnsi="Times New Roman" w:cs="Times New Roman"/>
          <w:sz w:val="24"/>
          <w:szCs w:val="24"/>
        </w:rPr>
        <w:tab/>
      </w:r>
      <w:r w:rsidRPr="00145658">
        <w:rPr>
          <w:rFonts w:ascii="Times New Roman" w:hAnsi="Times New Roman" w:cs="Times New Roman"/>
          <w:sz w:val="24"/>
          <w:szCs w:val="24"/>
        </w:rPr>
        <w:tab/>
      </w:r>
      <w:r w:rsidRPr="00145658">
        <w:rPr>
          <w:rFonts w:ascii="Times New Roman" w:hAnsi="Times New Roman" w:cs="Times New Roman"/>
          <w:sz w:val="24"/>
          <w:szCs w:val="24"/>
        </w:rPr>
        <w:tab/>
      </w:r>
      <w:r w:rsidRPr="00145658">
        <w:rPr>
          <w:rFonts w:ascii="Times New Roman" w:hAnsi="Times New Roman" w:cs="Times New Roman"/>
          <w:sz w:val="24"/>
          <w:szCs w:val="24"/>
        </w:rPr>
        <w:tab/>
      </w:r>
      <w:proofErr w:type="spellStart"/>
      <w:r>
        <w:rPr>
          <w:rFonts w:ascii="Times New Roman" w:hAnsi="Times New Roman" w:cs="Times New Roman"/>
          <w:sz w:val="24"/>
          <w:szCs w:val="24"/>
        </w:rPr>
        <w:t>Director</w:t>
      </w:r>
      <w:proofErr w:type="spellEnd"/>
    </w:p>
    <w:p w:rsidR="00316466" w:rsidRPr="00145658" w:rsidRDefault="00316466" w:rsidP="00316466">
      <w:pPr>
        <w:pStyle w:val="NoSpacing"/>
        <w:rPr>
          <w:rFonts w:ascii="Times New Roman" w:hAnsi="Times New Roman" w:cs="Times New Roman"/>
          <w:sz w:val="24"/>
          <w:szCs w:val="24"/>
        </w:rPr>
      </w:pPr>
      <w:r w:rsidRPr="00145658">
        <w:rPr>
          <w:rFonts w:ascii="Times New Roman" w:hAnsi="Times New Roman" w:cs="Times New Roman"/>
          <w:sz w:val="24"/>
          <w:szCs w:val="24"/>
        </w:rPr>
        <w:t>Administration on Disabilities</w:t>
      </w:r>
      <w:r w:rsidRPr="00145658">
        <w:rPr>
          <w:rFonts w:ascii="Times New Roman" w:hAnsi="Times New Roman" w:cs="Times New Roman"/>
          <w:sz w:val="24"/>
          <w:szCs w:val="24"/>
        </w:rPr>
        <w:tab/>
      </w:r>
      <w:r w:rsidRPr="00145658">
        <w:rPr>
          <w:rFonts w:ascii="Times New Roman" w:hAnsi="Times New Roman" w:cs="Times New Roman"/>
          <w:sz w:val="24"/>
          <w:szCs w:val="24"/>
        </w:rPr>
        <w:tab/>
      </w:r>
      <w:r w:rsidRPr="00145658">
        <w:rPr>
          <w:rFonts w:ascii="Times New Roman" w:hAnsi="Times New Roman" w:cs="Times New Roman"/>
          <w:sz w:val="24"/>
          <w:szCs w:val="24"/>
        </w:rPr>
        <w:tab/>
      </w:r>
      <w:r w:rsidRPr="00145658">
        <w:rPr>
          <w:rFonts w:ascii="Times New Roman" w:hAnsi="Times New Roman" w:cs="Times New Roman"/>
          <w:sz w:val="24"/>
          <w:szCs w:val="24"/>
        </w:rPr>
        <w:tab/>
        <w:t>Office of Grants Management</w:t>
      </w:r>
    </w:p>
    <w:p w:rsidR="00316466" w:rsidRDefault="00316466" w:rsidP="00316466">
      <w:pPr>
        <w:pStyle w:val="NoSpacing"/>
        <w:rPr>
          <w:rFonts w:ascii="Times New Roman" w:hAnsi="Times New Roman" w:cs="Times New Roman"/>
          <w:color w:val="FF0000"/>
          <w:sz w:val="24"/>
          <w:szCs w:val="24"/>
        </w:rPr>
      </w:pPr>
    </w:p>
    <w:p w:rsidR="00316466" w:rsidRDefault="00316466" w:rsidP="00316466">
      <w:pPr>
        <w:pStyle w:val="NoSpacing"/>
        <w:rPr>
          <w:rFonts w:ascii="Times New Roman" w:hAnsi="Times New Roman" w:cs="Times New Roman"/>
          <w:color w:val="FF0000"/>
          <w:sz w:val="24"/>
          <w:szCs w:val="24"/>
        </w:rPr>
      </w:pPr>
    </w:p>
    <w:p w:rsidR="00316466" w:rsidRDefault="00316466" w:rsidP="00316466">
      <w:pPr>
        <w:pStyle w:val="NoSpacing"/>
        <w:rPr>
          <w:rFonts w:ascii="Times New Roman" w:hAnsi="Times New Roman" w:cs="Times New Roman"/>
          <w:sz w:val="24"/>
          <w:szCs w:val="24"/>
        </w:rPr>
      </w:pPr>
    </w:p>
    <w:p w:rsidR="00316466" w:rsidRPr="00145658" w:rsidRDefault="00316466" w:rsidP="00316466">
      <w:pPr>
        <w:pStyle w:val="NoSpacing"/>
        <w:rPr>
          <w:rFonts w:ascii="Times New Roman" w:hAnsi="Times New Roman" w:cs="Times New Roman"/>
          <w:sz w:val="24"/>
          <w:szCs w:val="24"/>
        </w:rPr>
      </w:pPr>
      <w:r>
        <w:rPr>
          <w:rFonts w:ascii="Times New Roman" w:hAnsi="Times New Roman" w:cs="Times New Roman"/>
          <w:sz w:val="24"/>
          <w:szCs w:val="24"/>
        </w:rPr>
        <w:t xml:space="preserve">cc:   </w:t>
      </w:r>
      <w:r w:rsidR="008D0B27">
        <w:rPr>
          <w:rFonts w:ascii="Times New Roman" w:hAnsi="Times New Roman" w:cs="Times New Roman"/>
          <w:sz w:val="24"/>
          <w:szCs w:val="24"/>
        </w:rPr>
        <w:tab/>
      </w:r>
      <w:r>
        <w:rPr>
          <w:rFonts w:ascii="Times New Roman" w:hAnsi="Times New Roman" w:cs="Times New Roman"/>
          <w:sz w:val="24"/>
          <w:szCs w:val="24"/>
        </w:rPr>
        <w:t xml:space="preserve">Ophelia McLain, Director, Office of Program Support </w:t>
      </w:r>
    </w:p>
    <w:p w:rsidR="008D0B27" w:rsidRDefault="00316466" w:rsidP="00316466">
      <w:pPr>
        <w:pStyle w:val="NoSpacing"/>
        <w:rPr>
          <w:rFonts w:ascii="Times New Roman" w:hAnsi="Times New Roman" w:cs="Times New Roman"/>
          <w:sz w:val="24"/>
          <w:szCs w:val="24"/>
        </w:rPr>
      </w:pPr>
      <w:r>
        <w:rPr>
          <w:rFonts w:ascii="Times New Roman" w:hAnsi="Times New Roman" w:cs="Times New Roman"/>
          <w:color w:val="FF0000"/>
          <w:sz w:val="24"/>
          <w:szCs w:val="24"/>
        </w:rPr>
        <w:t xml:space="preserve">        </w:t>
      </w:r>
      <w:r w:rsidR="008D0B27">
        <w:rPr>
          <w:rFonts w:ascii="Times New Roman" w:hAnsi="Times New Roman" w:cs="Times New Roman"/>
          <w:color w:val="FF0000"/>
          <w:sz w:val="24"/>
          <w:szCs w:val="24"/>
        </w:rPr>
        <w:tab/>
      </w:r>
      <w:r w:rsidRPr="00145658">
        <w:rPr>
          <w:rFonts w:ascii="Times New Roman" w:hAnsi="Times New Roman" w:cs="Times New Roman"/>
          <w:sz w:val="24"/>
          <w:szCs w:val="24"/>
        </w:rPr>
        <w:t>Sara Newell-Perez, Pro</w:t>
      </w:r>
      <w:r w:rsidR="008D0B27">
        <w:rPr>
          <w:rFonts w:ascii="Times New Roman" w:hAnsi="Times New Roman" w:cs="Times New Roman"/>
          <w:sz w:val="24"/>
          <w:szCs w:val="24"/>
        </w:rPr>
        <w:t>gram Specialist</w:t>
      </w:r>
      <w:r w:rsidRPr="00145658">
        <w:rPr>
          <w:rFonts w:ascii="Times New Roman" w:hAnsi="Times New Roman" w:cs="Times New Roman"/>
          <w:sz w:val="24"/>
          <w:szCs w:val="24"/>
        </w:rPr>
        <w:t xml:space="preserve">, </w:t>
      </w:r>
      <w:r w:rsidR="008D0B27">
        <w:rPr>
          <w:rFonts w:ascii="Times New Roman" w:hAnsi="Times New Roman" w:cs="Times New Roman"/>
          <w:sz w:val="24"/>
          <w:szCs w:val="24"/>
        </w:rPr>
        <w:t xml:space="preserve">Office of Program Support </w:t>
      </w:r>
    </w:p>
    <w:p w:rsidR="008D0B27" w:rsidRDefault="00316466" w:rsidP="008D0B27">
      <w:pPr>
        <w:pStyle w:val="NoSpacing"/>
        <w:rPr>
          <w:color w:val="FF0000"/>
        </w:rPr>
      </w:pPr>
      <w:r w:rsidRPr="00145658">
        <w:rPr>
          <w:rFonts w:ascii="Times New Roman" w:hAnsi="Times New Roman" w:cs="Times New Roman"/>
          <w:sz w:val="24"/>
          <w:szCs w:val="24"/>
        </w:rPr>
        <w:tab/>
      </w:r>
      <w:r w:rsidR="008D0B27">
        <w:rPr>
          <w:rFonts w:ascii="Times New Roman" w:hAnsi="Times New Roman" w:cs="Times New Roman"/>
          <w:sz w:val="24"/>
          <w:szCs w:val="24"/>
        </w:rPr>
        <w:t xml:space="preserve">Teresa Nguyen, </w:t>
      </w:r>
      <w:r w:rsidR="008D0B27" w:rsidRPr="008D0B27">
        <w:rPr>
          <w:rFonts w:ascii="Times New Roman" w:hAnsi="Times New Roman" w:cs="Times New Roman"/>
          <w:sz w:val="24"/>
          <w:szCs w:val="24"/>
        </w:rPr>
        <w:t>Program Specialist, Office of Program Support</w:t>
      </w:r>
    </w:p>
    <w:p w:rsidR="00316466" w:rsidRPr="00144406" w:rsidRDefault="00316466" w:rsidP="008D0B27">
      <w:pPr>
        <w:pStyle w:val="NoSpacing"/>
        <w:rPr>
          <w:rFonts w:ascii="Times New Roman" w:hAnsi="Times New Roman" w:cs="Times New Roman"/>
          <w:sz w:val="24"/>
          <w:szCs w:val="24"/>
        </w:rPr>
      </w:pPr>
      <w:r>
        <w:rPr>
          <w:color w:val="FF0000"/>
        </w:rPr>
        <w:t xml:space="preserve">        </w:t>
      </w:r>
      <w:r w:rsidR="008D0B27">
        <w:rPr>
          <w:color w:val="FF0000"/>
        </w:rPr>
        <w:tab/>
      </w:r>
      <w:r w:rsidRPr="00144406">
        <w:rPr>
          <w:rFonts w:ascii="Times New Roman" w:hAnsi="Times New Roman" w:cs="Times New Roman"/>
          <w:sz w:val="24"/>
          <w:szCs w:val="24"/>
        </w:rPr>
        <w:t>William Kim, Grants Management Officer, Office of Grants Management</w:t>
      </w:r>
    </w:p>
    <w:sectPr w:rsidR="00316466" w:rsidRPr="00144406" w:rsidSect="00D80063">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94F" w:rsidRDefault="0001294F" w:rsidP="00F453D7">
      <w:r>
        <w:separator/>
      </w:r>
    </w:p>
  </w:endnote>
  <w:endnote w:type="continuationSeparator" w:id="0">
    <w:p w:rsidR="0001294F" w:rsidRDefault="0001294F" w:rsidP="00F4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571" w:rsidRDefault="00C02571" w:rsidP="00932C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2571" w:rsidRDefault="00C02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558144"/>
      <w:docPartObj>
        <w:docPartGallery w:val="Page Numbers (Bottom of Page)"/>
        <w:docPartUnique/>
      </w:docPartObj>
    </w:sdtPr>
    <w:sdtEndPr>
      <w:rPr>
        <w:noProof/>
      </w:rPr>
    </w:sdtEndPr>
    <w:sdtContent>
      <w:p w:rsidR="00A53A56" w:rsidRDefault="00A53A56">
        <w:pPr>
          <w:pStyle w:val="Footer"/>
          <w:jc w:val="right"/>
        </w:pPr>
        <w:r>
          <w:fldChar w:fldCharType="begin"/>
        </w:r>
        <w:r>
          <w:instrText xml:space="preserve"> PAGE   \* MERGEFORMAT </w:instrText>
        </w:r>
        <w:r>
          <w:fldChar w:fldCharType="separate"/>
        </w:r>
        <w:r w:rsidR="00227E57">
          <w:rPr>
            <w:noProof/>
          </w:rPr>
          <w:t>3</w:t>
        </w:r>
        <w:r>
          <w:rPr>
            <w:noProof/>
          </w:rPr>
          <w:fldChar w:fldCharType="end"/>
        </w:r>
      </w:p>
    </w:sdtContent>
  </w:sdt>
  <w:p w:rsidR="00C02571" w:rsidRDefault="00C02571" w:rsidP="00932C1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10903"/>
      <w:docPartObj>
        <w:docPartGallery w:val="Page Numbers (Bottom of Page)"/>
        <w:docPartUnique/>
      </w:docPartObj>
    </w:sdtPr>
    <w:sdtEndPr>
      <w:rPr>
        <w:noProof/>
      </w:rPr>
    </w:sdtEndPr>
    <w:sdtContent>
      <w:p w:rsidR="009F009F" w:rsidRDefault="009F009F">
        <w:pPr>
          <w:pStyle w:val="Footer"/>
          <w:jc w:val="right"/>
        </w:pPr>
        <w:r>
          <w:fldChar w:fldCharType="begin"/>
        </w:r>
        <w:r>
          <w:instrText xml:space="preserve"> PAGE   \* MERGEFORMAT </w:instrText>
        </w:r>
        <w:r>
          <w:fldChar w:fldCharType="separate"/>
        </w:r>
        <w:r w:rsidR="000320D3">
          <w:rPr>
            <w:noProof/>
          </w:rPr>
          <w:t>1</w:t>
        </w:r>
        <w:r>
          <w:rPr>
            <w:noProof/>
          </w:rPr>
          <w:fldChar w:fldCharType="end"/>
        </w:r>
      </w:p>
    </w:sdtContent>
  </w:sdt>
  <w:p w:rsidR="00E51F5E" w:rsidRDefault="00E51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94F" w:rsidRDefault="0001294F" w:rsidP="00F453D7">
      <w:r>
        <w:separator/>
      </w:r>
    </w:p>
  </w:footnote>
  <w:footnote w:type="continuationSeparator" w:id="0">
    <w:p w:rsidR="0001294F" w:rsidRDefault="0001294F" w:rsidP="00F45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571" w:rsidRDefault="00C02571" w:rsidP="00542BB9">
    <w:pPr>
      <w:pStyle w:val="Header"/>
      <w:tabs>
        <w:tab w:val="right" w:pos="4320"/>
      </w:tabs>
    </w:pPr>
    <w:r>
      <w:tab/>
    </w:r>
    <w:r>
      <w:tab/>
    </w:r>
  </w:p>
  <w:p w:rsidR="00C02571" w:rsidRDefault="00C02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Look w:val="00A0" w:firstRow="1" w:lastRow="0" w:firstColumn="1" w:lastColumn="0" w:noHBand="0" w:noVBand="0"/>
    </w:tblPr>
    <w:tblGrid>
      <w:gridCol w:w="1620"/>
      <w:gridCol w:w="9360"/>
    </w:tblGrid>
    <w:tr w:rsidR="00C02571" w:rsidTr="00C60BE0">
      <w:trPr>
        <w:trHeight w:val="710"/>
      </w:trPr>
      <w:tc>
        <w:tcPr>
          <w:tcW w:w="1620" w:type="dxa"/>
        </w:tcPr>
        <w:p w:rsidR="00C02571" w:rsidRPr="00C60BE0" w:rsidRDefault="00711BDC" w:rsidP="00932C16">
          <w:pPr>
            <w:pStyle w:val="Header"/>
            <w:rPr>
              <w:sz w:val="20"/>
            </w:rPr>
          </w:pPr>
          <w:r>
            <w:rPr>
              <w:noProof/>
              <w:sz w:val="20"/>
            </w:rPr>
            <w:drawing>
              <wp:inline distT="0" distB="0" distL="0" distR="0" wp14:anchorId="4ABE8643" wp14:editId="0A3183A5">
                <wp:extent cx="800100" cy="638175"/>
                <wp:effectExtent l="0" t="0" r="0" b="0"/>
                <wp:docPr id="1" name="Picture 1" descr="HHS_BLUE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_BLUE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a:ln>
                          <a:noFill/>
                        </a:ln>
                      </pic:spPr>
                    </pic:pic>
                  </a:graphicData>
                </a:graphic>
              </wp:inline>
            </w:drawing>
          </w:r>
        </w:p>
      </w:tc>
      <w:tc>
        <w:tcPr>
          <w:tcW w:w="9360" w:type="dxa"/>
        </w:tcPr>
        <w:p w:rsidR="00C02571" w:rsidRPr="00C60BE0" w:rsidRDefault="00C02571" w:rsidP="00932C16">
          <w:pPr>
            <w:pStyle w:val="Header"/>
            <w:rPr>
              <w:color w:val="333399"/>
              <w:sz w:val="20"/>
            </w:rPr>
          </w:pPr>
        </w:p>
        <w:p w:rsidR="00C02571" w:rsidRPr="00C60BE0" w:rsidRDefault="00C02571" w:rsidP="00C60BE0">
          <w:pPr>
            <w:pStyle w:val="Header"/>
            <w:pBdr>
              <w:bottom w:val="single" w:sz="12" w:space="1" w:color="auto"/>
            </w:pBdr>
            <w:rPr>
              <w:color w:val="000080"/>
              <w:sz w:val="20"/>
            </w:rPr>
          </w:pPr>
          <w:r w:rsidRPr="00C60BE0">
            <w:rPr>
              <w:b/>
              <w:color w:val="000080"/>
              <w:sz w:val="20"/>
            </w:rPr>
            <w:t>DEPARTMENT OF HEALTH &amp; HUMAN SERVICES</w:t>
          </w:r>
          <w:r w:rsidRPr="00C60BE0">
            <w:rPr>
              <w:color w:val="000080"/>
              <w:sz w:val="20"/>
            </w:rPr>
            <w:t xml:space="preserve">                      </w:t>
          </w:r>
          <w:r>
            <w:rPr>
              <w:color w:val="000080"/>
              <w:sz w:val="20"/>
            </w:rPr>
            <w:t xml:space="preserve">  </w:t>
          </w:r>
          <w:r>
            <w:rPr>
              <w:color w:val="000080"/>
              <w:sz w:val="20"/>
              <w:szCs w:val="20"/>
            </w:rPr>
            <w:t>Administration for Community Living</w:t>
          </w:r>
        </w:p>
        <w:p w:rsidR="00C02571" w:rsidRPr="00C60BE0" w:rsidRDefault="00C02571" w:rsidP="00FA7F8C">
          <w:pPr>
            <w:pStyle w:val="Header"/>
            <w:rPr>
              <w:sz w:val="20"/>
              <w:szCs w:val="20"/>
            </w:rPr>
          </w:pPr>
          <w:r w:rsidRPr="00C60BE0">
            <w:rPr>
              <w:color w:val="000080"/>
              <w:sz w:val="22"/>
              <w:szCs w:val="22"/>
            </w:rPr>
            <w:t xml:space="preserve">                                                                                                                               </w:t>
          </w:r>
          <w:r>
            <w:rPr>
              <w:color w:val="000080"/>
              <w:sz w:val="22"/>
              <w:szCs w:val="22"/>
            </w:rPr>
            <w:t xml:space="preserve"> </w:t>
          </w:r>
        </w:p>
      </w:tc>
    </w:tr>
  </w:tbl>
  <w:p w:rsidR="00C02571" w:rsidRDefault="00C02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1C8"/>
    <w:multiLevelType w:val="hybridMultilevel"/>
    <w:tmpl w:val="187C98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13526"/>
    <w:multiLevelType w:val="hybridMultilevel"/>
    <w:tmpl w:val="68B450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EE373B"/>
    <w:multiLevelType w:val="hybridMultilevel"/>
    <w:tmpl w:val="15FE17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852D2"/>
    <w:multiLevelType w:val="hybridMultilevel"/>
    <w:tmpl w:val="29B8BC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F0DF8"/>
    <w:multiLevelType w:val="hybridMultilevel"/>
    <w:tmpl w:val="2868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3665C"/>
    <w:multiLevelType w:val="hybridMultilevel"/>
    <w:tmpl w:val="2D1A9262"/>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361A3195"/>
    <w:multiLevelType w:val="hybridMultilevel"/>
    <w:tmpl w:val="A07C50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27E2F"/>
    <w:multiLevelType w:val="hybridMultilevel"/>
    <w:tmpl w:val="5D06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A175A"/>
    <w:multiLevelType w:val="hybridMultilevel"/>
    <w:tmpl w:val="09AE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15218C"/>
    <w:multiLevelType w:val="hybridMultilevel"/>
    <w:tmpl w:val="F3547F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A64B20"/>
    <w:multiLevelType w:val="hybridMultilevel"/>
    <w:tmpl w:val="BF76C8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1A09E4"/>
    <w:multiLevelType w:val="hybridMultilevel"/>
    <w:tmpl w:val="6854D0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543D2C"/>
    <w:multiLevelType w:val="hybridMultilevel"/>
    <w:tmpl w:val="E51E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F45457"/>
    <w:multiLevelType w:val="hybridMultilevel"/>
    <w:tmpl w:val="CD9C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24249F"/>
    <w:multiLevelType w:val="hybridMultilevel"/>
    <w:tmpl w:val="78C0C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9A7789"/>
    <w:multiLevelType w:val="hybridMultilevel"/>
    <w:tmpl w:val="0F429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1"/>
  </w:num>
  <w:num w:numId="5">
    <w:abstractNumId w:val="13"/>
  </w:num>
  <w:num w:numId="6">
    <w:abstractNumId w:val="15"/>
  </w:num>
  <w:num w:numId="7">
    <w:abstractNumId w:val="12"/>
  </w:num>
  <w:num w:numId="8">
    <w:abstractNumId w:val="4"/>
  </w:num>
  <w:num w:numId="9">
    <w:abstractNumId w:val="14"/>
  </w:num>
  <w:num w:numId="10">
    <w:abstractNumId w:val="7"/>
  </w:num>
  <w:num w:numId="11">
    <w:abstractNumId w:val="8"/>
  </w:num>
  <w:num w:numId="12">
    <w:abstractNumId w:val="6"/>
  </w:num>
  <w:num w:numId="13">
    <w:abstractNumId w:val="0"/>
  </w:num>
  <w:num w:numId="14">
    <w:abstractNumId w:val="11"/>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D7"/>
    <w:rsid w:val="00006E39"/>
    <w:rsid w:val="0001294F"/>
    <w:rsid w:val="00017D0D"/>
    <w:rsid w:val="00021DB6"/>
    <w:rsid w:val="0002300C"/>
    <w:rsid w:val="00026C6D"/>
    <w:rsid w:val="000320D3"/>
    <w:rsid w:val="00037BA0"/>
    <w:rsid w:val="00042AA4"/>
    <w:rsid w:val="00044D7B"/>
    <w:rsid w:val="00053A8B"/>
    <w:rsid w:val="00063FD9"/>
    <w:rsid w:val="00064EBD"/>
    <w:rsid w:val="00082CF9"/>
    <w:rsid w:val="000850BD"/>
    <w:rsid w:val="000A3A20"/>
    <w:rsid w:val="000C0B11"/>
    <w:rsid w:val="000C173C"/>
    <w:rsid w:val="000C6BF4"/>
    <w:rsid w:val="000C7E91"/>
    <w:rsid w:val="000D5479"/>
    <w:rsid w:val="000D63F9"/>
    <w:rsid w:val="000E6B03"/>
    <w:rsid w:val="000F22D5"/>
    <w:rsid w:val="000F6481"/>
    <w:rsid w:val="000F6DF0"/>
    <w:rsid w:val="000F79E9"/>
    <w:rsid w:val="001126D3"/>
    <w:rsid w:val="00115B03"/>
    <w:rsid w:val="00117B33"/>
    <w:rsid w:val="00127FAF"/>
    <w:rsid w:val="00137B62"/>
    <w:rsid w:val="0014006F"/>
    <w:rsid w:val="00140954"/>
    <w:rsid w:val="00141569"/>
    <w:rsid w:val="00144406"/>
    <w:rsid w:val="00145658"/>
    <w:rsid w:val="00162640"/>
    <w:rsid w:val="00187955"/>
    <w:rsid w:val="001A6304"/>
    <w:rsid w:val="001B3F7A"/>
    <w:rsid w:val="001E4218"/>
    <w:rsid w:val="001E4D46"/>
    <w:rsid w:val="001F5A03"/>
    <w:rsid w:val="00207F0D"/>
    <w:rsid w:val="00211D78"/>
    <w:rsid w:val="00227E57"/>
    <w:rsid w:val="00232BE8"/>
    <w:rsid w:val="00235C91"/>
    <w:rsid w:val="00254D66"/>
    <w:rsid w:val="002955D5"/>
    <w:rsid w:val="002B659A"/>
    <w:rsid w:val="002C3C86"/>
    <w:rsid w:val="002C50B7"/>
    <w:rsid w:val="002C6E39"/>
    <w:rsid w:val="002D12D8"/>
    <w:rsid w:val="002D2F8D"/>
    <w:rsid w:val="002D689B"/>
    <w:rsid w:val="002D7A13"/>
    <w:rsid w:val="002F22E0"/>
    <w:rsid w:val="002F449E"/>
    <w:rsid w:val="0031010A"/>
    <w:rsid w:val="00316466"/>
    <w:rsid w:val="00331876"/>
    <w:rsid w:val="00344180"/>
    <w:rsid w:val="003601D4"/>
    <w:rsid w:val="00365CFC"/>
    <w:rsid w:val="00391214"/>
    <w:rsid w:val="003A1731"/>
    <w:rsid w:val="003A443F"/>
    <w:rsid w:val="003A7CEB"/>
    <w:rsid w:val="003B22ED"/>
    <w:rsid w:val="003C3F55"/>
    <w:rsid w:val="003C5543"/>
    <w:rsid w:val="003E1F88"/>
    <w:rsid w:val="003E6EFE"/>
    <w:rsid w:val="003E7D98"/>
    <w:rsid w:val="003F1EB6"/>
    <w:rsid w:val="003F751D"/>
    <w:rsid w:val="004163B7"/>
    <w:rsid w:val="00421493"/>
    <w:rsid w:val="00427AC5"/>
    <w:rsid w:val="0043592C"/>
    <w:rsid w:val="00435FAB"/>
    <w:rsid w:val="00436679"/>
    <w:rsid w:val="0044593A"/>
    <w:rsid w:val="00446E4D"/>
    <w:rsid w:val="00457CC9"/>
    <w:rsid w:val="0048146D"/>
    <w:rsid w:val="00481C04"/>
    <w:rsid w:val="004945BC"/>
    <w:rsid w:val="004A3904"/>
    <w:rsid w:val="004C1A96"/>
    <w:rsid w:val="004C2390"/>
    <w:rsid w:val="004D7A98"/>
    <w:rsid w:val="004F7FCD"/>
    <w:rsid w:val="0050292A"/>
    <w:rsid w:val="00504183"/>
    <w:rsid w:val="005127CD"/>
    <w:rsid w:val="00513660"/>
    <w:rsid w:val="00515192"/>
    <w:rsid w:val="005216C6"/>
    <w:rsid w:val="005307D0"/>
    <w:rsid w:val="005328FF"/>
    <w:rsid w:val="00534738"/>
    <w:rsid w:val="005373AA"/>
    <w:rsid w:val="00542BB9"/>
    <w:rsid w:val="00550484"/>
    <w:rsid w:val="00554155"/>
    <w:rsid w:val="005553E1"/>
    <w:rsid w:val="00563495"/>
    <w:rsid w:val="00573DC7"/>
    <w:rsid w:val="00584ECE"/>
    <w:rsid w:val="005875DA"/>
    <w:rsid w:val="00592C15"/>
    <w:rsid w:val="005A095B"/>
    <w:rsid w:val="005A2D04"/>
    <w:rsid w:val="005B2FF0"/>
    <w:rsid w:val="005C2019"/>
    <w:rsid w:val="005C37F3"/>
    <w:rsid w:val="005C4576"/>
    <w:rsid w:val="005D5503"/>
    <w:rsid w:val="00612395"/>
    <w:rsid w:val="0061290A"/>
    <w:rsid w:val="00614224"/>
    <w:rsid w:val="00626B8D"/>
    <w:rsid w:val="00626C86"/>
    <w:rsid w:val="0063193D"/>
    <w:rsid w:val="00637277"/>
    <w:rsid w:val="00637718"/>
    <w:rsid w:val="006511DD"/>
    <w:rsid w:val="00666580"/>
    <w:rsid w:val="00666C4D"/>
    <w:rsid w:val="00671CA9"/>
    <w:rsid w:val="00675DBE"/>
    <w:rsid w:val="0067698D"/>
    <w:rsid w:val="0068517B"/>
    <w:rsid w:val="0069079D"/>
    <w:rsid w:val="006938CF"/>
    <w:rsid w:val="006A5B6F"/>
    <w:rsid w:val="006B3DB1"/>
    <w:rsid w:val="006B73AC"/>
    <w:rsid w:val="006C1153"/>
    <w:rsid w:val="006C3281"/>
    <w:rsid w:val="006C75CB"/>
    <w:rsid w:val="006E251F"/>
    <w:rsid w:val="006E7CDD"/>
    <w:rsid w:val="007114A0"/>
    <w:rsid w:val="00711BDC"/>
    <w:rsid w:val="007202AC"/>
    <w:rsid w:val="00720768"/>
    <w:rsid w:val="00734332"/>
    <w:rsid w:val="00752DC3"/>
    <w:rsid w:val="0076089D"/>
    <w:rsid w:val="007648C7"/>
    <w:rsid w:val="007712A3"/>
    <w:rsid w:val="00776A5B"/>
    <w:rsid w:val="007844C7"/>
    <w:rsid w:val="00790A7A"/>
    <w:rsid w:val="007918C5"/>
    <w:rsid w:val="00795BFF"/>
    <w:rsid w:val="00797BD7"/>
    <w:rsid w:val="007A333C"/>
    <w:rsid w:val="007C32FE"/>
    <w:rsid w:val="007C759E"/>
    <w:rsid w:val="007D107E"/>
    <w:rsid w:val="007D1C31"/>
    <w:rsid w:val="007D3D82"/>
    <w:rsid w:val="007D6FE4"/>
    <w:rsid w:val="007E18AE"/>
    <w:rsid w:val="007E6725"/>
    <w:rsid w:val="007F32A7"/>
    <w:rsid w:val="007F5685"/>
    <w:rsid w:val="00817429"/>
    <w:rsid w:val="0081786E"/>
    <w:rsid w:val="00822B63"/>
    <w:rsid w:val="008272F3"/>
    <w:rsid w:val="008328D4"/>
    <w:rsid w:val="00832DF9"/>
    <w:rsid w:val="0085250A"/>
    <w:rsid w:val="008541DE"/>
    <w:rsid w:val="00871811"/>
    <w:rsid w:val="008752A2"/>
    <w:rsid w:val="008776CE"/>
    <w:rsid w:val="00887996"/>
    <w:rsid w:val="008961E6"/>
    <w:rsid w:val="008A4CF9"/>
    <w:rsid w:val="008B1904"/>
    <w:rsid w:val="008B5F62"/>
    <w:rsid w:val="008C0894"/>
    <w:rsid w:val="008D0B27"/>
    <w:rsid w:val="008D0C07"/>
    <w:rsid w:val="008D2DAB"/>
    <w:rsid w:val="008D31A3"/>
    <w:rsid w:val="008D3667"/>
    <w:rsid w:val="008E7E3F"/>
    <w:rsid w:val="008F1ED9"/>
    <w:rsid w:val="008F2732"/>
    <w:rsid w:val="008F4947"/>
    <w:rsid w:val="008F7045"/>
    <w:rsid w:val="0090045E"/>
    <w:rsid w:val="00900D15"/>
    <w:rsid w:val="009068EC"/>
    <w:rsid w:val="0091590E"/>
    <w:rsid w:val="00923CBA"/>
    <w:rsid w:val="00926D62"/>
    <w:rsid w:val="0093149F"/>
    <w:rsid w:val="00932C16"/>
    <w:rsid w:val="00934344"/>
    <w:rsid w:val="00935CCD"/>
    <w:rsid w:val="00957365"/>
    <w:rsid w:val="009747F8"/>
    <w:rsid w:val="009748D0"/>
    <w:rsid w:val="00984266"/>
    <w:rsid w:val="00984CFE"/>
    <w:rsid w:val="009857B6"/>
    <w:rsid w:val="00987B90"/>
    <w:rsid w:val="00993D0F"/>
    <w:rsid w:val="009A4A27"/>
    <w:rsid w:val="009A5EE2"/>
    <w:rsid w:val="009A61FA"/>
    <w:rsid w:val="009B5516"/>
    <w:rsid w:val="009C27D3"/>
    <w:rsid w:val="009C5BC2"/>
    <w:rsid w:val="009D4637"/>
    <w:rsid w:val="009E228F"/>
    <w:rsid w:val="009F009F"/>
    <w:rsid w:val="00A060D6"/>
    <w:rsid w:val="00A11563"/>
    <w:rsid w:val="00A11B44"/>
    <w:rsid w:val="00A15474"/>
    <w:rsid w:val="00A1591E"/>
    <w:rsid w:val="00A16177"/>
    <w:rsid w:val="00A27908"/>
    <w:rsid w:val="00A30AA3"/>
    <w:rsid w:val="00A314A1"/>
    <w:rsid w:val="00A43BDE"/>
    <w:rsid w:val="00A53A56"/>
    <w:rsid w:val="00A63985"/>
    <w:rsid w:val="00A67C7D"/>
    <w:rsid w:val="00A67DA3"/>
    <w:rsid w:val="00A70599"/>
    <w:rsid w:val="00A71349"/>
    <w:rsid w:val="00A72559"/>
    <w:rsid w:val="00A75594"/>
    <w:rsid w:val="00A80491"/>
    <w:rsid w:val="00A81B9E"/>
    <w:rsid w:val="00A91FCF"/>
    <w:rsid w:val="00A95ACC"/>
    <w:rsid w:val="00AA0322"/>
    <w:rsid w:val="00AB438A"/>
    <w:rsid w:val="00AC1BBB"/>
    <w:rsid w:val="00AD5854"/>
    <w:rsid w:val="00AF63F7"/>
    <w:rsid w:val="00B03C8A"/>
    <w:rsid w:val="00B0515F"/>
    <w:rsid w:val="00B07626"/>
    <w:rsid w:val="00B15411"/>
    <w:rsid w:val="00B1750F"/>
    <w:rsid w:val="00B22383"/>
    <w:rsid w:val="00B23FBB"/>
    <w:rsid w:val="00B256F9"/>
    <w:rsid w:val="00B26FB9"/>
    <w:rsid w:val="00B27EB3"/>
    <w:rsid w:val="00B330FE"/>
    <w:rsid w:val="00B45412"/>
    <w:rsid w:val="00B907D4"/>
    <w:rsid w:val="00BA06B2"/>
    <w:rsid w:val="00BA5934"/>
    <w:rsid w:val="00BA734E"/>
    <w:rsid w:val="00BD40BF"/>
    <w:rsid w:val="00BF0A9A"/>
    <w:rsid w:val="00BF472E"/>
    <w:rsid w:val="00C02571"/>
    <w:rsid w:val="00C0487E"/>
    <w:rsid w:val="00C06782"/>
    <w:rsid w:val="00C13F5E"/>
    <w:rsid w:val="00C156A5"/>
    <w:rsid w:val="00C156B7"/>
    <w:rsid w:val="00C20A1A"/>
    <w:rsid w:val="00C35161"/>
    <w:rsid w:val="00C42044"/>
    <w:rsid w:val="00C47B40"/>
    <w:rsid w:val="00C60BE0"/>
    <w:rsid w:val="00C75542"/>
    <w:rsid w:val="00C756B6"/>
    <w:rsid w:val="00C7727B"/>
    <w:rsid w:val="00C825DC"/>
    <w:rsid w:val="00C92B2A"/>
    <w:rsid w:val="00CA0A99"/>
    <w:rsid w:val="00CC08FD"/>
    <w:rsid w:val="00CC20F7"/>
    <w:rsid w:val="00CC660A"/>
    <w:rsid w:val="00CC7171"/>
    <w:rsid w:val="00CE065B"/>
    <w:rsid w:val="00CF0A7C"/>
    <w:rsid w:val="00CF1ECF"/>
    <w:rsid w:val="00CF210E"/>
    <w:rsid w:val="00D12790"/>
    <w:rsid w:val="00D205F8"/>
    <w:rsid w:val="00D213CC"/>
    <w:rsid w:val="00D22E19"/>
    <w:rsid w:val="00D27350"/>
    <w:rsid w:val="00D41F34"/>
    <w:rsid w:val="00D45F19"/>
    <w:rsid w:val="00D464DF"/>
    <w:rsid w:val="00D47CDF"/>
    <w:rsid w:val="00D503C2"/>
    <w:rsid w:val="00D517A5"/>
    <w:rsid w:val="00D640AA"/>
    <w:rsid w:val="00D74569"/>
    <w:rsid w:val="00D80063"/>
    <w:rsid w:val="00D80F24"/>
    <w:rsid w:val="00D905FA"/>
    <w:rsid w:val="00DA19AB"/>
    <w:rsid w:val="00DB25DD"/>
    <w:rsid w:val="00DB5391"/>
    <w:rsid w:val="00DC2974"/>
    <w:rsid w:val="00DE3D67"/>
    <w:rsid w:val="00DE3FFA"/>
    <w:rsid w:val="00DE4F03"/>
    <w:rsid w:val="00E11263"/>
    <w:rsid w:val="00E14D4E"/>
    <w:rsid w:val="00E214F3"/>
    <w:rsid w:val="00E26F2E"/>
    <w:rsid w:val="00E34832"/>
    <w:rsid w:val="00E455E8"/>
    <w:rsid w:val="00E46706"/>
    <w:rsid w:val="00E47733"/>
    <w:rsid w:val="00E51F5E"/>
    <w:rsid w:val="00E5496F"/>
    <w:rsid w:val="00E74880"/>
    <w:rsid w:val="00E75BC2"/>
    <w:rsid w:val="00E80361"/>
    <w:rsid w:val="00E849DD"/>
    <w:rsid w:val="00E90402"/>
    <w:rsid w:val="00E91668"/>
    <w:rsid w:val="00EB0889"/>
    <w:rsid w:val="00EB633F"/>
    <w:rsid w:val="00EB6F14"/>
    <w:rsid w:val="00EB728E"/>
    <w:rsid w:val="00ED30A6"/>
    <w:rsid w:val="00EE4FCC"/>
    <w:rsid w:val="00EF5D23"/>
    <w:rsid w:val="00F030CC"/>
    <w:rsid w:val="00F21A92"/>
    <w:rsid w:val="00F245A9"/>
    <w:rsid w:val="00F31A17"/>
    <w:rsid w:val="00F3520C"/>
    <w:rsid w:val="00F416D8"/>
    <w:rsid w:val="00F453D7"/>
    <w:rsid w:val="00F45E3D"/>
    <w:rsid w:val="00F542D6"/>
    <w:rsid w:val="00F54410"/>
    <w:rsid w:val="00F57492"/>
    <w:rsid w:val="00F6127B"/>
    <w:rsid w:val="00F615E3"/>
    <w:rsid w:val="00F653C9"/>
    <w:rsid w:val="00F77BFB"/>
    <w:rsid w:val="00F9365A"/>
    <w:rsid w:val="00F951FB"/>
    <w:rsid w:val="00FA121C"/>
    <w:rsid w:val="00FA1B0A"/>
    <w:rsid w:val="00FA7F8C"/>
    <w:rsid w:val="00FB4AA2"/>
    <w:rsid w:val="00FD71CF"/>
    <w:rsid w:val="00FF1F81"/>
    <w:rsid w:val="00FF62DA"/>
    <w:rsid w:val="00FF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A417F1"/>
  <w15:docId w15:val="{939742C6-00E1-42DE-B1C5-AE10EBF8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3D7"/>
    <w:rPr>
      <w:rFonts w:eastAsia="Times New Roman"/>
      <w:sz w:val="24"/>
      <w:szCs w:val="24"/>
    </w:rPr>
  </w:style>
  <w:style w:type="paragraph" w:styleId="Heading1">
    <w:name w:val="heading 1"/>
    <w:basedOn w:val="Normal"/>
    <w:link w:val="Heading1Char"/>
    <w:qFormat/>
    <w:rsid w:val="00F453D7"/>
    <w:pPr>
      <w:keepNext/>
      <w:ind w:left="-360"/>
      <w:outlineLvl w:val="0"/>
    </w:pPr>
    <w:rPr>
      <w:b/>
      <w:bCs/>
      <w:kern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453D7"/>
    <w:rPr>
      <w:rFonts w:eastAsia="Times New Roman"/>
      <w:b/>
      <w:bCs/>
      <w:kern w:val="36"/>
      <w:szCs w:val="24"/>
      <w:u w:val="single"/>
    </w:rPr>
  </w:style>
  <w:style w:type="paragraph" w:styleId="Header">
    <w:name w:val="header"/>
    <w:basedOn w:val="Normal"/>
    <w:link w:val="HeaderChar"/>
    <w:uiPriority w:val="99"/>
    <w:rsid w:val="00F453D7"/>
    <w:pPr>
      <w:tabs>
        <w:tab w:val="center" w:pos="4320"/>
        <w:tab w:val="right" w:pos="8640"/>
      </w:tabs>
    </w:pPr>
  </w:style>
  <w:style w:type="character" w:customStyle="1" w:styleId="HeaderChar">
    <w:name w:val="Header Char"/>
    <w:link w:val="Header"/>
    <w:uiPriority w:val="99"/>
    <w:rsid w:val="00F453D7"/>
    <w:rPr>
      <w:rFonts w:eastAsia="Times New Roman"/>
      <w:szCs w:val="24"/>
    </w:rPr>
  </w:style>
  <w:style w:type="paragraph" w:styleId="Footer">
    <w:name w:val="footer"/>
    <w:basedOn w:val="Normal"/>
    <w:link w:val="FooterChar"/>
    <w:uiPriority w:val="99"/>
    <w:rsid w:val="00F453D7"/>
    <w:pPr>
      <w:tabs>
        <w:tab w:val="center" w:pos="4320"/>
        <w:tab w:val="right" w:pos="8640"/>
      </w:tabs>
    </w:pPr>
  </w:style>
  <w:style w:type="character" w:customStyle="1" w:styleId="FooterChar">
    <w:name w:val="Footer Char"/>
    <w:link w:val="Footer"/>
    <w:uiPriority w:val="99"/>
    <w:rsid w:val="00F453D7"/>
    <w:rPr>
      <w:rFonts w:eastAsia="Times New Roman"/>
      <w:szCs w:val="24"/>
    </w:rPr>
  </w:style>
  <w:style w:type="table" w:styleId="TableGrid">
    <w:name w:val="Table Grid"/>
    <w:basedOn w:val="TableNormal"/>
    <w:rsid w:val="00F453D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53D7"/>
  </w:style>
  <w:style w:type="paragraph" w:styleId="ListParagraph">
    <w:name w:val="List Paragraph"/>
    <w:basedOn w:val="Normal"/>
    <w:uiPriority w:val="34"/>
    <w:qFormat/>
    <w:rsid w:val="00F453D7"/>
    <w:pPr>
      <w:ind w:left="720"/>
      <w:contextualSpacing/>
    </w:pPr>
  </w:style>
  <w:style w:type="paragraph" w:styleId="BalloonText">
    <w:name w:val="Balloon Text"/>
    <w:basedOn w:val="Normal"/>
    <w:link w:val="BalloonTextChar"/>
    <w:uiPriority w:val="99"/>
    <w:semiHidden/>
    <w:unhideWhenUsed/>
    <w:rsid w:val="00711BDC"/>
    <w:rPr>
      <w:rFonts w:ascii="Tahoma" w:hAnsi="Tahoma" w:cs="Tahoma"/>
      <w:sz w:val="16"/>
      <w:szCs w:val="16"/>
    </w:rPr>
  </w:style>
  <w:style w:type="character" w:customStyle="1" w:styleId="BalloonTextChar">
    <w:name w:val="Balloon Text Char"/>
    <w:basedOn w:val="DefaultParagraphFont"/>
    <w:link w:val="BalloonText"/>
    <w:uiPriority w:val="99"/>
    <w:semiHidden/>
    <w:rsid w:val="00711BDC"/>
    <w:rPr>
      <w:rFonts w:ascii="Tahoma" w:eastAsia="Times New Roman" w:hAnsi="Tahoma" w:cs="Tahoma"/>
      <w:sz w:val="16"/>
      <w:szCs w:val="16"/>
    </w:rPr>
  </w:style>
  <w:style w:type="character" w:styleId="Hyperlink">
    <w:name w:val="Hyperlink"/>
    <w:uiPriority w:val="99"/>
    <w:unhideWhenUsed/>
    <w:rsid w:val="00C47B40"/>
    <w:rPr>
      <w:color w:val="0000FF"/>
      <w:u w:val="single"/>
    </w:rPr>
  </w:style>
  <w:style w:type="paragraph" w:styleId="NoSpacing">
    <w:name w:val="No Spacing"/>
    <w:uiPriority w:val="1"/>
    <w:qFormat/>
    <w:rsid w:val="00504183"/>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91668"/>
    <w:rPr>
      <w:sz w:val="16"/>
      <w:szCs w:val="16"/>
    </w:rPr>
  </w:style>
  <w:style w:type="paragraph" w:styleId="CommentText">
    <w:name w:val="annotation text"/>
    <w:basedOn w:val="Normal"/>
    <w:link w:val="CommentTextChar"/>
    <w:uiPriority w:val="99"/>
    <w:semiHidden/>
    <w:unhideWhenUsed/>
    <w:rsid w:val="00E91668"/>
    <w:rPr>
      <w:sz w:val="20"/>
      <w:szCs w:val="20"/>
    </w:rPr>
  </w:style>
  <w:style w:type="character" w:customStyle="1" w:styleId="CommentTextChar">
    <w:name w:val="Comment Text Char"/>
    <w:basedOn w:val="DefaultParagraphFont"/>
    <w:link w:val="CommentText"/>
    <w:uiPriority w:val="99"/>
    <w:semiHidden/>
    <w:rsid w:val="00E91668"/>
    <w:rPr>
      <w:rFonts w:eastAsia="Times New Roman"/>
    </w:rPr>
  </w:style>
  <w:style w:type="paragraph" w:styleId="CommentSubject">
    <w:name w:val="annotation subject"/>
    <w:basedOn w:val="CommentText"/>
    <w:next w:val="CommentText"/>
    <w:link w:val="CommentSubjectChar"/>
    <w:uiPriority w:val="99"/>
    <w:semiHidden/>
    <w:unhideWhenUsed/>
    <w:rsid w:val="00E91668"/>
    <w:rPr>
      <w:b/>
      <w:bCs/>
    </w:rPr>
  </w:style>
  <w:style w:type="character" w:customStyle="1" w:styleId="CommentSubjectChar">
    <w:name w:val="Comment Subject Char"/>
    <w:basedOn w:val="CommentTextChar"/>
    <w:link w:val="CommentSubject"/>
    <w:uiPriority w:val="99"/>
    <w:semiHidden/>
    <w:rsid w:val="00E91668"/>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2462">
      <w:bodyDiv w:val="1"/>
      <w:marLeft w:val="0"/>
      <w:marRight w:val="0"/>
      <w:marTop w:val="0"/>
      <w:marBottom w:val="0"/>
      <w:divBdr>
        <w:top w:val="none" w:sz="0" w:space="0" w:color="auto"/>
        <w:left w:val="none" w:sz="0" w:space="0" w:color="auto"/>
        <w:bottom w:val="none" w:sz="0" w:space="0" w:color="auto"/>
        <w:right w:val="none" w:sz="0" w:space="0" w:color="auto"/>
      </w:divBdr>
    </w:div>
    <w:div w:id="282880370">
      <w:bodyDiv w:val="1"/>
      <w:marLeft w:val="0"/>
      <w:marRight w:val="0"/>
      <w:marTop w:val="0"/>
      <w:marBottom w:val="0"/>
      <w:divBdr>
        <w:top w:val="none" w:sz="0" w:space="0" w:color="auto"/>
        <w:left w:val="none" w:sz="0" w:space="0" w:color="auto"/>
        <w:bottom w:val="none" w:sz="0" w:space="0" w:color="auto"/>
        <w:right w:val="none" w:sz="0" w:space="0" w:color="auto"/>
      </w:divBdr>
    </w:div>
    <w:div w:id="347489613">
      <w:bodyDiv w:val="1"/>
      <w:marLeft w:val="0"/>
      <w:marRight w:val="0"/>
      <w:marTop w:val="0"/>
      <w:marBottom w:val="0"/>
      <w:divBdr>
        <w:top w:val="none" w:sz="0" w:space="0" w:color="auto"/>
        <w:left w:val="none" w:sz="0" w:space="0" w:color="auto"/>
        <w:bottom w:val="none" w:sz="0" w:space="0" w:color="auto"/>
        <w:right w:val="none" w:sz="0" w:space="0" w:color="auto"/>
      </w:divBdr>
    </w:div>
    <w:div w:id="352731781">
      <w:bodyDiv w:val="1"/>
      <w:marLeft w:val="0"/>
      <w:marRight w:val="0"/>
      <w:marTop w:val="0"/>
      <w:marBottom w:val="0"/>
      <w:divBdr>
        <w:top w:val="none" w:sz="0" w:space="0" w:color="auto"/>
        <w:left w:val="none" w:sz="0" w:space="0" w:color="auto"/>
        <w:bottom w:val="none" w:sz="0" w:space="0" w:color="auto"/>
        <w:right w:val="none" w:sz="0" w:space="0" w:color="auto"/>
      </w:divBdr>
    </w:div>
    <w:div w:id="433135001">
      <w:bodyDiv w:val="1"/>
      <w:marLeft w:val="0"/>
      <w:marRight w:val="0"/>
      <w:marTop w:val="0"/>
      <w:marBottom w:val="0"/>
      <w:divBdr>
        <w:top w:val="none" w:sz="0" w:space="0" w:color="auto"/>
        <w:left w:val="none" w:sz="0" w:space="0" w:color="auto"/>
        <w:bottom w:val="none" w:sz="0" w:space="0" w:color="auto"/>
        <w:right w:val="none" w:sz="0" w:space="0" w:color="auto"/>
      </w:divBdr>
    </w:div>
    <w:div w:id="458837715">
      <w:bodyDiv w:val="1"/>
      <w:marLeft w:val="0"/>
      <w:marRight w:val="0"/>
      <w:marTop w:val="0"/>
      <w:marBottom w:val="0"/>
      <w:divBdr>
        <w:top w:val="none" w:sz="0" w:space="0" w:color="auto"/>
        <w:left w:val="none" w:sz="0" w:space="0" w:color="auto"/>
        <w:bottom w:val="none" w:sz="0" w:space="0" w:color="auto"/>
        <w:right w:val="none" w:sz="0" w:space="0" w:color="auto"/>
      </w:divBdr>
    </w:div>
    <w:div w:id="487868389">
      <w:bodyDiv w:val="1"/>
      <w:marLeft w:val="0"/>
      <w:marRight w:val="0"/>
      <w:marTop w:val="0"/>
      <w:marBottom w:val="0"/>
      <w:divBdr>
        <w:top w:val="none" w:sz="0" w:space="0" w:color="auto"/>
        <w:left w:val="none" w:sz="0" w:space="0" w:color="auto"/>
        <w:bottom w:val="none" w:sz="0" w:space="0" w:color="auto"/>
        <w:right w:val="none" w:sz="0" w:space="0" w:color="auto"/>
      </w:divBdr>
    </w:div>
    <w:div w:id="497772793">
      <w:bodyDiv w:val="1"/>
      <w:marLeft w:val="0"/>
      <w:marRight w:val="0"/>
      <w:marTop w:val="0"/>
      <w:marBottom w:val="0"/>
      <w:divBdr>
        <w:top w:val="none" w:sz="0" w:space="0" w:color="auto"/>
        <w:left w:val="none" w:sz="0" w:space="0" w:color="auto"/>
        <w:bottom w:val="none" w:sz="0" w:space="0" w:color="auto"/>
        <w:right w:val="none" w:sz="0" w:space="0" w:color="auto"/>
      </w:divBdr>
    </w:div>
    <w:div w:id="504900708">
      <w:bodyDiv w:val="1"/>
      <w:marLeft w:val="0"/>
      <w:marRight w:val="0"/>
      <w:marTop w:val="0"/>
      <w:marBottom w:val="0"/>
      <w:divBdr>
        <w:top w:val="none" w:sz="0" w:space="0" w:color="auto"/>
        <w:left w:val="none" w:sz="0" w:space="0" w:color="auto"/>
        <w:bottom w:val="none" w:sz="0" w:space="0" w:color="auto"/>
        <w:right w:val="none" w:sz="0" w:space="0" w:color="auto"/>
      </w:divBdr>
    </w:div>
    <w:div w:id="731005941">
      <w:bodyDiv w:val="1"/>
      <w:marLeft w:val="0"/>
      <w:marRight w:val="0"/>
      <w:marTop w:val="0"/>
      <w:marBottom w:val="0"/>
      <w:divBdr>
        <w:top w:val="none" w:sz="0" w:space="0" w:color="auto"/>
        <w:left w:val="none" w:sz="0" w:space="0" w:color="auto"/>
        <w:bottom w:val="none" w:sz="0" w:space="0" w:color="auto"/>
        <w:right w:val="none" w:sz="0" w:space="0" w:color="auto"/>
      </w:divBdr>
    </w:div>
    <w:div w:id="875698223">
      <w:bodyDiv w:val="1"/>
      <w:marLeft w:val="0"/>
      <w:marRight w:val="0"/>
      <w:marTop w:val="0"/>
      <w:marBottom w:val="0"/>
      <w:divBdr>
        <w:top w:val="none" w:sz="0" w:space="0" w:color="auto"/>
        <w:left w:val="none" w:sz="0" w:space="0" w:color="auto"/>
        <w:bottom w:val="none" w:sz="0" w:space="0" w:color="auto"/>
        <w:right w:val="none" w:sz="0" w:space="0" w:color="auto"/>
      </w:divBdr>
    </w:div>
    <w:div w:id="917010237">
      <w:bodyDiv w:val="1"/>
      <w:marLeft w:val="0"/>
      <w:marRight w:val="0"/>
      <w:marTop w:val="0"/>
      <w:marBottom w:val="0"/>
      <w:divBdr>
        <w:top w:val="none" w:sz="0" w:space="0" w:color="auto"/>
        <w:left w:val="none" w:sz="0" w:space="0" w:color="auto"/>
        <w:bottom w:val="none" w:sz="0" w:space="0" w:color="auto"/>
        <w:right w:val="none" w:sz="0" w:space="0" w:color="auto"/>
      </w:divBdr>
    </w:div>
    <w:div w:id="979384658">
      <w:bodyDiv w:val="1"/>
      <w:marLeft w:val="0"/>
      <w:marRight w:val="0"/>
      <w:marTop w:val="0"/>
      <w:marBottom w:val="0"/>
      <w:divBdr>
        <w:top w:val="none" w:sz="0" w:space="0" w:color="auto"/>
        <w:left w:val="none" w:sz="0" w:space="0" w:color="auto"/>
        <w:bottom w:val="none" w:sz="0" w:space="0" w:color="auto"/>
        <w:right w:val="none" w:sz="0" w:space="0" w:color="auto"/>
      </w:divBdr>
    </w:div>
    <w:div w:id="992219414">
      <w:bodyDiv w:val="1"/>
      <w:marLeft w:val="0"/>
      <w:marRight w:val="0"/>
      <w:marTop w:val="0"/>
      <w:marBottom w:val="0"/>
      <w:divBdr>
        <w:top w:val="none" w:sz="0" w:space="0" w:color="auto"/>
        <w:left w:val="none" w:sz="0" w:space="0" w:color="auto"/>
        <w:bottom w:val="none" w:sz="0" w:space="0" w:color="auto"/>
        <w:right w:val="none" w:sz="0" w:space="0" w:color="auto"/>
      </w:divBdr>
    </w:div>
    <w:div w:id="1063678380">
      <w:bodyDiv w:val="1"/>
      <w:marLeft w:val="0"/>
      <w:marRight w:val="0"/>
      <w:marTop w:val="0"/>
      <w:marBottom w:val="0"/>
      <w:divBdr>
        <w:top w:val="none" w:sz="0" w:space="0" w:color="auto"/>
        <w:left w:val="none" w:sz="0" w:space="0" w:color="auto"/>
        <w:bottom w:val="none" w:sz="0" w:space="0" w:color="auto"/>
        <w:right w:val="none" w:sz="0" w:space="0" w:color="auto"/>
      </w:divBdr>
    </w:div>
    <w:div w:id="1167281991">
      <w:bodyDiv w:val="1"/>
      <w:marLeft w:val="0"/>
      <w:marRight w:val="0"/>
      <w:marTop w:val="0"/>
      <w:marBottom w:val="0"/>
      <w:divBdr>
        <w:top w:val="none" w:sz="0" w:space="0" w:color="auto"/>
        <w:left w:val="none" w:sz="0" w:space="0" w:color="auto"/>
        <w:bottom w:val="none" w:sz="0" w:space="0" w:color="auto"/>
        <w:right w:val="none" w:sz="0" w:space="0" w:color="auto"/>
      </w:divBdr>
    </w:div>
    <w:div w:id="1221284117">
      <w:bodyDiv w:val="1"/>
      <w:marLeft w:val="0"/>
      <w:marRight w:val="0"/>
      <w:marTop w:val="0"/>
      <w:marBottom w:val="0"/>
      <w:divBdr>
        <w:top w:val="none" w:sz="0" w:space="0" w:color="auto"/>
        <w:left w:val="none" w:sz="0" w:space="0" w:color="auto"/>
        <w:bottom w:val="none" w:sz="0" w:space="0" w:color="auto"/>
        <w:right w:val="none" w:sz="0" w:space="0" w:color="auto"/>
      </w:divBdr>
    </w:div>
    <w:div w:id="1372153137">
      <w:bodyDiv w:val="1"/>
      <w:marLeft w:val="0"/>
      <w:marRight w:val="0"/>
      <w:marTop w:val="0"/>
      <w:marBottom w:val="0"/>
      <w:divBdr>
        <w:top w:val="none" w:sz="0" w:space="0" w:color="auto"/>
        <w:left w:val="none" w:sz="0" w:space="0" w:color="auto"/>
        <w:bottom w:val="none" w:sz="0" w:space="0" w:color="auto"/>
        <w:right w:val="none" w:sz="0" w:space="0" w:color="auto"/>
      </w:divBdr>
    </w:div>
    <w:div w:id="1408922740">
      <w:bodyDiv w:val="1"/>
      <w:marLeft w:val="0"/>
      <w:marRight w:val="0"/>
      <w:marTop w:val="0"/>
      <w:marBottom w:val="0"/>
      <w:divBdr>
        <w:top w:val="none" w:sz="0" w:space="0" w:color="auto"/>
        <w:left w:val="none" w:sz="0" w:space="0" w:color="auto"/>
        <w:bottom w:val="none" w:sz="0" w:space="0" w:color="auto"/>
        <w:right w:val="none" w:sz="0" w:space="0" w:color="auto"/>
      </w:divBdr>
    </w:div>
    <w:div w:id="1458452023">
      <w:bodyDiv w:val="1"/>
      <w:marLeft w:val="0"/>
      <w:marRight w:val="0"/>
      <w:marTop w:val="0"/>
      <w:marBottom w:val="0"/>
      <w:divBdr>
        <w:top w:val="none" w:sz="0" w:space="0" w:color="auto"/>
        <w:left w:val="none" w:sz="0" w:space="0" w:color="auto"/>
        <w:bottom w:val="none" w:sz="0" w:space="0" w:color="auto"/>
        <w:right w:val="none" w:sz="0" w:space="0" w:color="auto"/>
      </w:divBdr>
    </w:div>
    <w:div w:id="1502701509">
      <w:bodyDiv w:val="1"/>
      <w:marLeft w:val="0"/>
      <w:marRight w:val="0"/>
      <w:marTop w:val="0"/>
      <w:marBottom w:val="0"/>
      <w:divBdr>
        <w:top w:val="none" w:sz="0" w:space="0" w:color="auto"/>
        <w:left w:val="none" w:sz="0" w:space="0" w:color="auto"/>
        <w:bottom w:val="none" w:sz="0" w:space="0" w:color="auto"/>
        <w:right w:val="none" w:sz="0" w:space="0" w:color="auto"/>
      </w:divBdr>
    </w:div>
    <w:div w:id="1517502132">
      <w:bodyDiv w:val="1"/>
      <w:marLeft w:val="0"/>
      <w:marRight w:val="0"/>
      <w:marTop w:val="0"/>
      <w:marBottom w:val="0"/>
      <w:divBdr>
        <w:top w:val="none" w:sz="0" w:space="0" w:color="auto"/>
        <w:left w:val="none" w:sz="0" w:space="0" w:color="auto"/>
        <w:bottom w:val="none" w:sz="0" w:space="0" w:color="auto"/>
        <w:right w:val="none" w:sz="0" w:space="0" w:color="auto"/>
      </w:divBdr>
    </w:div>
    <w:div w:id="1628006094">
      <w:bodyDiv w:val="1"/>
      <w:marLeft w:val="0"/>
      <w:marRight w:val="0"/>
      <w:marTop w:val="0"/>
      <w:marBottom w:val="0"/>
      <w:divBdr>
        <w:top w:val="none" w:sz="0" w:space="0" w:color="auto"/>
        <w:left w:val="none" w:sz="0" w:space="0" w:color="auto"/>
        <w:bottom w:val="none" w:sz="0" w:space="0" w:color="auto"/>
        <w:right w:val="none" w:sz="0" w:space="0" w:color="auto"/>
      </w:divBdr>
    </w:div>
    <w:div w:id="1726759810">
      <w:bodyDiv w:val="1"/>
      <w:marLeft w:val="0"/>
      <w:marRight w:val="0"/>
      <w:marTop w:val="0"/>
      <w:marBottom w:val="0"/>
      <w:divBdr>
        <w:top w:val="none" w:sz="0" w:space="0" w:color="auto"/>
        <w:left w:val="none" w:sz="0" w:space="0" w:color="auto"/>
        <w:bottom w:val="none" w:sz="0" w:space="0" w:color="auto"/>
        <w:right w:val="none" w:sz="0" w:space="0" w:color="auto"/>
      </w:divBdr>
    </w:div>
    <w:div w:id="1733967672">
      <w:bodyDiv w:val="1"/>
      <w:marLeft w:val="0"/>
      <w:marRight w:val="0"/>
      <w:marTop w:val="0"/>
      <w:marBottom w:val="0"/>
      <w:divBdr>
        <w:top w:val="none" w:sz="0" w:space="0" w:color="auto"/>
        <w:left w:val="none" w:sz="0" w:space="0" w:color="auto"/>
        <w:bottom w:val="none" w:sz="0" w:space="0" w:color="auto"/>
        <w:right w:val="none" w:sz="0" w:space="0" w:color="auto"/>
      </w:divBdr>
    </w:div>
    <w:div w:id="1780754281">
      <w:bodyDiv w:val="1"/>
      <w:marLeft w:val="0"/>
      <w:marRight w:val="0"/>
      <w:marTop w:val="0"/>
      <w:marBottom w:val="0"/>
      <w:divBdr>
        <w:top w:val="none" w:sz="0" w:space="0" w:color="auto"/>
        <w:left w:val="none" w:sz="0" w:space="0" w:color="auto"/>
        <w:bottom w:val="none" w:sz="0" w:space="0" w:color="auto"/>
        <w:right w:val="none" w:sz="0" w:space="0" w:color="auto"/>
      </w:divBdr>
    </w:div>
    <w:div w:id="1841236218">
      <w:bodyDiv w:val="1"/>
      <w:marLeft w:val="0"/>
      <w:marRight w:val="0"/>
      <w:marTop w:val="0"/>
      <w:marBottom w:val="0"/>
      <w:divBdr>
        <w:top w:val="none" w:sz="0" w:space="0" w:color="auto"/>
        <w:left w:val="none" w:sz="0" w:space="0" w:color="auto"/>
        <w:bottom w:val="none" w:sz="0" w:space="0" w:color="auto"/>
        <w:right w:val="none" w:sz="0" w:space="0" w:color="auto"/>
      </w:divBdr>
    </w:div>
    <w:div w:id="213320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morris@acl.hhs.go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D6D86-457E-494E-9709-D11FC64E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Health and Human Services</dc:creator>
  <cp:lastModifiedBy>ACL</cp:lastModifiedBy>
  <cp:revision>3</cp:revision>
  <cp:lastPrinted>2018-10-12T17:54:00Z</cp:lastPrinted>
  <dcterms:created xsi:type="dcterms:W3CDTF">2019-01-11T17:22:00Z</dcterms:created>
  <dcterms:modified xsi:type="dcterms:W3CDTF">2019-01-28T22:00:00Z</dcterms:modified>
</cp:coreProperties>
</file>