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0D6CE6" w14:textId="77777777" w:rsidR="001E3765" w:rsidRDefault="001E3765" w:rsidP="00D6305B">
      <w:pPr>
        <w:pStyle w:val="Heading1"/>
        <w:pBdr>
          <w:top w:val="single" w:sz="24" w:space="1" w:color="0070C0"/>
        </w:pBdr>
        <w:spacing w:after="0" w:line="120" w:lineRule="exact"/>
        <w:contextualSpacing/>
        <w:jc w:val="left"/>
        <w:rPr>
          <w:color w:val="auto"/>
        </w:rPr>
      </w:pPr>
    </w:p>
    <w:p w14:paraId="5B937A2B" w14:textId="5D607FA3" w:rsidR="00B829B3" w:rsidRDefault="008F5131" w:rsidP="008F5131">
      <w:pPr>
        <w:pStyle w:val="Heading1"/>
        <w:jc w:val="left"/>
        <w:rPr>
          <w:color w:val="auto"/>
        </w:rPr>
      </w:pPr>
      <w:r w:rsidRPr="00413322">
        <w:rPr>
          <w:color w:val="auto"/>
        </w:rPr>
        <w:t>Leveraging Innovation, Collaboration, and Data with Assistive Technology to Reduce Social Isolation and Loneliness: Success Story from Illinois</w:t>
      </w:r>
    </w:p>
    <w:p w14:paraId="6DFF0E5F" w14:textId="36014A7B" w:rsidR="00BF3F3B" w:rsidRDefault="00B829B3" w:rsidP="00BF3F3B">
      <w:pPr>
        <w:spacing w:before="0" w:after="0"/>
        <w:rPr>
          <w:rFonts w:eastAsiaTheme="minorHAnsi"/>
        </w:rPr>
      </w:pPr>
      <w:r w:rsidRPr="004A3558">
        <w:rPr>
          <w:rFonts w:eastAsiaTheme="minorHAnsi"/>
          <w:b/>
          <w:bCs/>
        </w:rPr>
        <w:t>Laura House</w:t>
      </w:r>
      <w:r w:rsidRPr="004A3558">
        <w:rPr>
          <w:rFonts w:eastAsiaTheme="minorHAnsi"/>
        </w:rPr>
        <w:t>, Center for Regional Operations</w:t>
      </w:r>
      <w:r w:rsidR="00BF3F3B">
        <w:rPr>
          <w:rFonts w:eastAsiaTheme="minorHAnsi"/>
        </w:rPr>
        <w:t xml:space="preserve"> (CRO)</w:t>
      </w:r>
      <w:r w:rsidRPr="004A3558">
        <w:rPr>
          <w:rFonts w:eastAsiaTheme="minorHAnsi"/>
        </w:rPr>
        <w:t>, Administration for Community Living (ACL)</w:t>
      </w:r>
    </w:p>
    <w:p w14:paraId="4C6F1D8E" w14:textId="369FF374" w:rsidR="00BF3F3B" w:rsidRDefault="00B829B3" w:rsidP="00BF3F3B">
      <w:pPr>
        <w:spacing w:before="0" w:after="0"/>
        <w:rPr>
          <w:rFonts w:eastAsiaTheme="minorHAnsi"/>
        </w:rPr>
      </w:pPr>
      <w:r w:rsidRPr="004A3558">
        <w:rPr>
          <w:rFonts w:eastAsiaTheme="minorHAnsi"/>
          <w:b/>
          <w:bCs/>
        </w:rPr>
        <w:t>Robert Groenendaal</w:t>
      </w:r>
      <w:r w:rsidRPr="004A3558">
        <w:rPr>
          <w:rFonts w:eastAsiaTheme="minorHAnsi"/>
        </w:rPr>
        <w:t>, Center for Innovation and Partnership</w:t>
      </w:r>
      <w:r w:rsidR="00BF3F3B">
        <w:rPr>
          <w:rFonts w:eastAsiaTheme="minorHAnsi"/>
        </w:rPr>
        <w:t xml:space="preserve"> (CIP)</w:t>
      </w:r>
      <w:r w:rsidRPr="004A3558">
        <w:rPr>
          <w:rFonts w:eastAsiaTheme="minorHAnsi"/>
        </w:rPr>
        <w:t xml:space="preserve">, ACL </w:t>
      </w:r>
    </w:p>
    <w:p w14:paraId="0A2FB38B" w14:textId="77777777" w:rsidR="00C4730D" w:rsidRDefault="00B829B3" w:rsidP="00C4730D">
      <w:pPr>
        <w:spacing w:before="0" w:after="0" w:line="0" w:lineRule="atLeast"/>
        <w:contextualSpacing/>
        <w:rPr>
          <w:rFonts w:eastAsiaTheme="minorHAnsi"/>
        </w:rPr>
      </w:pPr>
      <w:r w:rsidRPr="004A3558">
        <w:rPr>
          <w:rFonts w:eastAsiaTheme="minorHAnsi"/>
          <w:b/>
          <w:bCs/>
        </w:rPr>
        <w:t>William Schutz</w:t>
      </w:r>
      <w:r w:rsidRPr="004A3558">
        <w:rPr>
          <w:rFonts w:eastAsiaTheme="minorHAnsi"/>
        </w:rPr>
        <w:t>, National Institute on Disability, Independent Living, and Rehabilitation Research</w:t>
      </w:r>
      <w:r w:rsidR="00BF3F3B">
        <w:rPr>
          <w:rFonts w:eastAsiaTheme="minorHAnsi"/>
        </w:rPr>
        <w:t xml:space="preserve"> (NIDILRR)</w:t>
      </w:r>
      <w:r w:rsidRPr="004A3558">
        <w:rPr>
          <w:rFonts w:eastAsiaTheme="minorHAnsi"/>
        </w:rPr>
        <w:t>, ACL</w:t>
      </w:r>
    </w:p>
    <w:p w14:paraId="43E96D98" w14:textId="1814EC43" w:rsidR="00D6305B" w:rsidRDefault="00D6305B" w:rsidP="008D3FFA">
      <w:pPr>
        <w:pBdr>
          <w:bottom w:val="single" w:sz="24" w:space="1" w:color="0070C0"/>
        </w:pBdr>
        <w:spacing w:before="0" w:after="0" w:line="180" w:lineRule="exact"/>
        <w:rPr>
          <w:rFonts w:eastAsiaTheme="minorHAnsi"/>
        </w:rPr>
      </w:pPr>
    </w:p>
    <w:p w14:paraId="75B88906" w14:textId="77777777" w:rsidR="00F76DCD" w:rsidRDefault="00F76DCD" w:rsidP="00C4730D">
      <w:pPr>
        <w:spacing w:before="0" w:after="0" w:line="0" w:lineRule="atLeast"/>
        <w:contextualSpacing/>
        <w:rPr>
          <w:rFonts w:eastAsiaTheme="minorHAnsi"/>
        </w:rPr>
      </w:pPr>
    </w:p>
    <w:p w14:paraId="43DD729E" w14:textId="1CC4E39B" w:rsidR="0055354C" w:rsidRDefault="008F5131" w:rsidP="00DE19CC">
      <w:pPr>
        <w:spacing w:before="0" w:after="0" w:line="0" w:lineRule="atLeast"/>
        <w:ind w:firstLine="432"/>
        <w:contextualSpacing/>
        <w:rPr>
          <w:rFonts w:eastAsiaTheme="minorHAnsi"/>
        </w:rPr>
      </w:pPr>
      <w:r w:rsidRPr="004A3558">
        <w:rPr>
          <w:rFonts w:eastAsiaTheme="minorHAnsi"/>
        </w:rPr>
        <w:t>The purpose of this brief is to highlight a</w:t>
      </w:r>
      <w:r w:rsidR="009F3225" w:rsidRPr="004A3558">
        <w:rPr>
          <w:rFonts w:eastAsiaTheme="minorHAnsi"/>
        </w:rPr>
        <w:t xml:space="preserve"> model and </w:t>
      </w:r>
      <w:r w:rsidR="00557330" w:rsidRPr="004A3558">
        <w:rPr>
          <w:rFonts w:eastAsiaTheme="minorHAnsi"/>
        </w:rPr>
        <w:t xml:space="preserve">innovative </w:t>
      </w:r>
      <w:r w:rsidR="00A25DB1" w:rsidRPr="004A3558">
        <w:rPr>
          <w:rFonts w:eastAsiaTheme="minorHAnsi"/>
        </w:rPr>
        <w:t>partnershi</w:t>
      </w:r>
      <w:r w:rsidR="009F3225" w:rsidRPr="004A3558">
        <w:rPr>
          <w:rFonts w:eastAsiaTheme="minorHAnsi"/>
        </w:rPr>
        <w:t xml:space="preserve">p at both the federal and state levels </w:t>
      </w:r>
      <w:r w:rsidR="00557330" w:rsidRPr="004A3558">
        <w:rPr>
          <w:rFonts w:eastAsiaTheme="minorHAnsi"/>
        </w:rPr>
        <w:t xml:space="preserve">to </w:t>
      </w:r>
      <w:r w:rsidR="009F3225" w:rsidRPr="004A3558">
        <w:rPr>
          <w:rFonts w:eastAsiaTheme="minorHAnsi"/>
        </w:rPr>
        <w:t xml:space="preserve">improve </w:t>
      </w:r>
      <w:r w:rsidR="00557330" w:rsidRPr="004A3558">
        <w:rPr>
          <w:rFonts w:eastAsiaTheme="minorHAnsi"/>
        </w:rPr>
        <w:t xml:space="preserve">the lives of older adults and people with disabilities. </w:t>
      </w:r>
      <w:r w:rsidR="009F3225" w:rsidRPr="004A3558">
        <w:rPr>
          <w:rFonts w:eastAsiaTheme="minorHAnsi"/>
        </w:rPr>
        <w:t xml:space="preserve"> Specifically, this effort successfully purchased and distributed technology devices to older adults and people with disabilities served by local agencies and reduced social isolation and loneliness within this group. </w:t>
      </w:r>
      <w:r w:rsidR="00557330" w:rsidRPr="004A3558">
        <w:rPr>
          <w:rFonts w:eastAsiaTheme="minorHAnsi"/>
        </w:rPr>
        <w:t>From the federal end, this partnership was made possible through funds from Coronavirus A</w:t>
      </w:r>
      <w:r w:rsidR="00A00742">
        <w:rPr>
          <w:rFonts w:eastAsiaTheme="minorHAnsi"/>
        </w:rPr>
        <w:t>id</w:t>
      </w:r>
      <w:r w:rsidR="00557330" w:rsidRPr="004A3558">
        <w:rPr>
          <w:rFonts w:eastAsiaTheme="minorHAnsi"/>
        </w:rPr>
        <w:t>, Relief and Economic Security (CARES) Act funding</w:t>
      </w:r>
      <w:r w:rsidR="009F3225" w:rsidRPr="004A3558">
        <w:rPr>
          <w:rFonts w:eastAsiaTheme="minorHAnsi"/>
        </w:rPr>
        <w:t xml:space="preserve"> and support from the </w:t>
      </w:r>
      <w:hyperlink r:id="rId8" w:history="1">
        <w:r w:rsidR="009F3225" w:rsidRPr="004A3558">
          <w:rPr>
            <w:rStyle w:val="Hyperlink"/>
            <w:rFonts w:eastAsiaTheme="minorHAnsi"/>
          </w:rPr>
          <w:t>Assistive Technology</w:t>
        </w:r>
        <w:r w:rsidR="002D2433" w:rsidRPr="004A3558">
          <w:rPr>
            <w:rStyle w:val="Hyperlink"/>
            <w:rFonts w:eastAsiaTheme="minorHAnsi"/>
          </w:rPr>
          <w:t xml:space="preserve"> program</w:t>
        </w:r>
      </w:hyperlink>
      <w:r w:rsidR="009F3225" w:rsidRPr="004A3558">
        <w:rPr>
          <w:rFonts w:eastAsiaTheme="minorHAnsi"/>
        </w:rPr>
        <w:t xml:space="preserve">, </w:t>
      </w:r>
      <w:hyperlink r:id="rId9" w:history="1">
        <w:r w:rsidR="009F3225" w:rsidRPr="004A3558">
          <w:rPr>
            <w:rStyle w:val="Hyperlink"/>
            <w:rFonts w:eastAsiaTheme="minorHAnsi"/>
          </w:rPr>
          <w:t>Aging and Disability Resource Centers</w:t>
        </w:r>
        <w:r w:rsidR="00DF67A6" w:rsidRPr="004A3558">
          <w:rPr>
            <w:rStyle w:val="Hyperlink"/>
            <w:rFonts w:eastAsiaTheme="minorHAnsi"/>
          </w:rPr>
          <w:t xml:space="preserve"> (ADRCs)</w:t>
        </w:r>
      </w:hyperlink>
      <w:r w:rsidR="009F3225" w:rsidRPr="004A3558">
        <w:rPr>
          <w:rFonts w:eastAsiaTheme="minorHAnsi"/>
        </w:rPr>
        <w:t xml:space="preserve">, </w:t>
      </w:r>
      <w:hyperlink r:id="rId10" w:history="1">
        <w:r w:rsidR="009F3225" w:rsidRPr="004A3558">
          <w:rPr>
            <w:rStyle w:val="Hyperlink"/>
            <w:rFonts w:eastAsiaTheme="minorHAnsi"/>
          </w:rPr>
          <w:t>No Wrong Door</w:t>
        </w:r>
        <w:r w:rsidR="00DF67A6" w:rsidRPr="004A3558">
          <w:rPr>
            <w:rStyle w:val="Hyperlink"/>
            <w:rFonts w:eastAsiaTheme="minorHAnsi"/>
          </w:rPr>
          <w:t xml:space="preserve"> (NWD)</w:t>
        </w:r>
      </w:hyperlink>
      <w:r w:rsidR="009F3225" w:rsidRPr="004A3558">
        <w:rPr>
          <w:rFonts w:eastAsiaTheme="minorHAnsi"/>
        </w:rPr>
        <w:t xml:space="preserve"> </w:t>
      </w:r>
      <w:r w:rsidR="00BE0F18" w:rsidRPr="004A3558">
        <w:rPr>
          <w:rFonts w:eastAsiaTheme="minorHAnsi"/>
        </w:rPr>
        <w:t>system</w:t>
      </w:r>
      <w:r w:rsidR="009F3225" w:rsidRPr="004A3558">
        <w:rPr>
          <w:rFonts w:eastAsiaTheme="minorHAnsi"/>
        </w:rPr>
        <w:t xml:space="preserve">, and </w:t>
      </w:r>
      <w:hyperlink r:id="rId11" w:history="1">
        <w:r w:rsidR="009F3225" w:rsidRPr="004A3558">
          <w:rPr>
            <w:rStyle w:val="Hyperlink"/>
            <w:rFonts w:eastAsiaTheme="minorHAnsi"/>
          </w:rPr>
          <w:t>Older Americans Act programs</w:t>
        </w:r>
      </w:hyperlink>
      <w:r w:rsidR="009F3225" w:rsidRPr="004A3558">
        <w:rPr>
          <w:rFonts w:eastAsiaTheme="minorHAnsi"/>
        </w:rPr>
        <w:t xml:space="preserve"> at the Administration for Community Living (ACL) in the Department of Health and Human Services (HHS). </w:t>
      </w:r>
    </w:p>
    <w:p w14:paraId="32D71A6B" w14:textId="77777777" w:rsidR="0055354C" w:rsidRDefault="0055354C" w:rsidP="0055354C">
      <w:pPr>
        <w:spacing w:before="0" w:after="0" w:line="0" w:lineRule="atLeast"/>
        <w:contextualSpacing/>
        <w:rPr>
          <w:rFonts w:eastAsiaTheme="minorHAnsi"/>
        </w:rPr>
      </w:pPr>
    </w:p>
    <w:p w14:paraId="2E4D0082" w14:textId="499CA5D2" w:rsidR="008F5131" w:rsidRDefault="00953809" w:rsidP="00DE19CC">
      <w:pPr>
        <w:spacing w:before="0" w:after="0" w:line="0" w:lineRule="atLeast"/>
        <w:ind w:firstLine="432"/>
        <w:contextualSpacing/>
        <w:rPr>
          <w:rFonts w:eastAsiaTheme="minorHAnsi"/>
        </w:rPr>
      </w:pPr>
      <w:r w:rsidRPr="004A3558">
        <w:rPr>
          <w:rFonts w:eastAsiaTheme="minorHAnsi"/>
        </w:rPr>
        <w:t>M</w:t>
      </w:r>
      <w:r w:rsidR="009F3225" w:rsidRPr="004A3558">
        <w:rPr>
          <w:rFonts w:eastAsiaTheme="minorHAnsi"/>
        </w:rPr>
        <w:t xml:space="preserve">ultiple entities </w:t>
      </w:r>
      <w:r w:rsidRPr="004A3558">
        <w:rPr>
          <w:rFonts w:eastAsiaTheme="minorHAnsi"/>
        </w:rPr>
        <w:t xml:space="preserve">worked together to lead </w:t>
      </w:r>
      <w:r w:rsidR="009F3225" w:rsidRPr="004A3558">
        <w:rPr>
          <w:rFonts w:eastAsiaTheme="minorHAnsi"/>
        </w:rPr>
        <w:t>t</w:t>
      </w:r>
      <w:r w:rsidR="008F5131" w:rsidRPr="004A3558">
        <w:rPr>
          <w:rFonts w:eastAsiaTheme="minorHAnsi"/>
        </w:rPr>
        <w:t xml:space="preserve">he </w:t>
      </w:r>
      <w:hyperlink r:id="rId12" w:history="1">
        <w:r w:rsidR="008F5131" w:rsidRPr="004A3558">
          <w:rPr>
            <w:rStyle w:val="Hyperlink"/>
            <w:rFonts w:eastAsiaTheme="minorHAnsi"/>
          </w:rPr>
          <w:t>Illinois CARE Connections (ICC) program</w:t>
        </w:r>
      </w:hyperlink>
      <w:r w:rsidR="009F3225" w:rsidRPr="004A3558">
        <w:rPr>
          <w:rFonts w:eastAsiaTheme="minorHAnsi"/>
        </w:rPr>
        <w:t xml:space="preserve"> effort</w:t>
      </w:r>
      <w:r w:rsidR="0074022D" w:rsidRPr="004A3558">
        <w:rPr>
          <w:rFonts w:eastAsiaTheme="minorHAnsi"/>
        </w:rPr>
        <w:t xml:space="preserve"> including </w:t>
      </w:r>
      <w:r w:rsidR="009F3225" w:rsidRPr="004A3558">
        <w:rPr>
          <w:rFonts w:eastAsiaTheme="minorHAnsi"/>
        </w:rPr>
        <w:t>t</w:t>
      </w:r>
      <w:r w:rsidR="00A25DB1" w:rsidRPr="004A3558">
        <w:rPr>
          <w:rFonts w:eastAsiaTheme="minorHAnsi"/>
        </w:rPr>
        <w:t xml:space="preserve">he Illinois Assistive Technology Program (IATP), Illinois Department on Aging (IDoA), </w:t>
      </w:r>
      <w:r w:rsidR="009F3225" w:rsidRPr="004A3558">
        <w:rPr>
          <w:rFonts w:eastAsiaTheme="minorHAnsi"/>
        </w:rPr>
        <w:t xml:space="preserve">and </w:t>
      </w:r>
      <w:r w:rsidR="00A25DB1" w:rsidRPr="004A3558">
        <w:rPr>
          <w:rFonts w:eastAsiaTheme="minorHAnsi"/>
        </w:rPr>
        <w:t>Illinois Department of Human Services (IDHS</w:t>
      </w:r>
      <w:r w:rsidR="004F59B6" w:rsidRPr="004A3558">
        <w:rPr>
          <w:rFonts w:eastAsiaTheme="minorHAnsi"/>
        </w:rPr>
        <w:t>)</w:t>
      </w:r>
      <w:r w:rsidR="00557330" w:rsidRPr="004A3558">
        <w:rPr>
          <w:rFonts w:eastAsiaTheme="minorHAnsi"/>
        </w:rPr>
        <w:t xml:space="preserve">.  </w:t>
      </w:r>
      <w:r w:rsidR="008F5131" w:rsidRPr="004A3558">
        <w:rPr>
          <w:rFonts w:eastAsiaTheme="minorHAnsi"/>
        </w:rPr>
        <w:t xml:space="preserve">Their efforts were </w:t>
      </w:r>
      <w:r w:rsidR="00A25DB1" w:rsidRPr="004A3558">
        <w:rPr>
          <w:rFonts w:eastAsiaTheme="minorHAnsi"/>
        </w:rPr>
        <w:t xml:space="preserve">significant because the direct purchase of technology directly for consumers is not allowable with Assistive Technology Act funds.  </w:t>
      </w:r>
      <w:r w:rsidR="009F3225" w:rsidRPr="004A3558">
        <w:rPr>
          <w:rFonts w:eastAsiaTheme="minorHAnsi"/>
        </w:rPr>
        <w:t xml:space="preserve">This important collaboration </w:t>
      </w:r>
      <w:r w:rsidR="00A25DB1" w:rsidRPr="004A3558">
        <w:rPr>
          <w:rFonts w:eastAsiaTheme="minorHAnsi"/>
        </w:rPr>
        <w:t>provide</w:t>
      </w:r>
      <w:r w:rsidRPr="004A3558">
        <w:rPr>
          <w:rFonts w:eastAsiaTheme="minorHAnsi"/>
        </w:rPr>
        <w:t>s</w:t>
      </w:r>
      <w:r w:rsidR="009F3225" w:rsidRPr="004A3558">
        <w:rPr>
          <w:rFonts w:eastAsiaTheme="minorHAnsi"/>
        </w:rPr>
        <w:t xml:space="preserve"> a concrete example</w:t>
      </w:r>
      <w:r w:rsidRPr="004A3558">
        <w:rPr>
          <w:rFonts w:eastAsiaTheme="minorHAnsi"/>
        </w:rPr>
        <w:t xml:space="preserve"> for </w:t>
      </w:r>
      <w:r w:rsidR="00A25DB1" w:rsidRPr="004A3558">
        <w:rPr>
          <w:rFonts w:eastAsiaTheme="minorHAnsi"/>
        </w:rPr>
        <w:t xml:space="preserve">other states and entities to </w:t>
      </w:r>
      <w:r w:rsidR="009F3225" w:rsidRPr="004A3558">
        <w:rPr>
          <w:rFonts w:eastAsiaTheme="minorHAnsi"/>
        </w:rPr>
        <w:t>engage in</w:t>
      </w:r>
      <w:r w:rsidR="00A25DB1" w:rsidRPr="004A3558">
        <w:rPr>
          <w:rFonts w:eastAsiaTheme="minorHAnsi"/>
        </w:rPr>
        <w:t xml:space="preserve"> similar partnerships in the future.  </w:t>
      </w:r>
      <w:r w:rsidR="008F5131" w:rsidRPr="004A3558">
        <w:rPr>
          <w:rFonts w:eastAsiaTheme="minorHAnsi"/>
        </w:rPr>
        <w:t xml:space="preserve"> </w:t>
      </w:r>
    </w:p>
    <w:p w14:paraId="19925543" w14:textId="77777777" w:rsidR="008811D2" w:rsidRPr="004A3558" w:rsidRDefault="008811D2" w:rsidP="00DE19CC">
      <w:pPr>
        <w:spacing w:before="0" w:after="0" w:line="0" w:lineRule="atLeast"/>
        <w:ind w:firstLine="432"/>
        <w:contextualSpacing/>
        <w:rPr>
          <w:rFonts w:eastAsiaTheme="minorHAnsi"/>
        </w:rPr>
      </w:pPr>
    </w:p>
    <w:p w14:paraId="5B1955D0" w14:textId="2A85E82A" w:rsidR="008F5131" w:rsidRPr="004A3558" w:rsidRDefault="008F5131" w:rsidP="00B3035C">
      <w:pPr>
        <w:pStyle w:val="Heading2"/>
        <w:spacing w:before="0" w:after="0"/>
        <w:rPr>
          <w:rFonts w:eastAsiaTheme="minorHAnsi"/>
          <w:color w:val="auto"/>
        </w:rPr>
      </w:pPr>
      <w:r w:rsidRPr="004A3558">
        <w:rPr>
          <w:rFonts w:eastAsiaTheme="minorHAnsi"/>
          <w:color w:val="auto"/>
        </w:rPr>
        <w:t>Key Findings</w:t>
      </w:r>
    </w:p>
    <w:p w14:paraId="6E28544B" w14:textId="609BAB12" w:rsidR="00B3035C" w:rsidRPr="004A3558" w:rsidRDefault="00B3035C" w:rsidP="00B35EE1">
      <w:pPr>
        <w:pBdr>
          <w:bottom w:val="single" w:sz="24" w:space="1" w:color="0070C0"/>
        </w:pBdr>
        <w:spacing w:before="0" w:after="0" w:line="180" w:lineRule="exact"/>
        <w:rPr>
          <w:rFonts w:eastAsiaTheme="minorHAnsi"/>
        </w:rPr>
      </w:pPr>
    </w:p>
    <w:p w14:paraId="75E80E5D" w14:textId="77777777" w:rsidR="00B35EE1" w:rsidRDefault="00B35EE1" w:rsidP="00B35EE1">
      <w:pPr>
        <w:pStyle w:val="Bullet"/>
        <w:numPr>
          <w:ilvl w:val="0"/>
          <w:numId w:val="0"/>
        </w:numPr>
        <w:spacing w:before="0" w:after="0"/>
        <w:ind w:left="792"/>
        <w:contextualSpacing/>
        <w:rPr>
          <w:rFonts w:eastAsiaTheme="minorHAnsi"/>
        </w:rPr>
      </w:pPr>
    </w:p>
    <w:p w14:paraId="2BF50721" w14:textId="4321773C" w:rsidR="008F5131" w:rsidRPr="004A3558" w:rsidRDefault="008F5131" w:rsidP="00B35EE1">
      <w:pPr>
        <w:pStyle w:val="Bullet"/>
        <w:spacing w:before="0" w:after="0"/>
        <w:contextualSpacing/>
        <w:rPr>
          <w:rFonts w:eastAsiaTheme="minorHAnsi"/>
        </w:rPr>
      </w:pPr>
      <w:r w:rsidRPr="004A3558">
        <w:rPr>
          <w:rFonts w:eastAsiaTheme="minorHAnsi"/>
        </w:rPr>
        <w:t xml:space="preserve">A majority of the participants reported </w:t>
      </w:r>
      <w:r w:rsidR="00953809" w:rsidRPr="004A3558">
        <w:rPr>
          <w:rFonts w:eastAsiaTheme="minorHAnsi"/>
        </w:rPr>
        <w:t xml:space="preserve">feeling less </w:t>
      </w:r>
      <w:r w:rsidRPr="004A3558">
        <w:rPr>
          <w:rFonts w:eastAsiaTheme="minorHAnsi"/>
        </w:rPr>
        <w:t>lone</w:t>
      </w:r>
      <w:r w:rsidR="00953809" w:rsidRPr="004A3558">
        <w:rPr>
          <w:rFonts w:eastAsiaTheme="minorHAnsi"/>
        </w:rPr>
        <w:t xml:space="preserve">ly </w:t>
      </w:r>
      <w:r w:rsidRPr="004A3558">
        <w:rPr>
          <w:rFonts w:eastAsiaTheme="minorHAnsi"/>
        </w:rPr>
        <w:t>and social</w:t>
      </w:r>
      <w:r w:rsidR="00953809" w:rsidRPr="004A3558">
        <w:rPr>
          <w:rFonts w:eastAsiaTheme="minorHAnsi"/>
        </w:rPr>
        <w:t>ly</w:t>
      </w:r>
      <w:r w:rsidRPr="004A3558">
        <w:rPr>
          <w:rFonts w:eastAsiaTheme="minorHAnsi"/>
        </w:rPr>
        <w:t xml:space="preserve"> isolat</w:t>
      </w:r>
      <w:r w:rsidR="00953809" w:rsidRPr="004A3558">
        <w:rPr>
          <w:rFonts w:eastAsiaTheme="minorHAnsi"/>
        </w:rPr>
        <w:t>ed</w:t>
      </w:r>
      <w:r w:rsidRPr="004A3558">
        <w:rPr>
          <w:rFonts w:eastAsiaTheme="minorHAnsi"/>
        </w:rPr>
        <w:t xml:space="preserve"> after receiving a technology bundle through the ICC program.</w:t>
      </w:r>
    </w:p>
    <w:p w14:paraId="721F4F08" w14:textId="77777777" w:rsidR="008F5131" w:rsidRPr="004A3558" w:rsidRDefault="008F5131" w:rsidP="008F5131">
      <w:pPr>
        <w:pStyle w:val="Bullet"/>
        <w:spacing w:after="240"/>
        <w:rPr>
          <w:rFonts w:eastAsiaTheme="minorHAnsi"/>
        </w:rPr>
      </w:pPr>
      <w:r w:rsidRPr="004A3558">
        <w:rPr>
          <w:rFonts w:eastAsiaTheme="minorHAnsi"/>
        </w:rPr>
        <w:t>Participants in the ICC program reported that the technology bundles allowed them to maintain and increase communication and social interaction with their families to combat social isolation and loneliness during the pandemic.</w:t>
      </w:r>
    </w:p>
    <w:p w14:paraId="3627E223" w14:textId="3711FA62" w:rsidR="008F5131" w:rsidRPr="004A3558" w:rsidRDefault="008F5131" w:rsidP="00355F57">
      <w:pPr>
        <w:pStyle w:val="Heading2"/>
        <w:spacing w:before="0" w:after="0"/>
        <w:contextualSpacing/>
        <w:rPr>
          <w:rFonts w:eastAsiaTheme="minorHAnsi"/>
          <w:color w:val="auto"/>
        </w:rPr>
      </w:pPr>
      <w:r w:rsidRPr="004A3558">
        <w:rPr>
          <w:rFonts w:eastAsiaTheme="minorHAnsi"/>
          <w:color w:val="auto"/>
        </w:rPr>
        <w:t>How the Program Worked</w:t>
      </w:r>
    </w:p>
    <w:p w14:paraId="47BF610F" w14:textId="00EE7E8B" w:rsidR="00413322" w:rsidRPr="004A3558" w:rsidRDefault="00413322" w:rsidP="00563178">
      <w:pPr>
        <w:pBdr>
          <w:bottom w:val="single" w:sz="24" w:space="1" w:color="0070C0"/>
        </w:pBdr>
        <w:spacing w:before="0" w:after="0" w:line="180" w:lineRule="exact"/>
        <w:rPr>
          <w:rFonts w:eastAsiaTheme="minorHAnsi"/>
        </w:rPr>
      </w:pPr>
    </w:p>
    <w:p w14:paraId="59692B16" w14:textId="77777777" w:rsidR="002F6C76" w:rsidRDefault="002F6C76" w:rsidP="002F6C76">
      <w:pPr>
        <w:spacing w:before="0" w:after="240"/>
        <w:ind w:firstLine="432"/>
        <w:contextualSpacing/>
        <w:rPr>
          <w:rFonts w:eastAsiaTheme="minorHAnsi"/>
        </w:rPr>
      </w:pPr>
    </w:p>
    <w:p w14:paraId="09FF005F" w14:textId="77777777" w:rsidR="00FD378F" w:rsidRDefault="008F5131" w:rsidP="00FD378F">
      <w:pPr>
        <w:spacing w:before="0" w:after="0"/>
        <w:ind w:firstLine="432"/>
        <w:contextualSpacing/>
        <w:rPr>
          <w:rFonts w:eastAsiaTheme="minorHAnsi"/>
        </w:rPr>
      </w:pPr>
      <w:r w:rsidRPr="004A3558">
        <w:rPr>
          <w:rFonts w:eastAsiaTheme="minorHAnsi"/>
        </w:rPr>
        <w:t xml:space="preserve">Launched in spring 2020, </w:t>
      </w:r>
      <w:r w:rsidR="005F0097" w:rsidRPr="004A3558">
        <w:rPr>
          <w:rFonts w:eastAsiaTheme="minorHAnsi"/>
        </w:rPr>
        <w:t>Illinois CARE Connections (</w:t>
      </w:r>
      <w:r w:rsidRPr="004A3558">
        <w:rPr>
          <w:rFonts w:eastAsiaTheme="minorHAnsi"/>
        </w:rPr>
        <w:t>ICC</w:t>
      </w:r>
      <w:r w:rsidR="005F0097" w:rsidRPr="004A3558">
        <w:rPr>
          <w:rFonts w:eastAsiaTheme="minorHAnsi"/>
        </w:rPr>
        <w:t>)</w:t>
      </w:r>
      <w:r w:rsidRPr="004A3558">
        <w:rPr>
          <w:rFonts w:eastAsiaTheme="minorHAnsi"/>
        </w:rPr>
        <w:t xml:space="preserve"> coordinated a unique effort between aging and disability entities within the state, including the ACL-funded Illinois Assistive Technology Program (IATP), Illinois Department on Aging (IDoA), and Illinois Department of Human Services (IDHS).  The program provided technology devices to socially isolated seniors and persons with disabilities in Illinois during the COVID-19 pandemic (ICC, 2021).</w:t>
      </w:r>
    </w:p>
    <w:p w14:paraId="10E3009E" w14:textId="77777777" w:rsidR="00FD378F" w:rsidRDefault="00FD378F" w:rsidP="00FD378F">
      <w:pPr>
        <w:spacing w:before="0" w:after="0"/>
        <w:ind w:firstLine="432"/>
        <w:contextualSpacing/>
        <w:rPr>
          <w:rFonts w:eastAsiaTheme="minorHAnsi"/>
        </w:rPr>
      </w:pPr>
    </w:p>
    <w:p w14:paraId="0D6D08AD" w14:textId="77777777" w:rsidR="00A367FB" w:rsidRDefault="00A367FB">
      <w:pPr>
        <w:spacing w:before="0" w:after="0"/>
        <w:rPr>
          <w:rFonts w:eastAsiaTheme="minorHAnsi"/>
        </w:rPr>
      </w:pPr>
      <w:r>
        <w:rPr>
          <w:rFonts w:eastAsiaTheme="minorHAnsi"/>
        </w:rPr>
        <w:br w:type="page"/>
      </w:r>
    </w:p>
    <w:p w14:paraId="3660B865" w14:textId="6652B169" w:rsidR="008F5131" w:rsidRDefault="008F5131" w:rsidP="00FD378F">
      <w:pPr>
        <w:spacing w:before="0" w:after="0"/>
        <w:ind w:firstLine="432"/>
        <w:contextualSpacing/>
        <w:rPr>
          <w:rFonts w:eastAsiaTheme="minorHAnsi"/>
        </w:rPr>
      </w:pPr>
      <w:r w:rsidRPr="004A3558">
        <w:rPr>
          <w:rFonts w:eastAsiaTheme="minorHAnsi"/>
        </w:rPr>
        <w:lastRenderedPageBreak/>
        <w:t xml:space="preserve">The long-standing relationship that the IATP had with the IDoA and the Area Agencies on Aging was the catalyst for the IATP’s decision to address social isolation with access to technology and broadband service.  The IDoA </w:t>
      </w:r>
      <w:r w:rsidR="00341B35" w:rsidRPr="004A3558">
        <w:rPr>
          <w:rFonts w:eastAsiaTheme="minorHAnsi"/>
        </w:rPr>
        <w:t xml:space="preserve">engaged </w:t>
      </w:r>
      <w:r w:rsidRPr="004A3558">
        <w:rPr>
          <w:rFonts w:eastAsiaTheme="minorHAnsi"/>
        </w:rPr>
        <w:t>the IATP to focus CARES Act funding on providing services to older adults and people with disabilities at risk for social isolation at the onset of the pandemic.  While the program measured social isolation in participants at baseline and follow up, the priority focus of this effort was on getting the AT devices in the hands of older Americans and people with disabilities rather than doing an in-depth systematic study.</w:t>
      </w:r>
    </w:p>
    <w:p w14:paraId="6FAFDF2C" w14:textId="77777777" w:rsidR="004B36B4" w:rsidRPr="004A3558" w:rsidRDefault="004B36B4" w:rsidP="00FD378F">
      <w:pPr>
        <w:spacing w:before="0" w:after="0"/>
        <w:ind w:firstLine="432"/>
        <w:contextualSpacing/>
        <w:rPr>
          <w:rFonts w:eastAsiaTheme="minorHAnsi"/>
        </w:rPr>
      </w:pPr>
    </w:p>
    <w:p w14:paraId="0B30832D" w14:textId="77777777" w:rsidR="00F07983" w:rsidRDefault="008F5131" w:rsidP="00F07983">
      <w:pPr>
        <w:spacing w:before="0" w:after="0"/>
        <w:ind w:firstLine="432"/>
        <w:contextualSpacing/>
        <w:rPr>
          <w:rFonts w:eastAsiaTheme="minorHAnsi"/>
        </w:rPr>
      </w:pPr>
      <w:r w:rsidRPr="004A3558">
        <w:rPr>
          <w:rFonts w:eastAsiaTheme="minorHAnsi"/>
        </w:rPr>
        <w:t xml:space="preserve">The IATP </w:t>
      </w:r>
      <w:r w:rsidR="00341B35" w:rsidRPr="004A3558">
        <w:rPr>
          <w:rFonts w:eastAsiaTheme="minorHAnsi"/>
        </w:rPr>
        <w:t xml:space="preserve">was responsible for </w:t>
      </w:r>
      <w:r w:rsidRPr="004A3558">
        <w:rPr>
          <w:rFonts w:eastAsiaTheme="minorHAnsi"/>
        </w:rPr>
        <w:t>implement</w:t>
      </w:r>
      <w:r w:rsidR="00341B35" w:rsidRPr="004A3558">
        <w:rPr>
          <w:rFonts w:eastAsiaTheme="minorHAnsi"/>
        </w:rPr>
        <w:t xml:space="preserve">ing </w:t>
      </w:r>
      <w:r w:rsidRPr="004A3558">
        <w:rPr>
          <w:rFonts w:eastAsiaTheme="minorHAnsi"/>
        </w:rPr>
        <w:t>the ICC program.  To be eligible for the program, participants were required to be receiving services through the IDoA or IDHS, Division of Developmental Disabilities (DDD) or Division of Rehabilitation Services (DRS) providers and programs.  For IDoA, participants were age 60 or older and receiving services from the IDoA Community Care Program or through one of their Area Agencies on Aging.  Participants also reported being socially isolated as a result of COVID-19 and were experiencing loneliness and a lack of connectedness to their communities.  Select questions from the UCLA Loneliness Rating Scale were administered when a person was first referred to the program to assess levels of loneliness at baseline.</w:t>
      </w:r>
    </w:p>
    <w:p w14:paraId="2940CA4D" w14:textId="77777777" w:rsidR="00F07983" w:rsidRDefault="00F07983" w:rsidP="00F07983">
      <w:pPr>
        <w:spacing w:before="0" w:after="0"/>
        <w:ind w:firstLine="432"/>
        <w:contextualSpacing/>
        <w:rPr>
          <w:rFonts w:eastAsiaTheme="minorHAnsi"/>
        </w:rPr>
      </w:pPr>
    </w:p>
    <w:p w14:paraId="6C215882" w14:textId="77777777" w:rsidR="00F4704C" w:rsidRDefault="008F5131" w:rsidP="00F4704C">
      <w:pPr>
        <w:spacing w:before="0" w:after="0"/>
        <w:ind w:firstLine="432"/>
        <w:contextualSpacing/>
        <w:rPr>
          <w:rFonts w:eastAsiaTheme="minorHAnsi"/>
        </w:rPr>
      </w:pPr>
      <w:r w:rsidRPr="004A3558">
        <w:rPr>
          <w:rFonts w:eastAsiaTheme="minorHAnsi"/>
        </w:rPr>
        <w:t>The ICC program processed referrals</w:t>
      </w:r>
      <w:r w:rsidR="005F0097" w:rsidRPr="004A3558">
        <w:rPr>
          <w:rFonts w:eastAsiaTheme="minorHAnsi"/>
        </w:rPr>
        <w:t xml:space="preserve"> and</w:t>
      </w:r>
      <w:r w:rsidRPr="004A3558">
        <w:rPr>
          <w:rFonts w:eastAsiaTheme="minorHAnsi"/>
        </w:rPr>
        <w:t xml:space="preserve"> purchased and assembled technology bundles for each participant.  The bundles included a tablet device, case, headset, keyboard</w:t>
      </w:r>
      <w:r w:rsidR="00DB3586" w:rsidRPr="004A3558">
        <w:rPr>
          <w:rFonts w:eastAsiaTheme="minorHAnsi"/>
        </w:rPr>
        <w:t xml:space="preserve"> (if needed)</w:t>
      </w:r>
      <w:r w:rsidRPr="004A3558">
        <w:rPr>
          <w:rFonts w:eastAsiaTheme="minorHAnsi"/>
        </w:rPr>
        <w:t>, hotspot</w:t>
      </w:r>
      <w:r w:rsidR="00DB3586" w:rsidRPr="004A3558">
        <w:rPr>
          <w:rFonts w:eastAsiaTheme="minorHAnsi"/>
        </w:rPr>
        <w:t xml:space="preserve"> (if needed)</w:t>
      </w:r>
      <w:r w:rsidRPr="004A3558">
        <w:rPr>
          <w:rFonts w:eastAsiaTheme="minorHAnsi"/>
        </w:rPr>
        <w:t xml:space="preserve">, </w:t>
      </w:r>
      <w:r w:rsidR="00992CD3" w:rsidRPr="004A3558">
        <w:rPr>
          <w:rFonts w:eastAsiaTheme="minorHAnsi"/>
        </w:rPr>
        <w:t xml:space="preserve">accessible </w:t>
      </w:r>
      <w:r w:rsidRPr="004A3558">
        <w:rPr>
          <w:rFonts w:eastAsiaTheme="minorHAnsi"/>
        </w:rPr>
        <w:t>instructions, and any assistive technology needed for access and use.</w:t>
      </w:r>
      <w:r w:rsidR="00341B35" w:rsidRPr="004A3558">
        <w:rPr>
          <w:rFonts w:eastAsiaTheme="minorHAnsi"/>
        </w:rPr>
        <w:t xml:space="preserve"> </w:t>
      </w:r>
      <w:r w:rsidR="00996F3E">
        <w:rPr>
          <w:rFonts w:eastAsiaTheme="minorHAnsi"/>
        </w:rPr>
        <w:t xml:space="preserve"> </w:t>
      </w:r>
      <w:r w:rsidR="00341B35" w:rsidRPr="004A3558">
        <w:rPr>
          <w:rFonts w:eastAsiaTheme="minorHAnsi"/>
        </w:rPr>
        <w:t>Later in the program, ICC worked with the University of Illinois at Chicago Center on Mental Health Services Research &amp; Policy to include a brochure in the bundles about participating in the Wellness Recovery Action Planning (WRAP) program; an evidence-based, mental illness self-manag</w:t>
      </w:r>
      <w:r w:rsidR="00EA3A1B" w:rsidRPr="004A3558">
        <w:rPr>
          <w:rFonts w:eastAsiaTheme="minorHAnsi"/>
        </w:rPr>
        <w:t>em</w:t>
      </w:r>
      <w:r w:rsidR="00341B35" w:rsidRPr="004A3558">
        <w:rPr>
          <w:rFonts w:eastAsiaTheme="minorHAnsi"/>
        </w:rPr>
        <w:t xml:space="preserve">ent intervention. </w:t>
      </w:r>
    </w:p>
    <w:p w14:paraId="718934C7" w14:textId="77777777" w:rsidR="00F4704C" w:rsidRDefault="00F4704C" w:rsidP="00F4704C">
      <w:pPr>
        <w:spacing w:before="0" w:after="0"/>
        <w:ind w:firstLine="432"/>
        <w:contextualSpacing/>
        <w:rPr>
          <w:rFonts w:eastAsiaTheme="minorHAnsi"/>
        </w:rPr>
      </w:pPr>
    </w:p>
    <w:p w14:paraId="75C95DC1" w14:textId="169EB286" w:rsidR="005E4A9D" w:rsidRDefault="008F5131" w:rsidP="00355F57">
      <w:pPr>
        <w:spacing w:before="0" w:after="0"/>
        <w:ind w:firstLine="432"/>
        <w:contextualSpacing/>
        <w:rPr>
          <w:rFonts w:eastAsiaTheme="minorHAnsi"/>
        </w:rPr>
      </w:pPr>
      <w:r w:rsidRPr="004A3558">
        <w:rPr>
          <w:rFonts w:eastAsiaTheme="minorHAnsi"/>
        </w:rPr>
        <w:t xml:space="preserve">IATP developed an accessible online referral system and webinar trainings for providers within each of the three agencies responsible for submitting the referrals.  IATP and the University of Illinois Chicago-Assistive Technology Unit provided telephone technical assistance if the participant </w:t>
      </w:r>
      <w:r w:rsidR="00341B35" w:rsidRPr="004A3558">
        <w:rPr>
          <w:rFonts w:eastAsiaTheme="minorHAnsi"/>
        </w:rPr>
        <w:t xml:space="preserve">required assistance </w:t>
      </w:r>
      <w:r w:rsidRPr="004A3558">
        <w:rPr>
          <w:rFonts w:eastAsiaTheme="minorHAnsi"/>
        </w:rPr>
        <w:t xml:space="preserve">with the tablet bundles </w:t>
      </w:r>
      <w:r w:rsidR="00992CD3" w:rsidRPr="004A3558">
        <w:rPr>
          <w:rFonts w:eastAsiaTheme="minorHAnsi"/>
        </w:rPr>
        <w:t xml:space="preserve">in addition to the </w:t>
      </w:r>
      <w:r w:rsidRPr="004A3558">
        <w:rPr>
          <w:rFonts w:eastAsiaTheme="minorHAnsi"/>
        </w:rPr>
        <w:t xml:space="preserve">clear and accessible directions to operate the devices </w:t>
      </w:r>
      <w:r w:rsidR="00992CD3" w:rsidRPr="004A3558">
        <w:rPr>
          <w:rFonts w:eastAsiaTheme="minorHAnsi"/>
        </w:rPr>
        <w:t xml:space="preserve">included </w:t>
      </w:r>
      <w:r w:rsidRPr="004A3558">
        <w:rPr>
          <w:rFonts w:eastAsiaTheme="minorHAnsi"/>
        </w:rPr>
        <w:t xml:space="preserve">in the bundle for each package shipped.  ICC </w:t>
      </w:r>
      <w:r w:rsidR="00DB3586" w:rsidRPr="004A3558">
        <w:rPr>
          <w:rFonts w:eastAsiaTheme="minorHAnsi"/>
        </w:rPr>
        <w:t xml:space="preserve">staff at IATP </w:t>
      </w:r>
      <w:r w:rsidRPr="004A3558">
        <w:rPr>
          <w:rFonts w:eastAsiaTheme="minorHAnsi"/>
        </w:rPr>
        <w:t>followed up with participants after they received each bundle and also followed up with participants through direct mailing.</w:t>
      </w:r>
    </w:p>
    <w:p w14:paraId="26B711E7" w14:textId="77777777" w:rsidR="00355F57" w:rsidRDefault="00355F57" w:rsidP="00355F57">
      <w:pPr>
        <w:pStyle w:val="Heading2"/>
        <w:spacing w:before="0" w:after="0"/>
        <w:contextualSpacing/>
        <w:rPr>
          <w:rFonts w:eastAsiaTheme="minorHAnsi"/>
          <w:color w:val="auto"/>
        </w:rPr>
      </w:pPr>
    </w:p>
    <w:p w14:paraId="52BBFEAE" w14:textId="2BACFEC8" w:rsidR="008F5131" w:rsidRPr="004A3558" w:rsidRDefault="008F5131" w:rsidP="00355F57">
      <w:pPr>
        <w:pStyle w:val="Heading2"/>
        <w:spacing w:before="0" w:after="0"/>
        <w:contextualSpacing/>
        <w:rPr>
          <w:rFonts w:eastAsiaTheme="minorHAnsi"/>
          <w:color w:val="auto"/>
        </w:rPr>
      </w:pPr>
      <w:r w:rsidRPr="004A3558">
        <w:rPr>
          <w:rFonts w:eastAsiaTheme="minorHAnsi"/>
          <w:color w:val="auto"/>
        </w:rPr>
        <w:t>Participants</w:t>
      </w:r>
    </w:p>
    <w:p w14:paraId="611785A0" w14:textId="4CB7C335" w:rsidR="00413322" w:rsidRPr="004A3558" w:rsidRDefault="00413322" w:rsidP="00ED7AB7">
      <w:pPr>
        <w:pBdr>
          <w:bottom w:val="single" w:sz="24" w:space="1" w:color="0070C0"/>
        </w:pBdr>
        <w:spacing w:before="0" w:line="180" w:lineRule="exact"/>
        <w:contextualSpacing/>
        <w:rPr>
          <w:rFonts w:eastAsiaTheme="minorHAnsi"/>
        </w:rPr>
      </w:pPr>
    </w:p>
    <w:p w14:paraId="0AD2922A" w14:textId="77777777" w:rsidR="00855F2D" w:rsidRDefault="00855F2D" w:rsidP="00ED7AB7">
      <w:pPr>
        <w:spacing w:before="0" w:after="0"/>
        <w:contextualSpacing/>
        <w:rPr>
          <w:rFonts w:eastAsiaTheme="minorHAnsi"/>
        </w:rPr>
      </w:pPr>
    </w:p>
    <w:p w14:paraId="6B140643" w14:textId="77777777" w:rsidR="002162B7" w:rsidRDefault="004455C2" w:rsidP="00ED7AB7">
      <w:pPr>
        <w:spacing w:before="0" w:after="0"/>
        <w:ind w:firstLine="432"/>
        <w:contextualSpacing/>
        <w:rPr>
          <w:rFonts w:eastAsiaTheme="minorHAnsi"/>
        </w:rPr>
      </w:pPr>
      <w:r w:rsidRPr="004A3558">
        <w:rPr>
          <w:rFonts w:eastAsiaTheme="minorHAnsi"/>
        </w:rPr>
        <w:t>Of the 3,307 individuals who received technology bundles, thirty</w:t>
      </w:r>
      <w:r w:rsidR="006650D7">
        <w:rPr>
          <w:rFonts w:eastAsiaTheme="minorHAnsi"/>
        </w:rPr>
        <w:t>-</w:t>
      </w:r>
      <w:r w:rsidRPr="004A3558">
        <w:rPr>
          <w:rFonts w:eastAsiaTheme="minorHAnsi"/>
        </w:rPr>
        <w:t>three percent (33%) were between 61-80 and thirty</w:t>
      </w:r>
      <w:r w:rsidR="006650D7">
        <w:rPr>
          <w:rFonts w:eastAsiaTheme="minorHAnsi"/>
        </w:rPr>
        <w:t>-</w:t>
      </w:r>
      <w:r w:rsidRPr="004A3558">
        <w:rPr>
          <w:rFonts w:eastAsiaTheme="minorHAnsi"/>
        </w:rPr>
        <w:t>two percent</w:t>
      </w:r>
      <w:r w:rsidR="00CF199D">
        <w:rPr>
          <w:rFonts w:eastAsiaTheme="minorHAnsi"/>
        </w:rPr>
        <w:t xml:space="preserve"> (32%)</w:t>
      </w:r>
      <w:r w:rsidRPr="004A3558">
        <w:rPr>
          <w:rFonts w:eastAsiaTheme="minorHAnsi"/>
        </w:rPr>
        <w:t xml:space="preserve"> were between 41-60. Another fourth (23%) were in the 21-40 age group, </w:t>
      </w:r>
      <w:r w:rsidR="00667950">
        <w:rPr>
          <w:rFonts w:eastAsiaTheme="minorHAnsi"/>
        </w:rPr>
        <w:t>eight percent (</w:t>
      </w:r>
      <w:r w:rsidRPr="004A3558">
        <w:rPr>
          <w:rFonts w:eastAsiaTheme="minorHAnsi"/>
        </w:rPr>
        <w:t>8%</w:t>
      </w:r>
      <w:r w:rsidR="00667950">
        <w:rPr>
          <w:rFonts w:eastAsiaTheme="minorHAnsi"/>
        </w:rPr>
        <w:t>)</w:t>
      </w:r>
      <w:r w:rsidRPr="004A3558">
        <w:rPr>
          <w:rFonts w:eastAsiaTheme="minorHAnsi"/>
        </w:rPr>
        <w:t xml:space="preserve"> were age 81 and older, and </w:t>
      </w:r>
      <w:r w:rsidR="00694440">
        <w:rPr>
          <w:rFonts w:eastAsiaTheme="minorHAnsi"/>
        </w:rPr>
        <w:t>four percent (</w:t>
      </w:r>
      <w:r w:rsidRPr="004A3558">
        <w:rPr>
          <w:rFonts w:eastAsiaTheme="minorHAnsi"/>
        </w:rPr>
        <w:t>4%</w:t>
      </w:r>
      <w:r w:rsidR="00694440">
        <w:rPr>
          <w:rFonts w:eastAsiaTheme="minorHAnsi"/>
        </w:rPr>
        <w:t>)</w:t>
      </w:r>
      <w:r w:rsidRPr="004A3558">
        <w:rPr>
          <w:rFonts w:eastAsiaTheme="minorHAnsi"/>
        </w:rPr>
        <w:t xml:space="preserve"> were 20 or younger. There were also important differen</w:t>
      </w:r>
      <w:r w:rsidR="004F59B6" w:rsidRPr="004A3558">
        <w:rPr>
          <w:rFonts w:eastAsiaTheme="minorHAnsi"/>
        </w:rPr>
        <w:t>ces</w:t>
      </w:r>
      <w:r w:rsidRPr="004A3558">
        <w:rPr>
          <w:rFonts w:eastAsiaTheme="minorHAnsi"/>
        </w:rPr>
        <w:t xml:space="preserve"> between the three referral groups. The participants referred by Aging tended to be older with ninety</w:t>
      </w:r>
      <w:r w:rsidR="00DF7FB6">
        <w:rPr>
          <w:rFonts w:eastAsiaTheme="minorHAnsi"/>
        </w:rPr>
        <w:t>-s</w:t>
      </w:r>
      <w:r w:rsidRPr="004A3558">
        <w:rPr>
          <w:rFonts w:eastAsiaTheme="minorHAnsi"/>
        </w:rPr>
        <w:t>ix</w:t>
      </w:r>
      <w:r w:rsidR="00243DA2" w:rsidRPr="004A3558">
        <w:rPr>
          <w:rFonts w:eastAsiaTheme="minorHAnsi"/>
        </w:rPr>
        <w:t xml:space="preserve"> </w:t>
      </w:r>
      <w:r w:rsidRPr="004A3558">
        <w:rPr>
          <w:rFonts w:eastAsiaTheme="minorHAnsi"/>
        </w:rPr>
        <w:t>percent (96%) of these participants who were ages 61 and older.  Conversely, the participants referred by DDD were most often much younger with almost half (48%) in the 21-40 age range with another</w:t>
      </w:r>
      <w:r w:rsidR="00214043">
        <w:rPr>
          <w:rFonts w:eastAsiaTheme="minorHAnsi"/>
        </w:rPr>
        <w:t xml:space="preserve"> thirty-four percent (</w:t>
      </w:r>
      <w:r w:rsidRPr="004A3558">
        <w:rPr>
          <w:rFonts w:eastAsiaTheme="minorHAnsi"/>
        </w:rPr>
        <w:t>34%</w:t>
      </w:r>
      <w:r w:rsidR="00214043">
        <w:rPr>
          <w:rFonts w:eastAsiaTheme="minorHAnsi"/>
        </w:rPr>
        <w:t>)</w:t>
      </w:r>
      <w:r w:rsidRPr="004A3558">
        <w:rPr>
          <w:rFonts w:eastAsiaTheme="minorHAnsi"/>
        </w:rPr>
        <w:t xml:space="preserve"> in the 41-60 range. Fifty-eight</w:t>
      </w:r>
      <w:r w:rsidR="00C53CBD">
        <w:rPr>
          <w:rFonts w:eastAsiaTheme="minorHAnsi"/>
        </w:rPr>
        <w:t xml:space="preserve"> percent</w:t>
      </w:r>
      <w:r w:rsidRPr="004A3558">
        <w:rPr>
          <w:rFonts w:eastAsiaTheme="minorHAnsi"/>
        </w:rPr>
        <w:t xml:space="preserve"> (58%) of the participants referred by DRS were in the 41-60 age range with another </w:t>
      </w:r>
      <w:r w:rsidR="00BD3F0C">
        <w:rPr>
          <w:rFonts w:eastAsiaTheme="minorHAnsi"/>
        </w:rPr>
        <w:t>twenty-one percent (</w:t>
      </w:r>
      <w:r w:rsidRPr="004A3558">
        <w:rPr>
          <w:rFonts w:eastAsiaTheme="minorHAnsi"/>
        </w:rPr>
        <w:t>21%</w:t>
      </w:r>
      <w:r w:rsidR="00BD3F0C">
        <w:rPr>
          <w:rFonts w:eastAsiaTheme="minorHAnsi"/>
        </w:rPr>
        <w:t>)</w:t>
      </w:r>
      <w:r w:rsidRPr="004A3558">
        <w:rPr>
          <w:rFonts w:eastAsiaTheme="minorHAnsi"/>
        </w:rPr>
        <w:t xml:space="preserve"> age 61-80 and </w:t>
      </w:r>
      <w:r w:rsidR="0052669C">
        <w:rPr>
          <w:rFonts w:eastAsiaTheme="minorHAnsi"/>
        </w:rPr>
        <w:t>sixteen percent (</w:t>
      </w:r>
      <w:r w:rsidRPr="004A3558">
        <w:rPr>
          <w:rFonts w:eastAsiaTheme="minorHAnsi"/>
        </w:rPr>
        <w:t>16%</w:t>
      </w:r>
      <w:r w:rsidR="0052669C">
        <w:rPr>
          <w:rFonts w:eastAsiaTheme="minorHAnsi"/>
        </w:rPr>
        <w:t>)</w:t>
      </w:r>
      <w:r w:rsidRPr="004A3558">
        <w:rPr>
          <w:rFonts w:eastAsiaTheme="minorHAnsi"/>
        </w:rPr>
        <w:t xml:space="preserve"> age 21-40.  ICC program participants from the IDoA were </w:t>
      </w:r>
      <w:r w:rsidR="000539A4" w:rsidRPr="004A3558">
        <w:rPr>
          <w:rFonts w:eastAsiaTheme="minorHAnsi"/>
        </w:rPr>
        <w:t xml:space="preserve">all </w:t>
      </w:r>
      <w:r w:rsidRPr="004A3558">
        <w:rPr>
          <w:rFonts w:eastAsiaTheme="minorHAnsi"/>
        </w:rPr>
        <w:t>60 years of age or older</w:t>
      </w:r>
      <w:r w:rsidR="000539A4" w:rsidRPr="004A3558">
        <w:rPr>
          <w:rFonts w:eastAsiaTheme="minorHAnsi"/>
        </w:rPr>
        <w:t xml:space="preserve"> as required eligibility for agency services</w:t>
      </w:r>
      <w:r w:rsidRPr="004A3558">
        <w:rPr>
          <w:rFonts w:eastAsiaTheme="minorHAnsi"/>
        </w:rPr>
        <w:t xml:space="preserve">.  Program participants were referred based on reports of social isolation, loneliness, and lack of social connectedness due to </w:t>
      </w:r>
    </w:p>
    <w:p w14:paraId="65915557" w14:textId="7CA5434E" w:rsidR="007B11B8" w:rsidRDefault="004455C2" w:rsidP="002162B7">
      <w:pPr>
        <w:spacing w:before="0" w:after="0"/>
        <w:contextualSpacing/>
        <w:rPr>
          <w:rFonts w:eastAsiaTheme="minorHAnsi"/>
        </w:rPr>
      </w:pPr>
      <w:r w:rsidRPr="004A3558">
        <w:rPr>
          <w:rFonts w:eastAsiaTheme="minorHAnsi"/>
        </w:rPr>
        <w:t>COVID-19.</w:t>
      </w:r>
    </w:p>
    <w:p w14:paraId="62B2F5CA" w14:textId="120241A9" w:rsidR="0020693D" w:rsidRDefault="0020693D">
      <w:pPr>
        <w:spacing w:before="0" w:after="0"/>
        <w:rPr>
          <w:rFonts w:eastAsiaTheme="minorHAnsi"/>
        </w:rPr>
      </w:pPr>
      <w:r>
        <w:rPr>
          <w:rFonts w:eastAsiaTheme="minorHAnsi"/>
        </w:rPr>
        <w:br w:type="page"/>
      </w:r>
    </w:p>
    <w:p w14:paraId="7B9DA55E" w14:textId="77777777" w:rsidR="0050416E" w:rsidRDefault="0050416E" w:rsidP="00AF30B3">
      <w:pPr>
        <w:spacing w:before="0" w:after="0"/>
        <w:ind w:left="720" w:right="720" w:firstLine="432"/>
        <w:contextualSpacing/>
        <w:rPr>
          <w:rFonts w:eastAsiaTheme="minorHAnsi"/>
        </w:rPr>
      </w:pPr>
    </w:p>
    <w:p w14:paraId="208FB24A" w14:textId="77777777" w:rsidR="0050416E" w:rsidRDefault="0050416E" w:rsidP="00AF30B3">
      <w:pPr>
        <w:pBdr>
          <w:top w:val="single" w:sz="24" w:space="1" w:color="0070C0"/>
        </w:pBdr>
        <w:spacing w:before="0" w:after="0" w:line="180" w:lineRule="exact"/>
        <w:ind w:left="720" w:right="720" w:firstLine="432"/>
        <w:rPr>
          <w:rFonts w:eastAsiaTheme="minorHAnsi"/>
        </w:rPr>
      </w:pPr>
    </w:p>
    <w:p w14:paraId="1F48DA73" w14:textId="25A62DF8" w:rsidR="002A04AB" w:rsidRDefault="00C21E27" w:rsidP="00AF30B3">
      <w:pPr>
        <w:spacing w:before="0" w:after="0"/>
        <w:ind w:left="720" w:right="720"/>
        <w:contextualSpacing/>
        <w:rPr>
          <w:rFonts w:eastAsiaTheme="minorHAnsi"/>
          <w:i/>
          <w:iCs/>
          <w:color w:val="0070C0"/>
        </w:rPr>
      </w:pPr>
      <w:r w:rsidRPr="0050416E">
        <w:rPr>
          <w:rFonts w:eastAsiaTheme="minorHAnsi"/>
          <w:i/>
          <w:iCs/>
          <w:color w:val="0070C0"/>
        </w:rPr>
        <w:t xml:space="preserve">“Recently receiving an iPad has changed my life! I have been able to write emails, send messages to my sisters, friends and family, and even FaceTime with them, which I have never been able to do before – let alone visit them during the pandemic.  I am able to go online to find information and I also take some typing practices.  The iPad has </w:t>
      </w:r>
      <w:r w:rsidR="00EC3706" w:rsidRPr="0050416E">
        <w:rPr>
          <w:rFonts w:eastAsiaTheme="minorHAnsi"/>
          <w:i/>
          <w:iCs/>
          <w:color w:val="0070C0"/>
        </w:rPr>
        <w:t>completely</w:t>
      </w:r>
      <w:r w:rsidRPr="0050416E">
        <w:rPr>
          <w:rFonts w:eastAsiaTheme="minorHAnsi"/>
          <w:i/>
          <w:iCs/>
          <w:color w:val="0070C0"/>
        </w:rPr>
        <w:t xml:space="preserve"> changed the way I feel spending so much time at home.  Thank you for making such a difference.”</w:t>
      </w:r>
      <w:r w:rsidR="00ED1841">
        <w:rPr>
          <w:rFonts w:eastAsiaTheme="minorHAnsi"/>
          <w:i/>
          <w:iCs/>
          <w:color w:val="0070C0"/>
        </w:rPr>
        <w:t xml:space="preserve">  </w:t>
      </w:r>
      <w:r w:rsidRPr="0050416E">
        <w:rPr>
          <w:rFonts w:eastAsiaTheme="minorHAnsi"/>
          <w:i/>
          <w:iCs/>
          <w:color w:val="0070C0"/>
        </w:rPr>
        <w:t>----</w:t>
      </w:r>
      <w:r w:rsidR="00ED1841">
        <w:rPr>
          <w:rFonts w:eastAsiaTheme="minorHAnsi"/>
          <w:i/>
          <w:iCs/>
          <w:color w:val="0070C0"/>
        </w:rPr>
        <w:t xml:space="preserve">  </w:t>
      </w:r>
      <w:r w:rsidRPr="0050416E">
        <w:rPr>
          <w:rFonts w:eastAsiaTheme="minorHAnsi"/>
          <w:i/>
          <w:iCs/>
          <w:color w:val="0070C0"/>
        </w:rPr>
        <w:t>Rudy</w:t>
      </w:r>
    </w:p>
    <w:p w14:paraId="2244B8EF" w14:textId="41777D58" w:rsidR="0050416E" w:rsidRDefault="0050416E" w:rsidP="00AF30B3">
      <w:pPr>
        <w:pBdr>
          <w:bottom w:val="single" w:sz="24" w:space="1" w:color="0070C0"/>
        </w:pBdr>
        <w:spacing w:before="0" w:after="0" w:line="180" w:lineRule="exact"/>
        <w:ind w:left="720" w:right="720"/>
        <w:rPr>
          <w:rFonts w:eastAsiaTheme="minorHAnsi"/>
          <w:i/>
          <w:iCs/>
          <w:color w:val="0070C0"/>
        </w:rPr>
      </w:pPr>
    </w:p>
    <w:p w14:paraId="3A84F1FC" w14:textId="77777777" w:rsidR="00DF125F" w:rsidRDefault="00DF125F" w:rsidP="001B5E89">
      <w:pPr>
        <w:spacing w:before="0" w:after="0"/>
        <w:contextualSpacing/>
        <w:rPr>
          <w:rFonts w:eastAsiaTheme="minorHAnsi"/>
        </w:rPr>
      </w:pPr>
    </w:p>
    <w:p w14:paraId="04304C7D" w14:textId="18F235E9" w:rsidR="008F5131" w:rsidRPr="004A3558" w:rsidRDefault="008F5131" w:rsidP="00B55FF7">
      <w:pPr>
        <w:pStyle w:val="Heading2"/>
        <w:spacing w:before="0" w:after="0"/>
        <w:contextualSpacing/>
        <w:rPr>
          <w:rFonts w:eastAsiaTheme="minorHAnsi"/>
          <w:color w:val="auto"/>
        </w:rPr>
      </w:pPr>
      <w:r w:rsidRPr="004A3558">
        <w:rPr>
          <w:rFonts w:eastAsiaTheme="minorHAnsi"/>
          <w:color w:val="auto"/>
        </w:rPr>
        <w:t>Methods</w:t>
      </w:r>
    </w:p>
    <w:p w14:paraId="1F0AF155" w14:textId="66D3D6D3" w:rsidR="00413322" w:rsidRPr="004A3558" w:rsidRDefault="00413322" w:rsidP="00B55FF7">
      <w:pPr>
        <w:pBdr>
          <w:bottom w:val="single" w:sz="24" w:space="1" w:color="0070C0"/>
        </w:pBdr>
        <w:spacing w:before="0" w:after="0" w:line="180" w:lineRule="exact"/>
        <w:contextualSpacing/>
        <w:rPr>
          <w:rFonts w:eastAsiaTheme="minorHAnsi"/>
        </w:rPr>
      </w:pPr>
    </w:p>
    <w:p w14:paraId="30FA0183" w14:textId="77777777" w:rsidR="002F748A" w:rsidRDefault="002F748A" w:rsidP="00B55FF7">
      <w:pPr>
        <w:spacing w:before="0" w:after="0"/>
        <w:contextualSpacing/>
        <w:rPr>
          <w:rFonts w:eastAsiaTheme="minorHAnsi"/>
        </w:rPr>
      </w:pPr>
    </w:p>
    <w:p w14:paraId="74C899B5" w14:textId="4EAC56F4" w:rsidR="005462E5" w:rsidRDefault="008F5131" w:rsidP="002F748A">
      <w:pPr>
        <w:spacing w:before="0" w:after="0"/>
        <w:ind w:firstLine="432"/>
        <w:contextualSpacing/>
        <w:rPr>
          <w:rFonts w:eastAsiaTheme="minorHAnsi"/>
        </w:rPr>
      </w:pPr>
      <w:r w:rsidRPr="004A3558">
        <w:rPr>
          <w:rFonts w:eastAsiaTheme="minorHAnsi"/>
        </w:rPr>
        <w:t xml:space="preserve">In the ICC program, the sample for this data analysis consisted of 3,307 eligible participants.  These participants were approved and provided with technology bundles in Illinois.  Thirty-one percent </w:t>
      </w:r>
      <w:r w:rsidR="00E21BE5" w:rsidRPr="004A3558">
        <w:rPr>
          <w:rFonts w:eastAsiaTheme="minorHAnsi"/>
        </w:rPr>
        <w:t xml:space="preserve">(31%) </w:t>
      </w:r>
      <w:r w:rsidRPr="004A3558">
        <w:rPr>
          <w:rFonts w:eastAsiaTheme="minorHAnsi"/>
        </w:rPr>
        <w:t xml:space="preserve">were from the aging program; </w:t>
      </w:r>
      <w:r w:rsidR="00BE75C1">
        <w:rPr>
          <w:rFonts w:eastAsiaTheme="minorHAnsi"/>
        </w:rPr>
        <w:t xml:space="preserve">thirty-seven </w:t>
      </w:r>
      <w:r w:rsidR="00034126">
        <w:rPr>
          <w:rFonts w:eastAsiaTheme="minorHAnsi"/>
        </w:rPr>
        <w:t xml:space="preserve">percent </w:t>
      </w:r>
      <w:r w:rsidR="001712CF">
        <w:rPr>
          <w:rFonts w:eastAsiaTheme="minorHAnsi"/>
        </w:rPr>
        <w:t>(</w:t>
      </w:r>
      <w:r w:rsidR="000275F1" w:rsidRPr="004A3558">
        <w:rPr>
          <w:rFonts w:eastAsiaTheme="minorHAnsi"/>
        </w:rPr>
        <w:t>37</w:t>
      </w:r>
      <w:r w:rsidR="00034126">
        <w:rPr>
          <w:rFonts w:eastAsiaTheme="minorHAnsi"/>
        </w:rPr>
        <w:t>%</w:t>
      </w:r>
      <w:r w:rsidR="001712CF">
        <w:rPr>
          <w:rFonts w:eastAsiaTheme="minorHAnsi"/>
        </w:rPr>
        <w:t>)</w:t>
      </w:r>
      <w:r w:rsidRPr="004A3558">
        <w:rPr>
          <w:rFonts w:eastAsiaTheme="minorHAnsi"/>
        </w:rPr>
        <w:t xml:space="preserve"> were from one disability program, IDHS (DDD); and </w:t>
      </w:r>
      <w:r w:rsidR="00517316">
        <w:rPr>
          <w:rFonts w:eastAsiaTheme="minorHAnsi"/>
        </w:rPr>
        <w:t>thirty-two percent (</w:t>
      </w:r>
      <w:r w:rsidRPr="004A3558">
        <w:rPr>
          <w:rFonts w:eastAsiaTheme="minorHAnsi"/>
        </w:rPr>
        <w:t>3</w:t>
      </w:r>
      <w:r w:rsidR="000275F1" w:rsidRPr="004A3558">
        <w:rPr>
          <w:rFonts w:eastAsiaTheme="minorHAnsi"/>
        </w:rPr>
        <w:t>2</w:t>
      </w:r>
      <w:r w:rsidR="00517316">
        <w:rPr>
          <w:rFonts w:eastAsiaTheme="minorHAnsi"/>
        </w:rPr>
        <w:t xml:space="preserve">%) </w:t>
      </w:r>
      <w:r w:rsidRPr="004A3558">
        <w:rPr>
          <w:rFonts w:eastAsiaTheme="minorHAnsi"/>
        </w:rPr>
        <w:t>were from a second disability program, IDHS (DRS).</w:t>
      </w:r>
    </w:p>
    <w:p w14:paraId="5F01EAAE" w14:textId="77777777" w:rsidR="005462E5" w:rsidRDefault="005462E5" w:rsidP="005462E5">
      <w:pPr>
        <w:spacing w:before="0" w:after="0"/>
        <w:ind w:firstLine="432"/>
        <w:contextualSpacing/>
        <w:rPr>
          <w:rFonts w:eastAsiaTheme="minorHAnsi"/>
        </w:rPr>
      </w:pPr>
    </w:p>
    <w:p w14:paraId="47C44351" w14:textId="4EBDB628" w:rsidR="008F5131" w:rsidRPr="004A3558" w:rsidRDefault="008F5131" w:rsidP="005462E5">
      <w:pPr>
        <w:spacing w:before="0" w:after="0"/>
        <w:ind w:firstLine="432"/>
        <w:contextualSpacing/>
        <w:rPr>
          <w:rFonts w:eastAsiaTheme="minorHAnsi"/>
        </w:rPr>
      </w:pPr>
      <w:r w:rsidRPr="004A3558">
        <w:rPr>
          <w:rFonts w:eastAsiaTheme="minorHAnsi"/>
        </w:rPr>
        <w:t>Baseline data was collected on these participants, including demographic data and a loneliness rating sc</w:t>
      </w:r>
      <w:r w:rsidR="00341B35" w:rsidRPr="004A3558">
        <w:rPr>
          <w:rFonts w:eastAsiaTheme="minorHAnsi"/>
        </w:rPr>
        <w:t>ore</w:t>
      </w:r>
      <w:r w:rsidRPr="004A3558">
        <w:rPr>
          <w:rFonts w:eastAsiaTheme="minorHAnsi"/>
        </w:rPr>
        <w:t xml:space="preserve">.  Follow-up </w:t>
      </w:r>
      <w:r w:rsidR="00341B35" w:rsidRPr="004A3558">
        <w:rPr>
          <w:rFonts w:eastAsiaTheme="minorHAnsi"/>
        </w:rPr>
        <w:t xml:space="preserve">surveys were administered 30 to 60 days after receipt of the technology bundles </w:t>
      </w:r>
      <w:r w:rsidRPr="004A3558">
        <w:rPr>
          <w:rFonts w:eastAsiaTheme="minorHAnsi"/>
        </w:rPr>
        <w:t xml:space="preserve">to </w:t>
      </w:r>
      <w:r w:rsidR="00341B35" w:rsidRPr="004A3558">
        <w:rPr>
          <w:rFonts w:eastAsiaTheme="minorHAnsi"/>
        </w:rPr>
        <w:t>determine if pre and post loneliness scores changed.</w:t>
      </w:r>
      <w:r w:rsidRPr="004A3558">
        <w:rPr>
          <w:rFonts w:eastAsiaTheme="minorHAnsi"/>
        </w:rPr>
        <w:t xml:space="preserve"> Differences in the loneliness rating scores were also examined across the three groups of participants referred from different agencies by tablet use, instruction time, and prior use.  </w:t>
      </w:r>
    </w:p>
    <w:p w14:paraId="340D259A" w14:textId="77777777" w:rsidR="00253D44" w:rsidRDefault="00253D44" w:rsidP="007F3CB6">
      <w:pPr>
        <w:pStyle w:val="Heading2"/>
        <w:spacing w:before="0" w:after="0"/>
        <w:contextualSpacing/>
        <w:rPr>
          <w:rFonts w:eastAsiaTheme="minorHAnsi"/>
          <w:color w:val="auto"/>
        </w:rPr>
      </w:pPr>
    </w:p>
    <w:p w14:paraId="4F574880" w14:textId="0AA3414F" w:rsidR="008F5131" w:rsidRPr="004A3558" w:rsidRDefault="008F5131" w:rsidP="00413322">
      <w:pPr>
        <w:pStyle w:val="Heading2"/>
        <w:spacing w:before="0" w:after="0"/>
        <w:rPr>
          <w:rFonts w:eastAsiaTheme="minorHAnsi"/>
          <w:color w:val="auto"/>
        </w:rPr>
      </w:pPr>
      <w:r w:rsidRPr="004A3558">
        <w:rPr>
          <w:rFonts w:eastAsiaTheme="minorHAnsi"/>
          <w:color w:val="auto"/>
        </w:rPr>
        <w:t>Loneliness Scale</w:t>
      </w:r>
    </w:p>
    <w:p w14:paraId="7E0675AC" w14:textId="0171A236" w:rsidR="00413322" w:rsidRPr="004A3558" w:rsidRDefault="00413322" w:rsidP="00DD1A62">
      <w:pPr>
        <w:pBdr>
          <w:bottom w:val="single" w:sz="24" w:space="1" w:color="0070C0"/>
        </w:pBdr>
        <w:spacing w:before="0" w:after="0" w:line="180" w:lineRule="exact"/>
        <w:rPr>
          <w:rFonts w:eastAsiaTheme="minorHAnsi"/>
        </w:rPr>
      </w:pPr>
    </w:p>
    <w:p w14:paraId="54AD01A2" w14:textId="77777777" w:rsidR="00DD1A62" w:rsidRDefault="00DD1A62" w:rsidP="00DD1A62">
      <w:pPr>
        <w:spacing w:before="0" w:after="240"/>
        <w:contextualSpacing/>
        <w:rPr>
          <w:rFonts w:eastAsiaTheme="minorHAnsi"/>
        </w:rPr>
      </w:pPr>
    </w:p>
    <w:p w14:paraId="14B29544" w14:textId="77777777" w:rsidR="00813F8C" w:rsidRDefault="008F5131" w:rsidP="005D1195">
      <w:pPr>
        <w:spacing w:before="0" w:after="240"/>
        <w:ind w:firstLine="432"/>
        <w:contextualSpacing/>
        <w:rPr>
          <w:rFonts w:eastAsiaTheme="minorHAnsi"/>
        </w:rPr>
      </w:pPr>
      <w:r w:rsidRPr="004A3558">
        <w:rPr>
          <w:rFonts w:eastAsiaTheme="minorHAnsi"/>
        </w:rPr>
        <w:t>The ICC program administered a condensed three-item version of the UCLA Loneliness Rating Scale when a person was first referred to the program to assess levels of loneliness at baseline.  The UCLA Loneliness Rating Scale is a 20-item scale designed to measure a person’s subjective feelings of loneliness as well as feelings of social isolation.  This scale assesses different dimensions of loneliness:  relational connectedness, social connectedness, and self-perceived isolation.  The questions include:</w:t>
      </w:r>
      <w:r w:rsidR="005D1195">
        <w:rPr>
          <w:rFonts w:eastAsiaTheme="minorHAnsi"/>
        </w:rPr>
        <w:t xml:space="preserve"> </w:t>
      </w:r>
      <w:r w:rsidR="00FC1EC1">
        <w:rPr>
          <w:rFonts w:eastAsiaTheme="minorHAnsi"/>
        </w:rPr>
        <w:t xml:space="preserve"> </w:t>
      </w:r>
    </w:p>
    <w:p w14:paraId="18EE033C" w14:textId="730A4019" w:rsidR="00BE4599" w:rsidRPr="005D1195" w:rsidRDefault="005D1195" w:rsidP="00813F8C">
      <w:pPr>
        <w:spacing w:before="0" w:after="240"/>
        <w:contextualSpacing/>
        <w:rPr>
          <w:rFonts w:eastAsiaTheme="minorHAnsi"/>
        </w:rPr>
      </w:pPr>
      <w:r>
        <w:rPr>
          <w:rFonts w:eastAsiaTheme="minorHAnsi"/>
        </w:rPr>
        <w:t xml:space="preserve">1) </w:t>
      </w:r>
      <w:r w:rsidR="00B75502" w:rsidRPr="005D1195">
        <w:rPr>
          <w:rFonts w:eastAsiaTheme="minorHAnsi"/>
        </w:rPr>
        <w:t>H</w:t>
      </w:r>
      <w:r w:rsidR="008F5131" w:rsidRPr="005D1195">
        <w:rPr>
          <w:rFonts w:eastAsiaTheme="minorHAnsi"/>
        </w:rPr>
        <w:t>ow often do you feel that you lack companionship? 2</w:t>
      </w:r>
      <w:r w:rsidR="00B75502" w:rsidRPr="005D1195">
        <w:rPr>
          <w:rFonts w:eastAsiaTheme="minorHAnsi"/>
        </w:rPr>
        <w:t>)</w:t>
      </w:r>
      <w:r w:rsidR="008F5131" w:rsidRPr="005D1195">
        <w:rPr>
          <w:rFonts w:eastAsiaTheme="minorHAnsi"/>
        </w:rPr>
        <w:t xml:space="preserve"> </w:t>
      </w:r>
      <w:r w:rsidR="00B75502" w:rsidRPr="005D1195">
        <w:rPr>
          <w:rFonts w:eastAsiaTheme="minorHAnsi"/>
        </w:rPr>
        <w:t>H</w:t>
      </w:r>
      <w:r w:rsidR="008F5131" w:rsidRPr="005D1195">
        <w:rPr>
          <w:rFonts w:eastAsiaTheme="minorHAnsi"/>
        </w:rPr>
        <w:t xml:space="preserve">ow often do you feel left out? </w:t>
      </w:r>
      <w:r w:rsidR="004B4BC5">
        <w:rPr>
          <w:rFonts w:eastAsiaTheme="minorHAnsi"/>
        </w:rPr>
        <w:t>a</w:t>
      </w:r>
      <w:r w:rsidR="008F5131" w:rsidRPr="005D1195">
        <w:rPr>
          <w:rFonts w:eastAsiaTheme="minorHAnsi"/>
        </w:rPr>
        <w:t>nd 3</w:t>
      </w:r>
      <w:r w:rsidR="00B75502" w:rsidRPr="005D1195">
        <w:rPr>
          <w:rFonts w:eastAsiaTheme="minorHAnsi"/>
        </w:rPr>
        <w:t>)</w:t>
      </w:r>
      <w:r w:rsidR="008F5131" w:rsidRPr="005D1195">
        <w:rPr>
          <w:rFonts w:eastAsiaTheme="minorHAnsi"/>
        </w:rPr>
        <w:t xml:space="preserve"> </w:t>
      </w:r>
      <w:r w:rsidR="00B75502" w:rsidRPr="005D1195">
        <w:rPr>
          <w:rFonts w:eastAsiaTheme="minorHAnsi"/>
        </w:rPr>
        <w:t>H</w:t>
      </w:r>
      <w:r w:rsidR="008F5131" w:rsidRPr="005D1195">
        <w:rPr>
          <w:rFonts w:eastAsiaTheme="minorHAnsi"/>
        </w:rPr>
        <w:t>ow often do you feel isolated from others?  The three response categories are: hardly ever</w:t>
      </w:r>
      <w:r w:rsidR="00A5286A" w:rsidRPr="005D1195">
        <w:rPr>
          <w:rFonts w:eastAsiaTheme="minorHAnsi"/>
        </w:rPr>
        <w:t>;</w:t>
      </w:r>
      <w:r w:rsidR="008F5131" w:rsidRPr="005D1195">
        <w:rPr>
          <w:rFonts w:eastAsiaTheme="minorHAnsi"/>
        </w:rPr>
        <w:t xml:space="preserve"> some of the time</w:t>
      </w:r>
      <w:r w:rsidR="00A5286A" w:rsidRPr="005D1195">
        <w:rPr>
          <w:rFonts w:eastAsiaTheme="minorHAnsi"/>
        </w:rPr>
        <w:t>;</w:t>
      </w:r>
      <w:r w:rsidR="008F5131" w:rsidRPr="005D1195">
        <w:rPr>
          <w:rFonts w:eastAsiaTheme="minorHAnsi"/>
        </w:rPr>
        <w:t xml:space="preserve"> and often.  The scores for each individual question can be added together to provide a possible range of scores from 3 </w:t>
      </w:r>
      <w:r w:rsidR="000275F1" w:rsidRPr="005D1195">
        <w:rPr>
          <w:rFonts w:eastAsiaTheme="minorHAnsi"/>
        </w:rPr>
        <w:t>to</w:t>
      </w:r>
      <w:r w:rsidR="008F5131" w:rsidRPr="005D1195">
        <w:rPr>
          <w:rFonts w:eastAsiaTheme="minorHAnsi"/>
        </w:rPr>
        <w:t xml:space="preserve"> 9.  Scores of 3 </w:t>
      </w:r>
      <w:r w:rsidR="000275F1" w:rsidRPr="005D1195">
        <w:rPr>
          <w:rFonts w:eastAsiaTheme="minorHAnsi"/>
        </w:rPr>
        <w:t>to</w:t>
      </w:r>
      <w:r w:rsidR="008F5131" w:rsidRPr="005D1195">
        <w:rPr>
          <w:rFonts w:eastAsiaTheme="minorHAnsi"/>
        </w:rPr>
        <w:t xml:space="preserve"> 5 indicate that an individual is “not lonely,” and scores of 6 </w:t>
      </w:r>
      <w:r w:rsidR="000275F1" w:rsidRPr="005D1195">
        <w:rPr>
          <w:rFonts w:eastAsiaTheme="minorHAnsi"/>
        </w:rPr>
        <w:t>to</w:t>
      </w:r>
      <w:r w:rsidR="008F5131" w:rsidRPr="005D1195">
        <w:rPr>
          <w:rFonts w:eastAsiaTheme="minorHAnsi"/>
        </w:rPr>
        <w:t xml:space="preserve"> 9 mean that an individual is “lonely” (</w:t>
      </w:r>
      <w:r w:rsidR="005C32DA" w:rsidRPr="005D1195">
        <w:rPr>
          <w:rFonts w:eastAsiaTheme="minorHAnsi"/>
        </w:rPr>
        <w:t>Hughes, Waite, Hawkley, &amp; Cacioppo</w:t>
      </w:r>
      <w:r w:rsidR="008F5131" w:rsidRPr="005D1195">
        <w:rPr>
          <w:rFonts w:eastAsiaTheme="minorHAnsi"/>
        </w:rPr>
        <w:t>, 2004).</w:t>
      </w:r>
      <w:r w:rsidR="00BE4599" w:rsidRPr="005D1195">
        <w:rPr>
          <w:rFonts w:eastAsiaTheme="minorHAnsi"/>
        </w:rPr>
        <w:br w:type="page"/>
      </w:r>
    </w:p>
    <w:p w14:paraId="2C28F96F" w14:textId="48D11A62" w:rsidR="008F5131" w:rsidRPr="004A3558" w:rsidRDefault="008F5131" w:rsidP="00413322">
      <w:pPr>
        <w:pStyle w:val="Heading2"/>
        <w:spacing w:before="0" w:after="0"/>
        <w:rPr>
          <w:rFonts w:eastAsiaTheme="minorHAnsi"/>
          <w:color w:val="auto"/>
        </w:rPr>
      </w:pPr>
      <w:r w:rsidRPr="004A3558">
        <w:rPr>
          <w:rFonts w:eastAsiaTheme="minorHAnsi"/>
          <w:color w:val="auto"/>
        </w:rPr>
        <w:lastRenderedPageBreak/>
        <w:t>Results</w:t>
      </w:r>
    </w:p>
    <w:p w14:paraId="778D602A" w14:textId="46DE6036" w:rsidR="00413322" w:rsidRPr="004A3558" w:rsidRDefault="00413322" w:rsidP="00B7545B">
      <w:pPr>
        <w:pBdr>
          <w:bottom w:val="single" w:sz="24" w:space="1" w:color="0070C0"/>
        </w:pBdr>
        <w:spacing w:before="0" w:after="0" w:line="180" w:lineRule="exact"/>
        <w:contextualSpacing/>
        <w:rPr>
          <w:rFonts w:eastAsiaTheme="minorHAnsi"/>
        </w:rPr>
      </w:pPr>
    </w:p>
    <w:p w14:paraId="60673206" w14:textId="77777777" w:rsidR="00B7545B" w:rsidRDefault="00B7545B" w:rsidP="00B7545B">
      <w:pPr>
        <w:spacing w:before="0" w:after="0"/>
        <w:contextualSpacing/>
        <w:rPr>
          <w:rFonts w:eastAsiaTheme="minorHAnsi"/>
        </w:rPr>
      </w:pPr>
    </w:p>
    <w:p w14:paraId="1C5BA9C6" w14:textId="7FF43710" w:rsidR="00403730" w:rsidRDefault="009B2BD6" w:rsidP="009A46D8">
      <w:pPr>
        <w:spacing w:before="0" w:after="0"/>
        <w:ind w:firstLine="432"/>
        <w:contextualSpacing/>
        <w:rPr>
          <w:rFonts w:eastAsiaTheme="minorHAnsi"/>
        </w:rPr>
      </w:pPr>
      <w:r>
        <w:rPr>
          <w:rFonts w:eastAsiaTheme="minorHAnsi"/>
        </w:rPr>
        <w:t>Three thousand three hundred and seven (</w:t>
      </w:r>
      <w:r w:rsidR="008F5131" w:rsidRPr="004A3558">
        <w:rPr>
          <w:rFonts w:eastAsiaTheme="minorHAnsi"/>
        </w:rPr>
        <w:t>3,307</w:t>
      </w:r>
      <w:r>
        <w:rPr>
          <w:rFonts w:eastAsiaTheme="minorHAnsi"/>
        </w:rPr>
        <w:t>)</w:t>
      </w:r>
      <w:r w:rsidR="008F5131" w:rsidRPr="004A3558">
        <w:rPr>
          <w:rFonts w:eastAsiaTheme="minorHAnsi"/>
        </w:rPr>
        <w:t xml:space="preserve"> ICC participants received the technology bundles.  Of these, 2,078 were administered pre- and post-loneliness rating scales.  A lower score on the loneliness rating scale means that a person is less lonely.  </w:t>
      </w:r>
      <w:r w:rsidR="008F5131" w:rsidRPr="004A3558">
        <w:rPr>
          <w:rFonts w:eastAsiaTheme="minorHAnsi"/>
          <w:b/>
          <w:bCs/>
        </w:rPr>
        <w:t>Figure 1</w:t>
      </w:r>
      <w:r w:rsidR="008F5131" w:rsidRPr="004A3558">
        <w:rPr>
          <w:rFonts w:eastAsiaTheme="minorHAnsi"/>
        </w:rPr>
        <w:t xml:space="preserve"> shows an overall decrease in loneliness from 7.1 to 5.2 with an overall mean change of 1.9.  In addition, more than half of the total participants (63</w:t>
      </w:r>
      <w:r w:rsidR="00B75502" w:rsidRPr="004A3558">
        <w:rPr>
          <w:rFonts w:eastAsiaTheme="minorHAnsi"/>
        </w:rPr>
        <w:t xml:space="preserve"> percent</w:t>
      </w:r>
      <w:r w:rsidR="008F5131" w:rsidRPr="004A3558">
        <w:rPr>
          <w:rFonts w:eastAsiaTheme="minorHAnsi"/>
        </w:rPr>
        <w:t xml:space="preserve">) reported a decrease in loneliness after receiving the technology bundles.  </w:t>
      </w:r>
    </w:p>
    <w:p w14:paraId="75A6C0C0" w14:textId="77777777" w:rsidR="00E5059D" w:rsidRDefault="00E5059D" w:rsidP="00E5059D">
      <w:pPr>
        <w:spacing w:before="0" w:after="0"/>
        <w:ind w:firstLine="432"/>
        <w:contextualSpacing/>
        <w:rPr>
          <w:rFonts w:eastAsiaTheme="minorHAnsi"/>
        </w:rPr>
      </w:pPr>
    </w:p>
    <w:p w14:paraId="038CCFE0" w14:textId="77777777" w:rsidR="00E5059D" w:rsidRDefault="00E5059D" w:rsidP="005A29BA">
      <w:pPr>
        <w:pBdr>
          <w:top w:val="single" w:sz="24" w:space="1" w:color="0070C0"/>
        </w:pBdr>
        <w:spacing w:before="0" w:after="0" w:line="180" w:lineRule="exact"/>
        <w:ind w:left="720" w:right="720" w:firstLine="432"/>
        <w:rPr>
          <w:rFonts w:eastAsiaTheme="minorHAnsi"/>
        </w:rPr>
      </w:pPr>
    </w:p>
    <w:p w14:paraId="4C0F67AA" w14:textId="03A11775" w:rsidR="00E5059D" w:rsidRDefault="00E5059D" w:rsidP="005A29BA">
      <w:pPr>
        <w:spacing w:before="0" w:after="0"/>
        <w:ind w:left="720" w:right="720"/>
        <w:contextualSpacing/>
        <w:rPr>
          <w:rFonts w:eastAsiaTheme="minorHAnsi"/>
          <w:i/>
          <w:iCs/>
          <w:color w:val="0070C0"/>
        </w:rPr>
      </w:pPr>
      <w:r w:rsidRPr="0050416E">
        <w:rPr>
          <w:rFonts w:eastAsiaTheme="minorHAnsi"/>
          <w:i/>
          <w:iCs/>
          <w:color w:val="0070C0"/>
        </w:rPr>
        <w:t>“</w:t>
      </w:r>
      <w:r w:rsidR="00BE156D">
        <w:rPr>
          <w:rFonts w:eastAsiaTheme="minorHAnsi"/>
          <w:i/>
          <w:iCs/>
          <w:color w:val="0070C0"/>
        </w:rPr>
        <w:t>This past year has been so very lonely for me, so I cannot thank the Illinois Care Connections Program enough for the iPad.  Among the many features it offers, I have been able to Face Time with my daughter and granddaughter who live in Canada! It has been well over a year since I have had the opportunity to see them in person, and there is no end in sight to the US-Canada border reopening. Being able to use this new technology and seeing their faces has truly been a gift from God.</w:t>
      </w:r>
      <w:r w:rsidRPr="0050416E">
        <w:rPr>
          <w:rFonts w:eastAsiaTheme="minorHAnsi"/>
          <w:i/>
          <w:iCs/>
          <w:color w:val="0070C0"/>
        </w:rPr>
        <w:t>”</w:t>
      </w:r>
      <w:r w:rsidR="00F839BD">
        <w:rPr>
          <w:rFonts w:eastAsiaTheme="minorHAnsi"/>
          <w:i/>
          <w:iCs/>
          <w:color w:val="0070C0"/>
        </w:rPr>
        <w:t xml:space="preserve">  </w:t>
      </w:r>
      <w:r w:rsidRPr="0050416E">
        <w:rPr>
          <w:rFonts w:eastAsiaTheme="minorHAnsi"/>
          <w:i/>
          <w:iCs/>
          <w:color w:val="0070C0"/>
        </w:rPr>
        <w:t xml:space="preserve">---- </w:t>
      </w:r>
      <w:r w:rsidR="006613CC">
        <w:rPr>
          <w:rFonts w:eastAsiaTheme="minorHAnsi"/>
          <w:i/>
          <w:iCs/>
          <w:color w:val="0070C0"/>
        </w:rPr>
        <w:t xml:space="preserve"> </w:t>
      </w:r>
      <w:r w:rsidR="00BE156D">
        <w:rPr>
          <w:rFonts w:eastAsiaTheme="minorHAnsi"/>
          <w:i/>
          <w:iCs/>
          <w:color w:val="0070C0"/>
        </w:rPr>
        <w:t>Laura</w:t>
      </w:r>
    </w:p>
    <w:p w14:paraId="0608D3CE" w14:textId="77777777" w:rsidR="00E5059D" w:rsidRDefault="00E5059D" w:rsidP="005A29BA">
      <w:pPr>
        <w:pBdr>
          <w:bottom w:val="single" w:sz="24" w:space="1" w:color="0070C0"/>
        </w:pBdr>
        <w:spacing w:before="0" w:after="0" w:line="180" w:lineRule="exact"/>
        <w:ind w:left="720" w:right="720"/>
        <w:rPr>
          <w:rFonts w:eastAsiaTheme="minorHAnsi"/>
          <w:i/>
          <w:iCs/>
          <w:color w:val="0070C0"/>
        </w:rPr>
      </w:pPr>
    </w:p>
    <w:p w14:paraId="1BB240A8" w14:textId="77777777" w:rsidR="00E5059D" w:rsidRDefault="00E5059D" w:rsidP="00E5059D">
      <w:pPr>
        <w:spacing w:before="0" w:after="0"/>
        <w:contextualSpacing/>
        <w:rPr>
          <w:rFonts w:eastAsiaTheme="minorHAnsi"/>
        </w:rPr>
      </w:pPr>
    </w:p>
    <w:p w14:paraId="76C2FF0A" w14:textId="08A47C05" w:rsidR="00592B32" w:rsidRDefault="00B53E3A" w:rsidP="00592B32">
      <w:pPr>
        <w:pStyle w:val="Caption"/>
        <w:rPr>
          <w:rFonts w:eastAsiaTheme="minorHAnsi"/>
        </w:rPr>
      </w:pPr>
      <w:r w:rsidRPr="004A3558">
        <w:rPr>
          <w:rFonts w:eastAsiaTheme="minorHAnsi"/>
        </w:rPr>
        <w:t>Figure 1. Overall Pre-Post Reduction in Loneliness</w:t>
      </w:r>
      <w:r w:rsidR="00592B32">
        <w:rPr>
          <w:noProof/>
        </w:rPr>
        <w:drawing>
          <wp:inline distT="0" distB="0" distL="0" distR="0" wp14:anchorId="6BE77D52" wp14:editId="4FB3171B">
            <wp:extent cx="5106035" cy="2759223"/>
            <wp:effectExtent l="0" t="0" r="0" b="3175"/>
            <wp:docPr id="1" name="Picture 1" descr="Figure 1, Overall Pre-Post Reduction in Loneliness. Scale of 1 to 8. 7.1 for Mean Pre-Bundle Loneliness Rating and 5.2 for Mean Post-Bundle Loneliness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Overall Pre-Post Reduction in Loneliness. Scale of 1 to 8. 7.1 for Mean Pre-Bundle Loneliness Rating and 5.2 for Mean Post-Bundle Loneliness Rating."/>
                    <pic:cNvPicPr/>
                  </pic:nvPicPr>
                  <pic:blipFill>
                    <a:blip r:embed="rId13"/>
                    <a:stretch>
                      <a:fillRect/>
                    </a:stretch>
                  </pic:blipFill>
                  <pic:spPr>
                    <a:xfrm>
                      <a:off x="0" y="0"/>
                      <a:ext cx="5121975" cy="2767836"/>
                    </a:xfrm>
                    <a:prstGeom prst="rect">
                      <a:avLst/>
                    </a:prstGeom>
                  </pic:spPr>
                </pic:pic>
              </a:graphicData>
            </a:graphic>
          </wp:inline>
        </w:drawing>
      </w:r>
    </w:p>
    <w:p w14:paraId="37F59344" w14:textId="77777777" w:rsidR="00592B32" w:rsidRDefault="00592B32" w:rsidP="00323633">
      <w:pPr>
        <w:spacing w:before="0" w:after="0"/>
        <w:ind w:firstLine="432"/>
        <w:contextualSpacing/>
        <w:rPr>
          <w:rFonts w:eastAsiaTheme="minorHAnsi"/>
        </w:rPr>
      </w:pPr>
    </w:p>
    <w:p w14:paraId="068570EF" w14:textId="2BD22581" w:rsidR="008F5131" w:rsidRPr="004A3558" w:rsidRDefault="00957117" w:rsidP="00A5526E">
      <w:pPr>
        <w:spacing w:before="0" w:after="240"/>
        <w:ind w:firstLine="432"/>
        <w:contextualSpacing/>
        <w:rPr>
          <w:rFonts w:eastAsiaTheme="minorHAnsi"/>
        </w:rPr>
      </w:pPr>
      <w:r w:rsidRPr="004A3558">
        <w:rPr>
          <w:rFonts w:eastAsiaTheme="minorHAnsi"/>
        </w:rPr>
        <w:t>D</w:t>
      </w:r>
      <w:r w:rsidR="008F5131" w:rsidRPr="004A3558">
        <w:rPr>
          <w:rFonts w:eastAsiaTheme="minorHAnsi"/>
        </w:rPr>
        <w:t>ifferences in loneliness were also detected across the referral groups</w:t>
      </w:r>
      <w:r w:rsidR="00285B93" w:rsidRPr="004A3558">
        <w:rPr>
          <w:rFonts w:eastAsiaTheme="minorHAnsi"/>
        </w:rPr>
        <w:t xml:space="preserve">. </w:t>
      </w:r>
      <w:r w:rsidR="008F5131" w:rsidRPr="004A3558">
        <w:rPr>
          <w:rFonts w:eastAsiaTheme="minorHAnsi"/>
          <w:b/>
          <w:bCs/>
        </w:rPr>
        <w:t>Figure 2</w:t>
      </w:r>
      <w:r w:rsidR="008F5131" w:rsidRPr="004A3558">
        <w:rPr>
          <w:rFonts w:eastAsiaTheme="minorHAnsi"/>
        </w:rPr>
        <w:t xml:space="preserve"> shows the pre-post reduction in loneliness scores across the ICC groups.  For DDD participants, loneliness scores decreased from 7.4 to 4.7 with improvement of close to </w:t>
      </w:r>
      <w:r w:rsidR="000275F1" w:rsidRPr="004A3558">
        <w:rPr>
          <w:rFonts w:eastAsiaTheme="minorHAnsi"/>
        </w:rPr>
        <w:t>three</w:t>
      </w:r>
      <w:r w:rsidR="008F5131" w:rsidRPr="004A3558">
        <w:rPr>
          <w:rFonts w:eastAsiaTheme="minorHAnsi"/>
        </w:rPr>
        <w:t xml:space="preserve"> points, with </w:t>
      </w:r>
      <w:r w:rsidR="00C76FB2">
        <w:rPr>
          <w:rFonts w:eastAsiaTheme="minorHAnsi"/>
        </w:rPr>
        <w:t>eighty-one percent (</w:t>
      </w:r>
      <w:r w:rsidR="008F5131" w:rsidRPr="004A3558">
        <w:rPr>
          <w:rFonts w:eastAsiaTheme="minorHAnsi"/>
        </w:rPr>
        <w:t>81</w:t>
      </w:r>
      <w:r w:rsidR="00C76FB2">
        <w:rPr>
          <w:rFonts w:eastAsiaTheme="minorHAnsi"/>
        </w:rPr>
        <w:t xml:space="preserve">%) </w:t>
      </w:r>
      <w:r w:rsidR="008F5131" w:rsidRPr="004A3558">
        <w:rPr>
          <w:rFonts w:eastAsiaTheme="minorHAnsi"/>
        </w:rPr>
        <w:t xml:space="preserve">rating their loneliness less post intervention with the tablet bundle.  For DRS participants, there was also a reduction from 7.4 to 5.4, an improvement of </w:t>
      </w:r>
      <w:r w:rsidR="000275F1" w:rsidRPr="004A3558">
        <w:rPr>
          <w:rFonts w:eastAsiaTheme="minorHAnsi"/>
        </w:rPr>
        <w:t>two</w:t>
      </w:r>
      <w:r w:rsidR="008F5131" w:rsidRPr="004A3558">
        <w:rPr>
          <w:rFonts w:eastAsiaTheme="minorHAnsi"/>
        </w:rPr>
        <w:t xml:space="preserve"> points with </w:t>
      </w:r>
      <w:r w:rsidR="00973F4E">
        <w:rPr>
          <w:rFonts w:eastAsiaTheme="minorHAnsi"/>
        </w:rPr>
        <w:t xml:space="preserve">seventy </w:t>
      </w:r>
      <w:r w:rsidR="000275F1" w:rsidRPr="004A3558">
        <w:rPr>
          <w:rFonts w:eastAsiaTheme="minorHAnsi"/>
        </w:rPr>
        <w:t>percent</w:t>
      </w:r>
      <w:r w:rsidR="008F5131" w:rsidRPr="004A3558">
        <w:rPr>
          <w:rFonts w:eastAsiaTheme="minorHAnsi"/>
        </w:rPr>
        <w:t xml:space="preserve"> </w:t>
      </w:r>
      <w:r w:rsidR="00973F4E">
        <w:rPr>
          <w:rFonts w:eastAsiaTheme="minorHAnsi"/>
        </w:rPr>
        <w:t xml:space="preserve">(70%) </w:t>
      </w:r>
      <w:r w:rsidR="008F5131" w:rsidRPr="004A3558">
        <w:rPr>
          <w:rFonts w:eastAsiaTheme="minorHAnsi"/>
        </w:rPr>
        <w:t xml:space="preserve">rating their loneliness less post intervention with the tablet bundle.  </w:t>
      </w:r>
      <w:r w:rsidR="00654978" w:rsidRPr="004A3558">
        <w:rPr>
          <w:rFonts w:eastAsiaTheme="minorHAnsi"/>
        </w:rPr>
        <w:t>Among A</w:t>
      </w:r>
      <w:r w:rsidR="008F5131" w:rsidRPr="004A3558">
        <w:rPr>
          <w:rFonts w:eastAsiaTheme="minorHAnsi"/>
        </w:rPr>
        <w:t>ging recipients, there was also a decrease from 6.6 to 5.8, an improvement of less than one point with</w:t>
      </w:r>
      <w:r w:rsidR="00936507">
        <w:rPr>
          <w:rFonts w:eastAsiaTheme="minorHAnsi"/>
        </w:rPr>
        <w:t xml:space="preserve"> thirty-seven percent (</w:t>
      </w:r>
      <w:r w:rsidR="008F5131" w:rsidRPr="004A3558">
        <w:rPr>
          <w:rFonts w:eastAsiaTheme="minorHAnsi"/>
        </w:rPr>
        <w:t>37</w:t>
      </w:r>
      <w:r w:rsidR="00936507">
        <w:rPr>
          <w:rFonts w:eastAsiaTheme="minorHAnsi"/>
        </w:rPr>
        <w:t xml:space="preserve">%) </w:t>
      </w:r>
      <w:r w:rsidR="008F5131" w:rsidRPr="004A3558">
        <w:rPr>
          <w:rFonts w:eastAsiaTheme="minorHAnsi"/>
        </w:rPr>
        <w:t>rating their loneliness less post</w:t>
      </w:r>
      <w:r w:rsidR="000275F1" w:rsidRPr="004A3558">
        <w:rPr>
          <w:rFonts w:eastAsiaTheme="minorHAnsi"/>
        </w:rPr>
        <w:t>-</w:t>
      </w:r>
      <w:r w:rsidR="008F5131" w:rsidRPr="004A3558">
        <w:rPr>
          <w:rFonts w:eastAsiaTheme="minorHAnsi"/>
        </w:rPr>
        <w:t>intervention with the tablet bundle.</w:t>
      </w:r>
    </w:p>
    <w:p w14:paraId="196856FE" w14:textId="77777777" w:rsidR="005E712B" w:rsidRDefault="005E712B">
      <w:pPr>
        <w:spacing w:before="0" w:after="0"/>
        <w:rPr>
          <w:rFonts w:ascii="Arial" w:eastAsiaTheme="minorHAnsi" w:hAnsi="Arial"/>
          <w:b/>
          <w:color w:val="000000"/>
        </w:rPr>
      </w:pPr>
      <w:r>
        <w:rPr>
          <w:rFonts w:eastAsiaTheme="minorHAnsi"/>
        </w:rPr>
        <w:br w:type="page"/>
      </w:r>
    </w:p>
    <w:p w14:paraId="6359D8EC" w14:textId="77777777" w:rsidR="00350E5C" w:rsidRDefault="00B53E3A" w:rsidP="009C4F17">
      <w:pPr>
        <w:pStyle w:val="Caption"/>
        <w:rPr>
          <w:rFonts w:eastAsiaTheme="minorHAnsi"/>
        </w:rPr>
      </w:pPr>
      <w:r w:rsidRPr="004A3558">
        <w:rPr>
          <w:rFonts w:eastAsiaTheme="minorHAnsi"/>
        </w:rPr>
        <w:lastRenderedPageBreak/>
        <w:t>Figure 2. Pre-Post Reduction in Loneliness across ICC Referral Groups</w:t>
      </w:r>
    </w:p>
    <w:p w14:paraId="0F63C0EC" w14:textId="1CCE2DF2" w:rsidR="00AC3C37" w:rsidRDefault="00954DF7" w:rsidP="009C4F17">
      <w:pPr>
        <w:pStyle w:val="Caption"/>
        <w:rPr>
          <w:rFonts w:eastAsiaTheme="minorHAnsi"/>
          <w:b w:val="0"/>
          <w:bCs/>
        </w:rPr>
      </w:pPr>
      <w:r>
        <w:rPr>
          <w:noProof/>
        </w:rPr>
        <w:drawing>
          <wp:inline distT="0" distB="0" distL="0" distR="0" wp14:anchorId="2F6B5AAD" wp14:editId="7B3B0265">
            <wp:extent cx="5943600" cy="3092450"/>
            <wp:effectExtent l="0" t="0" r="0" b="0"/>
            <wp:docPr id="3" name="Picture 3" descr="Figure 2 showing the pre-Post Reduction in Loneliness across ICC Referral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showing the pre-Post Reduction in Loneliness across ICC Referral Group.  "/>
                    <pic:cNvPicPr/>
                  </pic:nvPicPr>
                  <pic:blipFill rotWithShape="1">
                    <a:blip r:embed="rId14"/>
                    <a:srcRect t="6571" b="9217"/>
                    <a:stretch/>
                  </pic:blipFill>
                  <pic:spPr bwMode="auto">
                    <a:xfrm>
                      <a:off x="0" y="0"/>
                      <a:ext cx="5943600" cy="3092450"/>
                    </a:xfrm>
                    <a:prstGeom prst="rect">
                      <a:avLst/>
                    </a:prstGeom>
                    <a:ln>
                      <a:noFill/>
                    </a:ln>
                    <a:extLst>
                      <a:ext uri="{53640926-AAD7-44D8-BBD7-CCE9431645EC}">
                        <a14:shadowObscured xmlns:a14="http://schemas.microsoft.com/office/drawing/2010/main"/>
                      </a:ext>
                    </a:extLst>
                  </pic:spPr>
                </pic:pic>
              </a:graphicData>
            </a:graphic>
          </wp:inline>
        </w:drawing>
      </w:r>
    </w:p>
    <w:p w14:paraId="2CC55AE2" w14:textId="77777777" w:rsidR="00327D1A" w:rsidRPr="00327D1A" w:rsidRDefault="00327D1A" w:rsidP="00FF7888">
      <w:pPr>
        <w:spacing w:before="0" w:after="0"/>
        <w:contextualSpacing/>
        <w:rPr>
          <w:rFonts w:eastAsiaTheme="minorHAnsi"/>
        </w:rPr>
      </w:pPr>
    </w:p>
    <w:p w14:paraId="2C6B03B7" w14:textId="35B5B882" w:rsidR="00BB5CA2" w:rsidRDefault="008F5131" w:rsidP="007B4DAA">
      <w:pPr>
        <w:spacing w:before="0" w:after="0"/>
        <w:ind w:firstLine="432"/>
        <w:contextualSpacing/>
        <w:rPr>
          <w:rFonts w:eastAsiaTheme="minorHAnsi"/>
        </w:rPr>
      </w:pPr>
      <w:r w:rsidRPr="004A3558">
        <w:rPr>
          <w:rFonts w:eastAsiaTheme="minorHAnsi"/>
          <w:b/>
          <w:bCs/>
        </w:rPr>
        <w:t>Figure 3</w:t>
      </w:r>
      <w:r w:rsidRPr="004A3558">
        <w:rPr>
          <w:rFonts w:eastAsiaTheme="minorHAnsi"/>
        </w:rPr>
        <w:t xml:space="preserve"> shows the pre- and post-mean loneliness scores by age group for the overall sample.  As shown, there was a decrease in the mean for loneliness from pre- to post-test for all age groups.  In addition, the mean for loneliness in the overall sample decreased from 6.69 at pre-test to 6.11 at post-test.  The 2</w:t>
      </w:r>
      <w:r w:rsidR="007D664D" w:rsidRPr="004A3558">
        <w:rPr>
          <w:rFonts w:eastAsiaTheme="minorHAnsi"/>
        </w:rPr>
        <w:t>0</w:t>
      </w:r>
      <w:r w:rsidRPr="004A3558">
        <w:rPr>
          <w:rFonts w:eastAsiaTheme="minorHAnsi"/>
        </w:rPr>
        <w:t xml:space="preserve"> or younger age group experienced the greatest pre- and post-mean change in loneliness of all the age groups. </w:t>
      </w:r>
    </w:p>
    <w:p w14:paraId="473C98EB" w14:textId="77777777" w:rsidR="007B4DAA" w:rsidRDefault="007B4DAA" w:rsidP="007B4DAA">
      <w:pPr>
        <w:spacing w:before="0" w:after="0"/>
        <w:ind w:firstLine="432"/>
        <w:contextualSpacing/>
        <w:rPr>
          <w:rFonts w:ascii="Arial" w:eastAsiaTheme="minorHAnsi" w:hAnsi="Arial" w:cs="Arial"/>
          <w:b/>
          <w:bCs/>
        </w:rPr>
      </w:pPr>
    </w:p>
    <w:p w14:paraId="387CAE5E" w14:textId="1C01309E" w:rsidR="008F5131" w:rsidRPr="004A3558" w:rsidRDefault="00B53E3A" w:rsidP="00CE0FC8">
      <w:pPr>
        <w:spacing w:before="0" w:after="0"/>
        <w:ind w:firstLine="432"/>
        <w:contextualSpacing/>
        <w:jc w:val="center"/>
        <w:rPr>
          <w:rFonts w:cstheme="minorHAnsi"/>
          <w:b/>
          <w:bCs/>
          <w:i/>
          <w:iCs/>
        </w:rPr>
      </w:pPr>
      <w:r w:rsidRPr="00CD64C2">
        <w:rPr>
          <w:rFonts w:ascii="Arial" w:eastAsiaTheme="minorHAnsi" w:hAnsi="Arial" w:cs="Arial"/>
          <w:b/>
          <w:bCs/>
        </w:rPr>
        <w:t>Figure 3. Pre- and Post-Mean Reduction in Loneliness across Age Groups</w:t>
      </w:r>
    </w:p>
    <w:p w14:paraId="78A3ADCF" w14:textId="29B4E6A6" w:rsidR="00743DF8" w:rsidRDefault="00BB5CA2">
      <w:pPr>
        <w:spacing w:before="0" w:after="0"/>
        <w:rPr>
          <w:rFonts w:eastAsiaTheme="minorHAnsi"/>
        </w:rPr>
      </w:pPr>
      <w:r>
        <w:rPr>
          <w:noProof/>
        </w:rPr>
        <w:drawing>
          <wp:inline distT="0" distB="0" distL="0" distR="0" wp14:anchorId="0C578B96" wp14:editId="537BBA70">
            <wp:extent cx="6191250" cy="3302000"/>
            <wp:effectExtent l="0" t="0" r="0" b="0"/>
            <wp:docPr id="2" name="Picture 2" descr="Figure 3 shows the Pre and Post Mean Reduction in Loneliness Across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3 shows the Pre and Post Mean Reduction in Loneliness Across Age Groups."/>
                    <pic:cNvPicPr/>
                  </pic:nvPicPr>
                  <pic:blipFill rotWithShape="1">
                    <a:blip r:embed="rId15"/>
                    <a:srcRect b="6814"/>
                    <a:stretch/>
                  </pic:blipFill>
                  <pic:spPr bwMode="auto">
                    <a:xfrm>
                      <a:off x="0" y="0"/>
                      <a:ext cx="6192372" cy="3302598"/>
                    </a:xfrm>
                    <a:prstGeom prst="rect">
                      <a:avLst/>
                    </a:prstGeom>
                    <a:ln>
                      <a:noFill/>
                    </a:ln>
                    <a:extLst>
                      <a:ext uri="{53640926-AAD7-44D8-BBD7-CCE9431645EC}">
                        <a14:shadowObscured xmlns:a14="http://schemas.microsoft.com/office/drawing/2010/main"/>
                      </a:ext>
                    </a:extLst>
                  </pic:spPr>
                </pic:pic>
              </a:graphicData>
            </a:graphic>
          </wp:inline>
        </w:drawing>
      </w:r>
    </w:p>
    <w:p w14:paraId="2C854470" w14:textId="6FE8D0EF" w:rsidR="008F5131" w:rsidRDefault="008F5131" w:rsidP="008B5BC6">
      <w:pPr>
        <w:spacing w:before="0" w:after="240"/>
        <w:ind w:firstLine="432"/>
        <w:rPr>
          <w:rFonts w:eastAsiaTheme="minorHAnsi"/>
        </w:rPr>
      </w:pPr>
      <w:r w:rsidRPr="004A3558">
        <w:rPr>
          <w:rFonts w:eastAsiaTheme="minorHAnsi"/>
        </w:rPr>
        <w:lastRenderedPageBreak/>
        <w:t xml:space="preserve">In addition to the participants reporting a decrease in loneliness as a result of receiving the technology bundles, </w:t>
      </w:r>
      <w:r w:rsidR="00EC6959">
        <w:rPr>
          <w:rFonts w:eastAsiaTheme="minorHAnsi"/>
        </w:rPr>
        <w:t>eighty-nine percent (</w:t>
      </w:r>
      <w:r w:rsidRPr="004A3558">
        <w:rPr>
          <w:rFonts w:eastAsiaTheme="minorHAnsi"/>
        </w:rPr>
        <w:t>89</w:t>
      </w:r>
      <w:r w:rsidR="00EC6959">
        <w:rPr>
          <w:rFonts w:eastAsiaTheme="minorHAnsi"/>
        </w:rPr>
        <w:t xml:space="preserve">%) </w:t>
      </w:r>
      <w:r w:rsidRPr="004A3558">
        <w:rPr>
          <w:rFonts w:eastAsiaTheme="minorHAnsi"/>
        </w:rPr>
        <w:t xml:space="preserve">reported that the ICC program filled a critical need by providing technology to address their social isolation that they would not otherwise have been able to access. Ninety-one percent </w:t>
      </w:r>
      <w:r w:rsidR="000275F1" w:rsidRPr="004A3558">
        <w:rPr>
          <w:rFonts w:eastAsiaTheme="minorHAnsi"/>
        </w:rPr>
        <w:t xml:space="preserve">(91%) </w:t>
      </w:r>
      <w:r w:rsidRPr="004A3558">
        <w:rPr>
          <w:rFonts w:eastAsiaTheme="minorHAnsi"/>
        </w:rPr>
        <w:t xml:space="preserve">of the aging participants and DRS participants, respectively, and </w:t>
      </w:r>
      <w:r w:rsidR="00C73367">
        <w:rPr>
          <w:rFonts w:eastAsiaTheme="minorHAnsi"/>
        </w:rPr>
        <w:t>eighty-five percent (</w:t>
      </w:r>
      <w:r w:rsidRPr="004A3558">
        <w:rPr>
          <w:rFonts w:eastAsiaTheme="minorHAnsi"/>
        </w:rPr>
        <w:t>85</w:t>
      </w:r>
      <w:r w:rsidR="00C73367">
        <w:rPr>
          <w:rFonts w:eastAsiaTheme="minorHAnsi"/>
        </w:rPr>
        <w:t xml:space="preserve">%) </w:t>
      </w:r>
      <w:r w:rsidRPr="004A3558">
        <w:rPr>
          <w:rFonts w:eastAsiaTheme="minorHAnsi"/>
        </w:rPr>
        <w:t xml:space="preserve">of the DDD participants reported that the ICC program offered the sole opportunity for receiving the technology.  Ninety-seven percent (97%) of the ICC participants also reported being highly satisfied or satisfied with the program. </w:t>
      </w:r>
      <w:r w:rsidR="000275F1" w:rsidRPr="004A3558">
        <w:rPr>
          <w:rFonts w:eastAsiaTheme="minorHAnsi"/>
        </w:rPr>
        <w:t xml:space="preserve"> </w:t>
      </w:r>
      <w:r w:rsidRPr="004A3558">
        <w:rPr>
          <w:rFonts w:eastAsiaTheme="minorHAnsi"/>
        </w:rPr>
        <w:t>High levels of satisfaction were also reported across the referral groups.  The participants reported a major benefit from the technology bundles of helping them to maintain or increase their communication with their families.</w:t>
      </w:r>
      <w:r w:rsidR="00AF12BF" w:rsidRPr="004A3558">
        <w:rPr>
          <w:rFonts w:eastAsiaTheme="minorHAnsi"/>
        </w:rPr>
        <w:t xml:space="preserve"> </w:t>
      </w:r>
    </w:p>
    <w:p w14:paraId="0C2050CA" w14:textId="77777777" w:rsidR="00804142" w:rsidRDefault="00804142" w:rsidP="00566BD8">
      <w:pPr>
        <w:pBdr>
          <w:top w:val="single" w:sz="24" w:space="0" w:color="0070C0"/>
        </w:pBdr>
        <w:spacing w:before="0" w:after="0" w:line="180" w:lineRule="exact"/>
        <w:ind w:left="720" w:right="720" w:firstLine="432"/>
        <w:rPr>
          <w:rFonts w:eastAsiaTheme="minorHAnsi"/>
        </w:rPr>
      </w:pPr>
    </w:p>
    <w:p w14:paraId="4EC80749" w14:textId="054355A3" w:rsidR="00804142" w:rsidRDefault="00804142" w:rsidP="00566BD8">
      <w:pPr>
        <w:spacing w:before="0" w:after="0"/>
        <w:ind w:left="720" w:right="720"/>
        <w:contextualSpacing/>
        <w:rPr>
          <w:rFonts w:eastAsiaTheme="minorHAnsi"/>
          <w:i/>
          <w:iCs/>
          <w:color w:val="0070C0"/>
        </w:rPr>
      </w:pPr>
      <w:r w:rsidRPr="0050416E">
        <w:rPr>
          <w:rFonts w:eastAsiaTheme="minorHAnsi"/>
          <w:i/>
          <w:iCs/>
          <w:color w:val="0070C0"/>
        </w:rPr>
        <w:t>“</w:t>
      </w:r>
      <w:r>
        <w:rPr>
          <w:rFonts w:eastAsiaTheme="minorHAnsi"/>
          <w:i/>
          <w:iCs/>
          <w:color w:val="0070C0"/>
        </w:rPr>
        <w:t>It is incredibly hard for me to be isolated, but the iPad I received from Illinois Care Connections helps me connect with others.  My grandchildren have helped me learn how to use this equipment, and we share our days with each other.  This is very new for me, but I have enjoyed learning this technology.  Hopefully, more of my friends will be able to take advantage of the program, and we can communicate with each other better.  Thank you so much for this opportunity.</w:t>
      </w:r>
      <w:r w:rsidRPr="0050416E">
        <w:rPr>
          <w:rFonts w:eastAsiaTheme="minorHAnsi"/>
          <w:i/>
          <w:iCs/>
          <w:color w:val="0070C0"/>
        </w:rPr>
        <w:t>”</w:t>
      </w:r>
      <w:r w:rsidR="00CE35BB">
        <w:rPr>
          <w:rFonts w:eastAsiaTheme="minorHAnsi"/>
          <w:i/>
          <w:iCs/>
          <w:color w:val="0070C0"/>
        </w:rPr>
        <w:t xml:space="preserve">  </w:t>
      </w:r>
      <w:r w:rsidRPr="0050416E">
        <w:rPr>
          <w:rFonts w:eastAsiaTheme="minorHAnsi"/>
          <w:i/>
          <w:iCs/>
          <w:color w:val="0070C0"/>
        </w:rPr>
        <w:t>----</w:t>
      </w:r>
      <w:r w:rsidR="00CE35BB">
        <w:rPr>
          <w:rFonts w:eastAsiaTheme="minorHAnsi"/>
          <w:i/>
          <w:iCs/>
          <w:color w:val="0070C0"/>
        </w:rPr>
        <w:t xml:space="preserve">  </w:t>
      </w:r>
      <w:r w:rsidR="000B03E3">
        <w:rPr>
          <w:rFonts w:eastAsiaTheme="minorHAnsi"/>
          <w:i/>
          <w:iCs/>
          <w:color w:val="0070C0"/>
        </w:rPr>
        <w:t>Clarence</w:t>
      </w:r>
    </w:p>
    <w:p w14:paraId="6ACC544F" w14:textId="77777777" w:rsidR="00804142" w:rsidRDefault="00804142" w:rsidP="00566BD8">
      <w:pPr>
        <w:pBdr>
          <w:bottom w:val="single" w:sz="24" w:space="1" w:color="0070C0"/>
        </w:pBdr>
        <w:spacing w:before="0" w:after="0" w:line="180" w:lineRule="exact"/>
        <w:ind w:left="720" w:right="720"/>
        <w:rPr>
          <w:rFonts w:eastAsiaTheme="minorHAnsi"/>
          <w:i/>
          <w:iCs/>
          <w:color w:val="0070C0"/>
        </w:rPr>
      </w:pPr>
    </w:p>
    <w:p w14:paraId="3BCB3DE8" w14:textId="77777777" w:rsidR="00804142" w:rsidRDefault="00804142" w:rsidP="00566BD8">
      <w:pPr>
        <w:spacing w:before="0" w:after="0"/>
        <w:ind w:left="720" w:right="720"/>
        <w:contextualSpacing/>
        <w:rPr>
          <w:rFonts w:eastAsiaTheme="minorHAnsi"/>
        </w:rPr>
      </w:pPr>
    </w:p>
    <w:p w14:paraId="0F9F38A2" w14:textId="3CF27AA6" w:rsidR="008F5131" w:rsidRPr="004A3558" w:rsidRDefault="008F5131" w:rsidP="00413322">
      <w:pPr>
        <w:pStyle w:val="Heading2"/>
        <w:spacing w:after="0"/>
        <w:rPr>
          <w:rFonts w:eastAsiaTheme="minorHAnsi"/>
          <w:color w:val="auto"/>
        </w:rPr>
      </w:pPr>
      <w:r w:rsidRPr="004A3558">
        <w:rPr>
          <w:rFonts w:eastAsiaTheme="minorHAnsi"/>
          <w:color w:val="auto"/>
        </w:rPr>
        <w:t>Sustainability</w:t>
      </w:r>
    </w:p>
    <w:p w14:paraId="4B4AC53D" w14:textId="1163E8BC" w:rsidR="00413322" w:rsidRPr="004A3558" w:rsidRDefault="00413322" w:rsidP="002D4ECC">
      <w:pPr>
        <w:pBdr>
          <w:bottom w:val="single" w:sz="24" w:space="1" w:color="0070C0"/>
        </w:pBdr>
        <w:spacing w:before="0" w:after="0" w:line="180" w:lineRule="exact"/>
        <w:contextualSpacing/>
        <w:rPr>
          <w:rFonts w:eastAsiaTheme="minorHAnsi"/>
        </w:rPr>
      </w:pPr>
    </w:p>
    <w:p w14:paraId="649D046C" w14:textId="77777777" w:rsidR="002D4ECC" w:rsidRDefault="002D4ECC" w:rsidP="002D4ECC">
      <w:pPr>
        <w:spacing w:before="0" w:after="240"/>
        <w:contextualSpacing/>
        <w:rPr>
          <w:rFonts w:eastAsiaTheme="minorHAnsi"/>
        </w:rPr>
      </w:pPr>
    </w:p>
    <w:p w14:paraId="6A4C5E50" w14:textId="5F01D6DF" w:rsidR="008F5131" w:rsidRPr="004A3558" w:rsidRDefault="008F5131" w:rsidP="002D4ECC">
      <w:pPr>
        <w:spacing w:before="0" w:after="240"/>
        <w:ind w:firstLine="432"/>
        <w:contextualSpacing/>
        <w:rPr>
          <w:rFonts w:eastAsiaTheme="minorHAnsi"/>
        </w:rPr>
      </w:pPr>
      <w:r w:rsidRPr="004A3558">
        <w:rPr>
          <w:rFonts w:eastAsiaTheme="minorHAnsi"/>
        </w:rPr>
        <w:t xml:space="preserve">The success of the </w:t>
      </w:r>
      <w:hyperlink r:id="rId16" w:tgtFrame="_blank" w:history="1">
        <w:r w:rsidRPr="004A3558">
          <w:rPr>
            <w:rStyle w:val="Hyperlink"/>
            <w:rFonts w:eastAsiaTheme="minorHAnsi"/>
          </w:rPr>
          <w:t>Illinois CARE Connections Program (ICC)</w:t>
        </w:r>
      </w:hyperlink>
      <w:r w:rsidRPr="004A3558">
        <w:rPr>
          <w:rFonts w:eastAsiaTheme="minorHAnsi"/>
        </w:rPr>
        <w:t xml:space="preserve"> has </w:t>
      </w:r>
      <w:r w:rsidR="00654978" w:rsidRPr="004A3558">
        <w:rPr>
          <w:rFonts w:eastAsiaTheme="minorHAnsi"/>
        </w:rPr>
        <w:t xml:space="preserve">allowed </w:t>
      </w:r>
      <w:r w:rsidRPr="004A3558">
        <w:rPr>
          <w:rFonts w:eastAsiaTheme="minorHAnsi"/>
        </w:rPr>
        <w:t xml:space="preserve">IDoA to </w:t>
      </w:r>
      <w:r w:rsidR="00654978" w:rsidRPr="004A3558">
        <w:rPr>
          <w:rFonts w:eastAsiaTheme="minorHAnsi"/>
        </w:rPr>
        <w:t xml:space="preserve">allocate state funding to </w:t>
      </w:r>
      <w:r w:rsidRPr="004A3558">
        <w:rPr>
          <w:rFonts w:eastAsiaTheme="minorHAnsi"/>
        </w:rPr>
        <w:t xml:space="preserve">continue </w:t>
      </w:r>
      <w:r w:rsidR="00654978" w:rsidRPr="004A3558">
        <w:rPr>
          <w:rFonts w:eastAsiaTheme="minorHAnsi"/>
        </w:rPr>
        <w:t xml:space="preserve">ICC </w:t>
      </w:r>
      <w:r w:rsidRPr="004A3558">
        <w:rPr>
          <w:rFonts w:eastAsiaTheme="minorHAnsi"/>
        </w:rPr>
        <w:t xml:space="preserve">for participants age 60 and above receiving services through the IDoA Community Care Programs. </w:t>
      </w:r>
      <w:r w:rsidR="003D443F" w:rsidRPr="004A3558">
        <w:rPr>
          <w:rFonts w:eastAsiaTheme="minorHAnsi"/>
        </w:rPr>
        <w:t xml:space="preserve"> </w:t>
      </w:r>
      <w:r w:rsidR="00654978" w:rsidRPr="004A3558">
        <w:rPr>
          <w:rFonts w:eastAsiaTheme="minorHAnsi"/>
        </w:rPr>
        <w:t>In addition,</w:t>
      </w:r>
      <w:r w:rsidR="003D443F" w:rsidRPr="004A3558">
        <w:rPr>
          <w:rFonts w:eastAsiaTheme="minorHAnsi"/>
        </w:rPr>
        <w:t xml:space="preserve"> </w:t>
      </w:r>
      <w:r w:rsidRPr="004A3558">
        <w:rPr>
          <w:rFonts w:eastAsiaTheme="minorHAnsi"/>
        </w:rPr>
        <w:t xml:space="preserve">Illinois is planning </w:t>
      </w:r>
      <w:r w:rsidR="00654978" w:rsidRPr="004A3558">
        <w:rPr>
          <w:rFonts w:eastAsiaTheme="minorHAnsi"/>
        </w:rPr>
        <w:t>to add assistive technology as a service option in its 1915c Medicaid Home and Community Based Services elderly waiver program</w:t>
      </w:r>
      <w:r w:rsidR="000E375F" w:rsidRPr="004A3558">
        <w:rPr>
          <w:rFonts w:eastAsiaTheme="minorHAnsi"/>
        </w:rPr>
        <w:t>:</w:t>
      </w:r>
      <w:r w:rsidR="00654978" w:rsidRPr="004A3558">
        <w:rPr>
          <w:rFonts w:eastAsiaTheme="minorHAnsi"/>
        </w:rPr>
        <w:t xml:space="preserve"> the Community Care Program. </w:t>
      </w:r>
      <w:r w:rsidRPr="004A3558">
        <w:rPr>
          <w:rFonts w:eastAsiaTheme="minorHAnsi"/>
        </w:rPr>
        <w:t>(Illinois Assistive Technology Program, 2021).</w:t>
      </w:r>
    </w:p>
    <w:p w14:paraId="25C804F3" w14:textId="77777777" w:rsidR="00065EF2" w:rsidRDefault="00065EF2" w:rsidP="00065EF2">
      <w:pPr>
        <w:spacing w:before="0" w:after="240"/>
        <w:ind w:firstLine="432"/>
        <w:contextualSpacing/>
        <w:rPr>
          <w:rFonts w:eastAsiaTheme="minorHAnsi"/>
        </w:rPr>
      </w:pPr>
    </w:p>
    <w:p w14:paraId="21376356" w14:textId="3B239A19" w:rsidR="008F5131" w:rsidRPr="004A3558" w:rsidRDefault="008F5131" w:rsidP="00FD2FD8">
      <w:pPr>
        <w:spacing w:before="0" w:after="0"/>
        <w:ind w:firstLine="432"/>
        <w:contextualSpacing/>
        <w:rPr>
          <w:rFonts w:eastAsiaTheme="minorHAnsi"/>
        </w:rPr>
      </w:pPr>
      <w:r w:rsidRPr="004A3558">
        <w:rPr>
          <w:rFonts w:eastAsiaTheme="minorHAnsi"/>
        </w:rPr>
        <w:t xml:space="preserve">In addition, Illinois </w:t>
      </w:r>
      <w:r w:rsidR="00B93E87" w:rsidRPr="004A3558">
        <w:rPr>
          <w:rFonts w:eastAsiaTheme="minorHAnsi"/>
        </w:rPr>
        <w:t>has created training materials</w:t>
      </w:r>
      <w:r w:rsidR="00654978" w:rsidRPr="004A3558">
        <w:rPr>
          <w:rFonts w:eastAsiaTheme="minorHAnsi"/>
        </w:rPr>
        <w:t xml:space="preserve">, including videos that can be accessed by </w:t>
      </w:r>
      <w:r w:rsidR="00B93E87" w:rsidRPr="004A3558">
        <w:rPr>
          <w:rFonts w:eastAsiaTheme="minorHAnsi"/>
        </w:rPr>
        <w:t>bundle recipients</w:t>
      </w:r>
      <w:r w:rsidR="00654978" w:rsidRPr="004A3558">
        <w:rPr>
          <w:rFonts w:eastAsiaTheme="minorHAnsi"/>
        </w:rPr>
        <w:t xml:space="preserve">, caregivers and others </w:t>
      </w:r>
      <w:r w:rsidR="00CA3299" w:rsidRPr="004A3558">
        <w:rPr>
          <w:rFonts w:eastAsiaTheme="minorHAnsi"/>
        </w:rPr>
        <w:t xml:space="preserve">assisting someone with operating a device. These materials are available for </w:t>
      </w:r>
      <w:r w:rsidRPr="004A3558">
        <w:rPr>
          <w:rFonts w:eastAsiaTheme="minorHAnsi"/>
        </w:rPr>
        <w:t xml:space="preserve">other states and organizations that may wish to replicate and/or customize the State of Illinois’s effort in the future. </w:t>
      </w:r>
      <w:r w:rsidR="003D443F" w:rsidRPr="004A3558">
        <w:rPr>
          <w:rFonts w:eastAsiaTheme="minorHAnsi"/>
        </w:rPr>
        <w:t xml:space="preserve"> </w:t>
      </w:r>
      <w:r w:rsidRPr="004A3558">
        <w:rPr>
          <w:rFonts w:eastAsiaTheme="minorHAnsi"/>
        </w:rPr>
        <w:t xml:space="preserve">Some of these resources can be found on the </w:t>
      </w:r>
      <w:hyperlink r:id="rId17" w:history="1">
        <w:r w:rsidRPr="004A3558">
          <w:rPr>
            <w:rStyle w:val="Hyperlink"/>
            <w:rFonts w:eastAsiaTheme="minorHAnsi"/>
          </w:rPr>
          <w:t>Illinois CARE Connections Program (ICC) Web page</w:t>
        </w:r>
      </w:hyperlink>
      <w:r w:rsidRPr="004A3558">
        <w:rPr>
          <w:rFonts w:eastAsiaTheme="minorHAnsi"/>
        </w:rPr>
        <w:t xml:space="preserve">, especially the Project Resources and Technical Support Sub-Headings of that page. </w:t>
      </w:r>
      <w:r w:rsidR="005C611C">
        <w:rPr>
          <w:rFonts w:eastAsiaTheme="minorHAnsi"/>
        </w:rPr>
        <w:t xml:space="preserve"> </w:t>
      </w:r>
      <w:r w:rsidR="00B93E87" w:rsidRPr="004A3558">
        <w:rPr>
          <w:rFonts w:eastAsiaTheme="minorHAnsi"/>
        </w:rPr>
        <w:t xml:space="preserve">IATP is always willing to provide technical assistance to support others in replication efforts. </w:t>
      </w:r>
    </w:p>
    <w:p w14:paraId="2DDB4E5D" w14:textId="77777777" w:rsidR="00C5320A" w:rsidRDefault="00C5320A" w:rsidP="006A73CB">
      <w:pPr>
        <w:pStyle w:val="Heading2"/>
        <w:spacing w:before="0" w:after="0"/>
        <w:contextualSpacing/>
        <w:rPr>
          <w:rFonts w:eastAsiaTheme="minorHAnsi"/>
          <w:color w:val="auto"/>
        </w:rPr>
      </w:pPr>
    </w:p>
    <w:p w14:paraId="64EA97AE" w14:textId="1CD18B57" w:rsidR="008F5131" w:rsidRPr="004A3558" w:rsidRDefault="008F5131" w:rsidP="00FD2FD8">
      <w:pPr>
        <w:pStyle w:val="Heading2"/>
        <w:spacing w:after="0"/>
        <w:contextualSpacing/>
        <w:rPr>
          <w:rFonts w:eastAsiaTheme="minorHAnsi"/>
          <w:color w:val="auto"/>
        </w:rPr>
      </w:pPr>
      <w:r w:rsidRPr="004A3558">
        <w:rPr>
          <w:rFonts w:eastAsiaTheme="minorHAnsi"/>
          <w:color w:val="auto"/>
        </w:rPr>
        <w:t>Connection to ACL Efforts to Reduce Social Isolation</w:t>
      </w:r>
    </w:p>
    <w:p w14:paraId="7AD72CB3" w14:textId="06148E73" w:rsidR="00413322" w:rsidRPr="004A3558" w:rsidRDefault="00413322" w:rsidP="00C5320A">
      <w:pPr>
        <w:pBdr>
          <w:bottom w:val="single" w:sz="24" w:space="1" w:color="0070C0"/>
        </w:pBdr>
        <w:spacing w:before="0" w:after="0"/>
        <w:contextualSpacing/>
        <w:rPr>
          <w:rFonts w:eastAsiaTheme="minorHAnsi"/>
        </w:rPr>
      </w:pPr>
    </w:p>
    <w:p w14:paraId="6B713107" w14:textId="77777777" w:rsidR="005E52FC" w:rsidRDefault="005E52FC" w:rsidP="003D443F">
      <w:pPr>
        <w:spacing w:before="0" w:after="240"/>
        <w:ind w:firstLine="432"/>
        <w:contextualSpacing/>
        <w:rPr>
          <w:rFonts w:eastAsiaTheme="minorHAnsi"/>
        </w:rPr>
      </w:pPr>
    </w:p>
    <w:p w14:paraId="16C9EC51" w14:textId="2F65B22D" w:rsidR="008F5131" w:rsidRPr="004A3558" w:rsidRDefault="008F5131" w:rsidP="005716DC">
      <w:pPr>
        <w:spacing w:before="0" w:after="240"/>
        <w:ind w:firstLine="432"/>
        <w:contextualSpacing/>
        <w:rPr>
          <w:rFonts w:eastAsiaTheme="minorHAnsi"/>
        </w:rPr>
      </w:pPr>
      <w:r w:rsidRPr="004A3558">
        <w:rPr>
          <w:rFonts w:eastAsiaTheme="minorHAnsi"/>
        </w:rPr>
        <w:t>ACL has been in engaged in effort</w:t>
      </w:r>
      <w:r w:rsidR="00FC58B7" w:rsidRPr="004A3558">
        <w:rPr>
          <w:rFonts w:eastAsiaTheme="minorHAnsi"/>
        </w:rPr>
        <w:t>s</w:t>
      </w:r>
      <w:r w:rsidRPr="004A3558">
        <w:rPr>
          <w:rFonts w:eastAsiaTheme="minorHAnsi"/>
        </w:rPr>
        <w:t xml:space="preserve"> to combat social isolation among older adults and people with disabilities for several years now.  In addition to the unique work of the Illinois Assistive Technology Program and its local aging and disability partners funded through ACL, there are several other ACL-initiated efforts in recent years that address social isolation and loneliness.  One effort, the </w:t>
      </w:r>
      <w:hyperlink r:id="rId18" w:history="1">
        <w:r w:rsidRPr="004A3558">
          <w:rPr>
            <w:rStyle w:val="Hyperlink"/>
            <w:rFonts w:eastAsiaTheme="minorHAnsi"/>
          </w:rPr>
          <w:t>Commit to Connect</w:t>
        </w:r>
      </w:hyperlink>
      <w:r w:rsidRPr="004A3558">
        <w:rPr>
          <w:rFonts w:eastAsiaTheme="minorHAnsi"/>
        </w:rPr>
        <w:t xml:space="preserve"> campaign, a public-private partnership with the AARP Foundation, is building a nationwide network of champions to collaborate on solutions to help reach more people. </w:t>
      </w:r>
      <w:r w:rsidR="000275F1" w:rsidRPr="004A3558">
        <w:rPr>
          <w:rFonts w:eastAsiaTheme="minorHAnsi"/>
        </w:rPr>
        <w:t xml:space="preserve"> </w:t>
      </w:r>
      <w:r w:rsidRPr="004A3558">
        <w:rPr>
          <w:rFonts w:eastAsiaTheme="minorHAnsi"/>
        </w:rPr>
        <w:t>The project is also developing an online, consumer-focused tool, or clearinghouse that matches older adults and people with disabilities who are socially isolated to customized suggestions for resources that can help them connect and engage with others more frequently and meaningfully.</w:t>
      </w:r>
      <w:r w:rsidR="000275F1" w:rsidRPr="004A3558">
        <w:rPr>
          <w:rFonts w:eastAsiaTheme="minorHAnsi"/>
        </w:rPr>
        <w:t xml:space="preserve"> </w:t>
      </w:r>
      <w:r w:rsidRPr="004A3558">
        <w:rPr>
          <w:rFonts w:eastAsiaTheme="minorHAnsi"/>
        </w:rPr>
        <w:t xml:space="preserve"> The campaign focuses on </w:t>
      </w:r>
      <w:r w:rsidRPr="004A3558">
        <w:rPr>
          <w:rFonts w:eastAsiaTheme="minorHAnsi"/>
        </w:rPr>
        <w:lastRenderedPageBreak/>
        <w:t xml:space="preserve">establishing critical partnerships in communities and across all levels of government and sharing successful initiatives that can be implemented in communities across the country (ACL, 2021). </w:t>
      </w:r>
    </w:p>
    <w:p w14:paraId="4936DABE" w14:textId="77777777" w:rsidR="00420099" w:rsidRDefault="00420099" w:rsidP="007F3CB6">
      <w:pPr>
        <w:spacing w:before="0" w:after="0"/>
        <w:ind w:firstLine="432"/>
        <w:contextualSpacing/>
        <w:rPr>
          <w:rFonts w:eastAsiaTheme="minorHAnsi"/>
        </w:rPr>
      </w:pPr>
    </w:p>
    <w:p w14:paraId="5B7BADCD" w14:textId="69F3CE1B" w:rsidR="008F5131" w:rsidRPr="004A3558" w:rsidRDefault="008F5131" w:rsidP="005716DC">
      <w:pPr>
        <w:spacing w:before="0" w:after="240"/>
        <w:ind w:firstLine="432"/>
        <w:contextualSpacing/>
        <w:rPr>
          <w:rFonts w:eastAsiaTheme="minorHAnsi"/>
        </w:rPr>
      </w:pPr>
      <w:r w:rsidRPr="004A3558">
        <w:rPr>
          <w:rFonts w:eastAsiaTheme="minorHAnsi"/>
        </w:rPr>
        <w:t>A second effort is the National Resource Center for Engaging Older Adults.</w:t>
      </w:r>
      <w:r w:rsidR="000275F1" w:rsidRPr="004A3558">
        <w:rPr>
          <w:rFonts w:eastAsiaTheme="minorHAnsi"/>
        </w:rPr>
        <w:t xml:space="preserve"> </w:t>
      </w:r>
      <w:r w:rsidRPr="004A3558">
        <w:rPr>
          <w:rFonts w:eastAsiaTheme="minorHAnsi"/>
        </w:rPr>
        <w:t xml:space="preserve"> This national effort focuses on increasing social engagement of older adults, people with disabilities and their caregivers by expanding and enhancing the Aging Network’s capacity to offer social engagement. </w:t>
      </w:r>
      <w:r w:rsidR="000275F1" w:rsidRPr="004A3558">
        <w:rPr>
          <w:rFonts w:eastAsiaTheme="minorHAnsi"/>
        </w:rPr>
        <w:t xml:space="preserve"> </w:t>
      </w:r>
      <w:r w:rsidRPr="004A3558">
        <w:rPr>
          <w:rFonts w:eastAsiaTheme="minorHAnsi"/>
        </w:rPr>
        <w:t xml:space="preserve">Specifically, the effort develops and promotes resources that help organizations and communities to increase social engagement opportunities and the size of social networks (USAging, 2021).  </w:t>
      </w:r>
    </w:p>
    <w:p w14:paraId="3D5718D6" w14:textId="77777777" w:rsidR="00420099" w:rsidRDefault="00420099" w:rsidP="005716DC">
      <w:pPr>
        <w:spacing w:before="0" w:after="240"/>
        <w:ind w:firstLine="432"/>
        <w:contextualSpacing/>
        <w:rPr>
          <w:rFonts w:eastAsiaTheme="minorHAnsi"/>
        </w:rPr>
      </w:pPr>
    </w:p>
    <w:p w14:paraId="32C76B2A" w14:textId="1DDD040E" w:rsidR="008F5131" w:rsidRDefault="008F5131" w:rsidP="007F3CB6">
      <w:pPr>
        <w:spacing w:before="0" w:after="0"/>
        <w:ind w:firstLine="432"/>
        <w:contextualSpacing/>
        <w:rPr>
          <w:rFonts w:eastAsiaTheme="minorHAnsi"/>
        </w:rPr>
      </w:pPr>
      <w:r w:rsidRPr="004A3558">
        <w:rPr>
          <w:rFonts w:eastAsiaTheme="minorHAnsi"/>
        </w:rPr>
        <w:t xml:space="preserve">ACL’s </w:t>
      </w:r>
      <w:hyperlink r:id="rId19" w:anchor=":~:text=NIDILRR's%20mission%20is%20to%20generate,for%20its%20citizens%20with%20disabilities." w:history="1">
        <w:r w:rsidRPr="004A3558">
          <w:rPr>
            <w:rStyle w:val="Hyperlink"/>
            <w:rFonts w:eastAsiaTheme="minorHAnsi"/>
          </w:rPr>
          <w:t>National Institute on Disability, Independent Living and Rehabilitation Research (NIDILRR)</w:t>
        </w:r>
      </w:hyperlink>
      <w:r w:rsidRPr="004A3558">
        <w:rPr>
          <w:rFonts w:eastAsiaTheme="minorHAnsi"/>
        </w:rPr>
        <w:t xml:space="preserve"> represents another ACL Center with a targeted focus on addressing social isolation and loneliness through research efforts.  NIDILRR funds webinars on social isolation and loneliness research and grants to principal investigators and researchers who conduct studies on social isolation and loneliness for people with disabilities.  Examples of recent research grants funded include</w:t>
      </w:r>
      <w:r w:rsidR="000275F1" w:rsidRPr="004A3558">
        <w:rPr>
          <w:rFonts w:eastAsiaTheme="minorHAnsi"/>
        </w:rPr>
        <w:t>:</w:t>
      </w:r>
      <w:r w:rsidRPr="004A3558">
        <w:rPr>
          <w:rFonts w:eastAsiaTheme="minorHAnsi"/>
        </w:rPr>
        <w:t xml:space="preserve"> studies looking at traumatic brain injury and loneliness; assistive technology during COVID and loneliness; loneliness and healthcare in the United Kingdom; wireless technology to support social connectedness; virtual, home based exercise programs for people with spinal cord injury and their caregivers; and minority student education during COVID-19 on how technology can be a problem and solution (Emerson et al, 2021; Kumar et al, 2020; Bricout, Greer Fields, Xu, Tamplain, Doelling &amp; Sharma, 2021; Donehower, Vinoski, Doulin, Hussain &amp;Jimenez, 2021; Dubois, Bright, &amp; LaForce, 2021).</w:t>
      </w:r>
    </w:p>
    <w:p w14:paraId="42F14E59" w14:textId="77777777" w:rsidR="007F3CB6" w:rsidRDefault="007F3CB6" w:rsidP="007F3CB6">
      <w:pPr>
        <w:spacing w:before="0" w:after="0"/>
        <w:ind w:firstLine="432"/>
        <w:contextualSpacing/>
        <w:rPr>
          <w:rFonts w:eastAsiaTheme="minorHAnsi"/>
        </w:rPr>
      </w:pPr>
    </w:p>
    <w:p w14:paraId="1BC6940E" w14:textId="77777777" w:rsidR="00684891" w:rsidRDefault="00684891" w:rsidP="00725500">
      <w:pPr>
        <w:pBdr>
          <w:top w:val="single" w:sz="24" w:space="1" w:color="0070C0"/>
        </w:pBdr>
        <w:spacing w:before="0" w:after="0" w:line="180" w:lineRule="exact"/>
        <w:ind w:left="720" w:right="720" w:firstLine="432"/>
        <w:rPr>
          <w:rFonts w:eastAsiaTheme="minorHAnsi"/>
        </w:rPr>
      </w:pPr>
    </w:p>
    <w:p w14:paraId="2C2A8FBD" w14:textId="523EF98C" w:rsidR="00684891" w:rsidRDefault="00684891" w:rsidP="00725500">
      <w:pPr>
        <w:spacing w:before="0" w:after="0"/>
        <w:ind w:left="720" w:right="720"/>
        <w:contextualSpacing/>
        <w:rPr>
          <w:rFonts w:eastAsiaTheme="minorHAnsi"/>
          <w:i/>
          <w:iCs/>
          <w:color w:val="0070C0"/>
        </w:rPr>
      </w:pPr>
      <w:r w:rsidRPr="0050416E">
        <w:rPr>
          <w:rFonts w:eastAsiaTheme="minorHAnsi"/>
          <w:i/>
          <w:iCs/>
          <w:color w:val="0070C0"/>
        </w:rPr>
        <w:t>“</w:t>
      </w:r>
      <w:r>
        <w:rPr>
          <w:rFonts w:eastAsiaTheme="minorHAnsi"/>
          <w:i/>
          <w:iCs/>
          <w:color w:val="0070C0"/>
        </w:rPr>
        <w:t>Thank you to the Illinois Care Connections Program! I recently received my tablet, and it has helped me communicate with friends and family during this extremely lonely time due to the COVID-19 pandemic.  I’m so grateful as it has allowed me to keep in touch with others as well as stay safe. Additionally, having this device has assisted me while healing from my recent surgery. I’m so excited to have access to my emails, bills, and other applications right in front of me. Thank you again!</w:t>
      </w:r>
      <w:r w:rsidRPr="0050416E">
        <w:rPr>
          <w:rFonts w:eastAsiaTheme="minorHAnsi"/>
          <w:i/>
          <w:iCs/>
          <w:color w:val="0070C0"/>
        </w:rPr>
        <w:t>”</w:t>
      </w:r>
      <w:r>
        <w:rPr>
          <w:rFonts w:eastAsiaTheme="minorHAnsi"/>
          <w:i/>
          <w:iCs/>
          <w:color w:val="0070C0"/>
        </w:rPr>
        <w:t xml:space="preserve">  </w:t>
      </w:r>
      <w:r w:rsidRPr="0050416E">
        <w:rPr>
          <w:rFonts w:eastAsiaTheme="minorHAnsi"/>
          <w:i/>
          <w:iCs/>
          <w:color w:val="0070C0"/>
        </w:rPr>
        <w:t>----</w:t>
      </w:r>
      <w:r>
        <w:rPr>
          <w:rFonts w:eastAsiaTheme="minorHAnsi"/>
          <w:i/>
          <w:iCs/>
          <w:color w:val="0070C0"/>
        </w:rPr>
        <w:t xml:space="preserve">  Rhonda</w:t>
      </w:r>
    </w:p>
    <w:p w14:paraId="77D91767" w14:textId="77777777" w:rsidR="00684891" w:rsidRDefault="00684891" w:rsidP="00725500">
      <w:pPr>
        <w:pBdr>
          <w:bottom w:val="single" w:sz="24" w:space="1" w:color="0070C0"/>
        </w:pBdr>
        <w:spacing w:before="0" w:after="0" w:line="180" w:lineRule="exact"/>
        <w:ind w:left="720" w:right="720"/>
        <w:contextualSpacing/>
        <w:rPr>
          <w:rFonts w:eastAsiaTheme="minorHAnsi"/>
          <w:i/>
          <w:iCs/>
          <w:color w:val="0070C0"/>
        </w:rPr>
      </w:pPr>
    </w:p>
    <w:p w14:paraId="7A64BCCC" w14:textId="77777777" w:rsidR="00133503" w:rsidRDefault="00133503" w:rsidP="00725500">
      <w:pPr>
        <w:pStyle w:val="Heading2"/>
        <w:spacing w:before="0" w:after="0"/>
        <w:ind w:left="720" w:right="720"/>
        <w:contextualSpacing/>
        <w:rPr>
          <w:rFonts w:eastAsiaTheme="minorHAnsi"/>
          <w:color w:val="auto"/>
        </w:rPr>
      </w:pPr>
    </w:p>
    <w:p w14:paraId="2766EDFF" w14:textId="05ABD2A0" w:rsidR="008F5131" w:rsidRPr="004A3558" w:rsidRDefault="008F5131" w:rsidP="00C5320A">
      <w:pPr>
        <w:pStyle w:val="Heading2"/>
        <w:spacing w:before="0" w:after="0"/>
        <w:contextualSpacing/>
        <w:rPr>
          <w:rFonts w:eastAsiaTheme="minorHAnsi"/>
          <w:color w:val="auto"/>
        </w:rPr>
      </w:pPr>
      <w:r w:rsidRPr="004A3558">
        <w:rPr>
          <w:rFonts w:eastAsiaTheme="minorHAnsi"/>
          <w:color w:val="auto"/>
        </w:rPr>
        <w:t>Discussion</w:t>
      </w:r>
    </w:p>
    <w:p w14:paraId="21D5212B" w14:textId="54FC012B" w:rsidR="00413322" w:rsidRPr="004A3558" w:rsidRDefault="00413322" w:rsidP="004D6A86">
      <w:pPr>
        <w:pBdr>
          <w:bottom w:val="single" w:sz="24" w:space="1" w:color="0070C0"/>
        </w:pBdr>
        <w:spacing w:before="0" w:after="0" w:line="180" w:lineRule="exact"/>
        <w:rPr>
          <w:rFonts w:eastAsiaTheme="minorHAnsi"/>
        </w:rPr>
      </w:pPr>
    </w:p>
    <w:p w14:paraId="6B87AFBC" w14:textId="77777777" w:rsidR="004D6A86" w:rsidRDefault="004D6A86" w:rsidP="00BD6043">
      <w:pPr>
        <w:spacing w:before="0" w:after="0"/>
        <w:ind w:firstLine="432"/>
        <w:contextualSpacing/>
        <w:rPr>
          <w:rFonts w:eastAsiaTheme="minorHAnsi"/>
        </w:rPr>
      </w:pPr>
    </w:p>
    <w:p w14:paraId="60B7C045" w14:textId="0457F6AE" w:rsidR="00060BBB" w:rsidRPr="004A3558" w:rsidRDefault="008F5131" w:rsidP="00060BBB">
      <w:pPr>
        <w:spacing w:before="0" w:after="0"/>
        <w:ind w:firstLine="432"/>
        <w:contextualSpacing/>
        <w:rPr>
          <w:rFonts w:eastAsiaTheme="minorHAnsi"/>
        </w:rPr>
      </w:pPr>
      <w:r w:rsidRPr="004A3558">
        <w:rPr>
          <w:rFonts w:eastAsiaTheme="minorHAnsi"/>
        </w:rPr>
        <w:t xml:space="preserve">The ICC collaborative effort yielded several important findings and valuable lessons learned that would inform future efforts, especially similar efforts during the current COVID-19 pandemic or crises. These include the following:  </w:t>
      </w:r>
    </w:p>
    <w:p w14:paraId="4C4033C2" w14:textId="756EE6A3" w:rsidR="008F5131" w:rsidRPr="004A3558" w:rsidRDefault="008F5131" w:rsidP="00DA73BF">
      <w:pPr>
        <w:pStyle w:val="Numberedlist"/>
        <w:numPr>
          <w:ilvl w:val="0"/>
          <w:numId w:val="24"/>
        </w:numPr>
        <w:rPr>
          <w:rFonts w:eastAsiaTheme="minorHAnsi"/>
        </w:rPr>
      </w:pPr>
      <w:r w:rsidRPr="004A3558">
        <w:rPr>
          <w:rFonts w:eastAsiaTheme="minorHAnsi"/>
          <w:b/>
          <w:bCs/>
          <w:u w:val="single"/>
        </w:rPr>
        <w:t xml:space="preserve">Increased </w:t>
      </w:r>
      <w:r w:rsidR="000275F1" w:rsidRPr="004A3558">
        <w:rPr>
          <w:rFonts w:eastAsiaTheme="minorHAnsi"/>
          <w:b/>
          <w:bCs/>
          <w:u w:val="single"/>
        </w:rPr>
        <w:t>a</w:t>
      </w:r>
      <w:r w:rsidRPr="004A3558">
        <w:rPr>
          <w:rFonts w:eastAsiaTheme="minorHAnsi"/>
          <w:b/>
          <w:bCs/>
          <w:u w:val="single"/>
        </w:rPr>
        <w:t>wareness:</w:t>
      </w:r>
      <w:r w:rsidRPr="004A3558">
        <w:rPr>
          <w:rFonts w:eastAsiaTheme="minorHAnsi"/>
        </w:rPr>
        <w:t xml:space="preserve"> </w:t>
      </w:r>
      <w:r w:rsidR="003D443F" w:rsidRPr="004A3558">
        <w:rPr>
          <w:rFonts w:eastAsiaTheme="minorHAnsi"/>
        </w:rPr>
        <w:t xml:space="preserve"> </w:t>
      </w:r>
      <w:r w:rsidRPr="004A3558">
        <w:rPr>
          <w:rFonts w:eastAsiaTheme="minorHAnsi"/>
        </w:rPr>
        <w:t>The ICC program helped to bridge that gap and recognize that the problem of social isolation affects both people with disabilities and older adults.  Assistive technology is unique in its ability to serve both populations.</w:t>
      </w:r>
    </w:p>
    <w:p w14:paraId="560E6C45" w14:textId="1FA21996" w:rsidR="008F5131" w:rsidRPr="004A3558" w:rsidRDefault="008F5131" w:rsidP="00DA73BF">
      <w:pPr>
        <w:pStyle w:val="Numberedlist"/>
        <w:numPr>
          <w:ilvl w:val="0"/>
          <w:numId w:val="24"/>
        </w:numPr>
        <w:rPr>
          <w:rFonts w:eastAsiaTheme="minorHAnsi"/>
        </w:rPr>
      </w:pPr>
      <w:r w:rsidRPr="004A3558">
        <w:rPr>
          <w:rFonts w:eastAsiaTheme="minorHAnsi"/>
          <w:b/>
          <w:bCs/>
          <w:u w:val="single"/>
        </w:rPr>
        <w:t>Positive impact of customized technology bundle distribution:</w:t>
      </w:r>
      <w:r w:rsidRPr="004A3558">
        <w:rPr>
          <w:rFonts w:eastAsiaTheme="minorHAnsi"/>
        </w:rPr>
        <w:t xml:space="preserve"> </w:t>
      </w:r>
      <w:r w:rsidR="003D443F" w:rsidRPr="004A3558">
        <w:rPr>
          <w:rFonts w:eastAsiaTheme="minorHAnsi"/>
        </w:rPr>
        <w:t xml:space="preserve"> </w:t>
      </w:r>
      <w:r w:rsidRPr="004A3558">
        <w:rPr>
          <w:rFonts w:eastAsiaTheme="minorHAnsi"/>
        </w:rPr>
        <w:t xml:space="preserve">The ICC program demonstrated that the prescription, purchase, provision, and training on the "right AT bundles, customized in the right ways" </w:t>
      </w:r>
      <w:r w:rsidR="00EE5755" w:rsidRPr="004A3558">
        <w:rPr>
          <w:rFonts w:eastAsiaTheme="minorHAnsi"/>
        </w:rPr>
        <w:t xml:space="preserve">distributed quickly and efficiently </w:t>
      </w:r>
      <w:r w:rsidRPr="004A3558">
        <w:rPr>
          <w:rFonts w:eastAsiaTheme="minorHAnsi"/>
        </w:rPr>
        <w:t xml:space="preserve">can combat social isolation for older adults and people with disabilities. </w:t>
      </w:r>
    </w:p>
    <w:p w14:paraId="025C8842" w14:textId="73B4B77B" w:rsidR="008F5131" w:rsidRPr="004A3558" w:rsidRDefault="008F5131" w:rsidP="00DA73BF">
      <w:pPr>
        <w:pStyle w:val="Numberedlist"/>
        <w:numPr>
          <w:ilvl w:val="0"/>
          <w:numId w:val="24"/>
        </w:numPr>
        <w:rPr>
          <w:rFonts w:eastAsiaTheme="minorHAnsi"/>
        </w:rPr>
      </w:pPr>
      <w:r w:rsidRPr="004A3558">
        <w:rPr>
          <w:rFonts w:eastAsiaTheme="minorHAnsi"/>
          <w:b/>
          <w:bCs/>
          <w:u w:val="single"/>
        </w:rPr>
        <w:t>Quality of life:</w:t>
      </w:r>
      <w:r w:rsidRPr="004A3558">
        <w:rPr>
          <w:rFonts w:eastAsiaTheme="minorHAnsi"/>
        </w:rPr>
        <w:t xml:space="preserve"> </w:t>
      </w:r>
      <w:r w:rsidR="003D443F" w:rsidRPr="004A3558">
        <w:rPr>
          <w:rFonts w:eastAsiaTheme="minorHAnsi"/>
        </w:rPr>
        <w:t xml:space="preserve"> </w:t>
      </w:r>
      <w:r w:rsidRPr="004A3558">
        <w:rPr>
          <w:rFonts w:eastAsiaTheme="minorHAnsi"/>
        </w:rPr>
        <w:t>The ICC program identified social isolation and loneliness as serious and growing issues, especially during COVID-19.  It also identified a research-supported solution through assistive technology to help address the need and improve the quality of life for two groups in need.</w:t>
      </w:r>
    </w:p>
    <w:p w14:paraId="32E402C0" w14:textId="77777777" w:rsidR="008F5131" w:rsidRPr="004A3558" w:rsidRDefault="008F5131" w:rsidP="00DA73BF">
      <w:pPr>
        <w:pStyle w:val="Numberedlist"/>
        <w:numPr>
          <w:ilvl w:val="0"/>
          <w:numId w:val="24"/>
        </w:numPr>
        <w:rPr>
          <w:rFonts w:eastAsiaTheme="minorHAnsi"/>
        </w:rPr>
      </w:pPr>
      <w:r w:rsidRPr="004A3558">
        <w:rPr>
          <w:rFonts w:eastAsiaTheme="minorHAnsi"/>
          <w:b/>
          <w:bCs/>
          <w:u w:val="single"/>
        </w:rPr>
        <w:lastRenderedPageBreak/>
        <w:t>Trusting the evidence:</w:t>
      </w:r>
      <w:r w:rsidRPr="004A3558">
        <w:rPr>
          <w:rFonts w:eastAsiaTheme="minorHAnsi"/>
        </w:rPr>
        <w:t xml:space="preserve">  The ICC program used evidence to inform its approach, design, and methods.</w:t>
      </w:r>
    </w:p>
    <w:p w14:paraId="5F670C03" w14:textId="530CB649" w:rsidR="00DA73BF" w:rsidRPr="004A3558" w:rsidRDefault="008F5131" w:rsidP="00DA73BF">
      <w:pPr>
        <w:pStyle w:val="Numberedlist"/>
        <w:numPr>
          <w:ilvl w:val="0"/>
          <w:numId w:val="24"/>
        </w:numPr>
        <w:rPr>
          <w:rFonts w:eastAsiaTheme="minorHAnsi"/>
        </w:rPr>
      </w:pPr>
      <w:r w:rsidRPr="004A3558">
        <w:rPr>
          <w:rFonts w:eastAsiaTheme="minorHAnsi"/>
          <w:b/>
          <w:bCs/>
          <w:u w:val="single"/>
        </w:rPr>
        <w:t>Moving across silos to collaborate within the state:</w:t>
      </w:r>
      <w:r w:rsidRPr="004A3558">
        <w:rPr>
          <w:rFonts w:eastAsiaTheme="minorHAnsi"/>
        </w:rPr>
        <w:t xml:space="preserve">  Three state agencies serving different populations came together to develop and implement an approach and program to address social isolation and loneliness among older adults and people with disabilities</w:t>
      </w:r>
      <w:r w:rsidR="000275F1" w:rsidRPr="004A3558">
        <w:rPr>
          <w:rFonts w:eastAsiaTheme="minorHAnsi"/>
        </w:rPr>
        <w:t>.</w:t>
      </w:r>
      <w:r w:rsidRPr="004A3558">
        <w:rPr>
          <w:rFonts w:eastAsiaTheme="minorHAnsi"/>
        </w:rPr>
        <w:t xml:space="preserve">  All partners had high degree of confidence and trust in the AT program’s ability to prescribe, purchase, </w:t>
      </w:r>
      <w:r w:rsidR="00D563DB" w:rsidRPr="004A3558">
        <w:rPr>
          <w:rFonts w:eastAsiaTheme="minorHAnsi"/>
        </w:rPr>
        <w:t xml:space="preserve">quickly </w:t>
      </w:r>
      <w:r w:rsidR="00EE5755" w:rsidRPr="004A3558">
        <w:rPr>
          <w:rFonts w:eastAsiaTheme="minorHAnsi"/>
        </w:rPr>
        <w:t xml:space="preserve">distribute </w:t>
      </w:r>
      <w:r w:rsidRPr="004A3558">
        <w:rPr>
          <w:rFonts w:eastAsiaTheme="minorHAnsi"/>
        </w:rPr>
        <w:t>and train users on the use of AT devices and bundles.</w:t>
      </w:r>
    </w:p>
    <w:p w14:paraId="1234827E" w14:textId="435E257F" w:rsidR="00DA73BF" w:rsidRPr="004A3558" w:rsidRDefault="00DA73BF" w:rsidP="00DA73BF">
      <w:pPr>
        <w:pStyle w:val="Numberedlist"/>
        <w:numPr>
          <w:ilvl w:val="0"/>
          <w:numId w:val="24"/>
        </w:numPr>
        <w:rPr>
          <w:rFonts w:eastAsiaTheme="minorHAnsi"/>
        </w:rPr>
      </w:pPr>
      <w:r w:rsidRPr="004A3558">
        <w:rPr>
          <w:rFonts w:eastAsiaTheme="minorHAnsi"/>
          <w:b/>
          <w:bCs/>
          <w:u w:val="single"/>
        </w:rPr>
        <w:t>High Technology Usage Rates:</w:t>
      </w:r>
      <w:r w:rsidRPr="004A3558">
        <w:rPr>
          <w:rFonts w:eastAsiaTheme="minorHAnsi"/>
        </w:rPr>
        <w:t xml:space="preserve"> Since the AT devices provided to the participants were prescribed, purchased, and provided to users with accompanying training resources by AT experts connected with the Illinois AT Program and the University of Illinois Chicago-Assistive Technology Unit, usage rate was extremely high. The majority of recipients reported using the technology more than 5 times per week and no respondents reported that they did not use the technology at all (thus </w:t>
      </w:r>
      <w:r w:rsidR="00BC3F8C" w:rsidRPr="004A3558">
        <w:rPr>
          <w:rFonts w:eastAsiaTheme="minorHAnsi"/>
        </w:rPr>
        <w:t xml:space="preserve">little </w:t>
      </w:r>
      <w:r w:rsidRPr="004A3558">
        <w:rPr>
          <w:rFonts w:eastAsiaTheme="minorHAnsi"/>
        </w:rPr>
        <w:t xml:space="preserve">abandonment). </w:t>
      </w:r>
    </w:p>
    <w:p w14:paraId="05601A17" w14:textId="2230A74A" w:rsidR="008F5131" w:rsidRPr="004A3558" w:rsidRDefault="008F5131" w:rsidP="00DA73BF">
      <w:pPr>
        <w:pStyle w:val="Numberedlist"/>
        <w:numPr>
          <w:ilvl w:val="0"/>
          <w:numId w:val="24"/>
        </w:numPr>
        <w:rPr>
          <w:rFonts w:eastAsiaTheme="minorHAnsi"/>
        </w:rPr>
      </w:pPr>
      <w:r w:rsidRPr="004A3558">
        <w:rPr>
          <w:rFonts w:eastAsiaTheme="minorHAnsi"/>
          <w:b/>
          <w:bCs/>
          <w:u w:val="single"/>
        </w:rPr>
        <w:t>Leveraging diverse resources creatively:</w:t>
      </w:r>
      <w:r w:rsidRPr="004A3558">
        <w:rPr>
          <w:rFonts w:eastAsiaTheme="minorHAnsi"/>
        </w:rPr>
        <w:t xml:space="preserve">  While IATP could not utilize Assistive Technology Act funds to purchase assistive technology devices directly for seniors and individuals with disabilities, the ICC program took advantage of the opportunity to utilize CARES Act funding during the pandemic to purchase </w:t>
      </w:r>
      <w:r w:rsidR="00D563DB" w:rsidRPr="004A3558">
        <w:rPr>
          <w:rFonts w:eastAsiaTheme="minorHAnsi"/>
        </w:rPr>
        <w:t xml:space="preserve">and quickly distribute </w:t>
      </w:r>
      <w:r w:rsidRPr="004A3558">
        <w:rPr>
          <w:rFonts w:eastAsiaTheme="minorHAnsi"/>
        </w:rPr>
        <w:t>th</w:t>
      </w:r>
      <w:r w:rsidR="00931F5B" w:rsidRPr="004A3558">
        <w:rPr>
          <w:rFonts w:eastAsiaTheme="minorHAnsi"/>
        </w:rPr>
        <w:t>is critically needed</w:t>
      </w:r>
      <w:r w:rsidRPr="004A3558">
        <w:rPr>
          <w:rFonts w:eastAsiaTheme="minorHAnsi"/>
        </w:rPr>
        <w:t xml:space="preserve"> AT equipment.</w:t>
      </w:r>
    </w:p>
    <w:p w14:paraId="52D58925" w14:textId="3EF2365E" w:rsidR="008F5131" w:rsidRPr="004A3558" w:rsidRDefault="008F5131" w:rsidP="00DA73BF">
      <w:pPr>
        <w:pStyle w:val="Numberedlist"/>
        <w:numPr>
          <w:ilvl w:val="0"/>
          <w:numId w:val="24"/>
        </w:numPr>
        <w:rPr>
          <w:rFonts w:eastAsiaTheme="minorHAnsi"/>
        </w:rPr>
      </w:pPr>
      <w:r w:rsidRPr="004A3558">
        <w:rPr>
          <w:rFonts w:eastAsiaTheme="minorHAnsi"/>
          <w:b/>
          <w:bCs/>
          <w:u w:val="single"/>
        </w:rPr>
        <w:t>Focus on information sharing:</w:t>
      </w:r>
      <w:r w:rsidR="003D443F" w:rsidRPr="004A3558">
        <w:rPr>
          <w:rFonts w:eastAsiaTheme="minorHAnsi"/>
          <w:b/>
          <w:bCs/>
          <w:u w:val="single"/>
        </w:rPr>
        <w:t xml:space="preserve"> </w:t>
      </w:r>
      <w:r w:rsidRPr="004A3558">
        <w:rPr>
          <w:rFonts w:eastAsiaTheme="minorHAnsi"/>
        </w:rPr>
        <w:t xml:space="preserve"> The Director of the State of Illinois AT Project reached out to other state AT program directors and staff in an effort to discuss common service challenges and to learn about potential solutions to address these challenges. </w:t>
      </w:r>
      <w:r w:rsidR="000275F1" w:rsidRPr="004A3558">
        <w:rPr>
          <w:rFonts w:eastAsiaTheme="minorHAnsi"/>
        </w:rPr>
        <w:t xml:space="preserve"> </w:t>
      </w:r>
      <w:r w:rsidRPr="004A3558">
        <w:rPr>
          <w:rFonts w:eastAsiaTheme="minorHAnsi"/>
        </w:rPr>
        <w:t xml:space="preserve">Other State AT programs also reached out to the Illinois AT program to learn about why the provision of AT bundles to older Americans and persons worked and ask for help with technical assistance and available materials to replicate the intervention. </w:t>
      </w:r>
    </w:p>
    <w:p w14:paraId="64FB3166" w14:textId="3AEC79DD" w:rsidR="008F5131" w:rsidRPr="004A3558" w:rsidRDefault="008F5131" w:rsidP="00DA73BF">
      <w:pPr>
        <w:pStyle w:val="Numberedlist"/>
        <w:numPr>
          <w:ilvl w:val="0"/>
          <w:numId w:val="24"/>
        </w:numPr>
        <w:rPr>
          <w:rFonts w:eastAsiaTheme="minorHAnsi"/>
        </w:rPr>
      </w:pPr>
      <w:r w:rsidRPr="004A3558">
        <w:rPr>
          <w:rFonts w:eastAsiaTheme="minorHAnsi"/>
          <w:b/>
          <w:bCs/>
          <w:u w:val="single"/>
        </w:rPr>
        <w:t>Measuring the impact of the effort:</w:t>
      </w:r>
      <w:r w:rsidRPr="004A3558">
        <w:rPr>
          <w:rFonts w:eastAsiaTheme="minorHAnsi"/>
        </w:rPr>
        <w:t xml:space="preserve">  The ICC program understood how important it was to measure the impact of providing the AT devices to the target populations.  Therefore, they identified measures, including a well-respected UCLA loneliness rating scale, developed a pre-post-test design for the analysis</w:t>
      </w:r>
      <w:r w:rsidR="000275F1" w:rsidRPr="004A3558">
        <w:rPr>
          <w:rFonts w:eastAsiaTheme="minorHAnsi"/>
        </w:rPr>
        <w:t>,</w:t>
      </w:r>
      <w:r w:rsidRPr="004A3558">
        <w:rPr>
          <w:rFonts w:eastAsiaTheme="minorHAnsi"/>
        </w:rPr>
        <w:t xml:space="preserve"> and used bivariate, correlational analyses to conduct the study.  </w:t>
      </w:r>
    </w:p>
    <w:p w14:paraId="13A2F18C" w14:textId="5245BCB3" w:rsidR="008F5131" w:rsidRPr="004A3558" w:rsidRDefault="008F5131" w:rsidP="00DA73BF">
      <w:pPr>
        <w:pStyle w:val="Numberedlist"/>
        <w:numPr>
          <w:ilvl w:val="0"/>
          <w:numId w:val="24"/>
        </w:numPr>
        <w:spacing w:after="240"/>
        <w:rPr>
          <w:rFonts w:eastAsiaTheme="minorHAnsi"/>
        </w:rPr>
      </w:pPr>
      <w:r w:rsidRPr="004A3558">
        <w:rPr>
          <w:rFonts w:eastAsiaTheme="minorHAnsi"/>
          <w:b/>
          <w:bCs/>
          <w:u w:val="single"/>
        </w:rPr>
        <w:t>Strengthening the story with context:</w:t>
      </w:r>
      <w:r w:rsidRPr="004A3558">
        <w:rPr>
          <w:rFonts w:eastAsiaTheme="minorHAnsi"/>
        </w:rPr>
        <w:t xml:space="preserve"> </w:t>
      </w:r>
      <w:r w:rsidR="003D443F" w:rsidRPr="004A3558">
        <w:rPr>
          <w:rFonts w:eastAsiaTheme="minorHAnsi"/>
        </w:rPr>
        <w:t xml:space="preserve"> </w:t>
      </w:r>
      <w:r w:rsidRPr="004A3558">
        <w:rPr>
          <w:rFonts w:eastAsiaTheme="minorHAnsi"/>
        </w:rPr>
        <w:t>Data without context often does not provide the whole story.  The ICC program was insightful enough to gather testimonials from participants who benefitted from the technology.</w:t>
      </w:r>
    </w:p>
    <w:p w14:paraId="6D193304" w14:textId="1E8AA079" w:rsidR="008F5131" w:rsidRPr="004A3558" w:rsidRDefault="008F5131" w:rsidP="00413322">
      <w:pPr>
        <w:pStyle w:val="Heading2"/>
        <w:spacing w:before="0" w:after="0"/>
        <w:rPr>
          <w:rFonts w:eastAsiaTheme="minorHAnsi"/>
          <w:color w:val="auto"/>
        </w:rPr>
      </w:pPr>
      <w:r w:rsidRPr="004A3558">
        <w:rPr>
          <w:rFonts w:eastAsiaTheme="minorHAnsi"/>
          <w:color w:val="auto"/>
        </w:rPr>
        <w:t>Conclusion and Implications</w:t>
      </w:r>
    </w:p>
    <w:p w14:paraId="07857D7C" w14:textId="4508CDB8" w:rsidR="00413322" w:rsidRPr="004A3558" w:rsidRDefault="00413322" w:rsidP="00B12A09">
      <w:pPr>
        <w:pBdr>
          <w:bottom w:val="single" w:sz="24" w:space="1" w:color="0070C0"/>
        </w:pBdr>
        <w:spacing w:before="0" w:after="0" w:line="180" w:lineRule="exact"/>
        <w:rPr>
          <w:rFonts w:eastAsiaTheme="minorHAnsi"/>
        </w:rPr>
      </w:pPr>
    </w:p>
    <w:p w14:paraId="26723C24" w14:textId="77777777" w:rsidR="00B12A09" w:rsidRDefault="00B12A09" w:rsidP="00B12A09">
      <w:pPr>
        <w:spacing w:before="0" w:after="0"/>
        <w:ind w:firstLine="432"/>
        <w:contextualSpacing/>
        <w:rPr>
          <w:rFonts w:eastAsiaTheme="minorHAnsi"/>
        </w:rPr>
      </w:pPr>
    </w:p>
    <w:p w14:paraId="7AC71244" w14:textId="42078C68" w:rsidR="008F5131" w:rsidRDefault="008F5131" w:rsidP="00B12A09">
      <w:pPr>
        <w:spacing w:before="0" w:after="0"/>
        <w:ind w:firstLine="432"/>
        <w:contextualSpacing/>
        <w:rPr>
          <w:rFonts w:eastAsiaTheme="minorHAnsi"/>
        </w:rPr>
      </w:pPr>
      <w:r w:rsidRPr="004A3558">
        <w:rPr>
          <w:rFonts w:eastAsiaTheme="minorHAnsi"/>
        </w:rPr>
        <w:t>Given what is known from the literature about the negative impact of social isolation and loneliness on older adults and people with disabilities, and the exacerbating consequences of the COVID-19 pandemic globally, developing innovative strategies to work collaboratively and efficiently with these populations and others in greatest need is critical.  The State of Illinois example provides an excellent blueprint and ultimately achieve</w:t>
      </w:r>
      <w:r w:rsidR="000275F1" w:rsidRPr="004A3558">
        <w:rPr>
          <w:rFonts w:eastAsiaTheme="minorHAnsi"/>
        </w:rPr>
        <w:t>s</w:t>
      </w:r>
      <w:r w:rsidRPr="004A3558">
        <w:rPr>
          <w:rFonts w:eastAsiaTheme="minorHAnsi"/>
        </w:rPr>
        <w:t xml:space="preserve"> positive and impactful outcomes, address</w:t>
      </w:r>
      <w:r w:rsidR="000275F1" w:rsidRPr="004A3558">
        <w:rPr>
          <w:rFonts w:eastAsiaTheme="minorHAnsi"/>
        </w:rPr>
        <w:t>es</w:t>
      </w:r>
      <w:r w:rsidRPr="004A3558">
        <w:rPr>
          <w:rFonts w:eastAsiaTheme="minorHAnsi"/>
        </w:rPr>
        <w:t xml:space="preserve"> equity and inclusion issues, and better meet</w:t>
      </w:r>
      <w:r w:rsidR="000275F1" w:rsidRPr="004A3558">
        <w:rPr>
          <w:rFonts w:eastAsiaTheme="minorHAnsi"/>
        </w:rPr>
        <w:t>s</w:t>
      </w:r>
      <w:r w:rsidRPr="004A3558">
        <w:rPr>
          <w:rFonts w:eastAsiaTheme="minorHAnsi"/>
        </w:rPr>
        <w:t xml:space="preserve"> our critical mission of serving and empowering those in greatest need.</w:t>
      </w:r>
    </w:p>
    <w:p w14:paraId="0B2379A9" w14:textId="6AFF06E2" w:rsidR="0086497E" w:rsidRDefault="0086497E" w:rsidP="00B12A09">
      <w:pPr>
        <w:spacing w:before="0" w:after="0"/>
        <w:ind w:firstLine="432"/>
        <w:contextualSpacing/>
        <w:rPr>
          <w:rFonts w:eastAsiaTheme="minorHAnsi"/>
        </w:rPr>
      </w:pPr>
    </w:p>
    <w:p w14:paraId="3AF6F4E5" w14:textId="67791A0D" w:rsidR="008C73EC" w:rsidRDefault="00193D54" w:rsidP="007708E8">
      <w:pPr>
        <w:spacing w:before="0" w:after="240"/>
        <w:ind w:left="720" w:right="720" w:firstLine="432"/>
        <w:jc w:val="center"/>
        <w:rPr>
          <w:rFonts w:eastAsiaTheme="minorHAnsi"/>
        </w:rPr>
      </w:pPr>
      <w:r w:rsidRPr="004A3558">
        <w:rPr>
          <w:rFonts w:eastAsiaTheme="minorHAnsi"/>
          <w:i/>
          <w:iCs/>
          <w:noProof/>
          <w:color w:val="004250" w:themeColor="accent1"/>
          <w:sz w:val="24"/>
          <w:szCs w:val="24"/>
        </w:rPr>
        <w:lastRenderedPageBreak/>
        <w:drawing>
          <wp:inline distT="0" distB="0" distL="0" distR="0" wp14:anchorId="2A65531C" wp14:editId="765DD2AF">
            <wp:extent cx="2186940" cy="1996440"/>
            <wp:effectExtent l="0" t="0" r="3810" b="3810"/>
            <wp:docPr id="16" name="Picture 16" descr="Photo of an Illinois Care Connections Program participant using an iP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of an Illinois Care Connections Program participant using an iPad.">
                      <a:extLst>
                        <a:ext uri="{C183D7F6-B498-43B3-948B-1728B52AA6E4}">
                          <adec:decorative xmlns:adec="http://schemas.microsoft.com/office/drawing/2017/decorative" val="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6940" cy="1996440"/>
                    </a:xfrm>
                    <a:prstGeom prst="rect">
                      <a:avLst/>
                    </a:prstGeom>
                    <a:noFill/>
                    <a:ln>
                      <a:noFill/>
                    </a:ln>
                  </pic:spPr>
                </pic:pic>
              </a:graphicData>
            </a:graphic>
          </wp:inline>
        </w:drawing>
      </w:r>
    </w:p>
    <w:p w14:paraId="13904CA3" w14:textId="73ACAA9C" w:rsidR="0086497E" w:rsidRDefault="0086497E" w:rsidP="007708E8">
      <w:pPr>
        <w:pBdr>
          <w:top w:val="single" w:sz="24" w:space="1" w:color="0070C0"/>
        </w:pBdr>
        <w:spacing w:before="0" w:after="0" w:line="180" w:lineRule="exact"/>
        <w:ind w:left="720" w:right="720" w:firstLine="432"/>
        <w:jc w:val="center"/>
        <w:rPr>
          <w:rFonts w:eastAsiaTheme="minorHAnsi"/>
        </w:rPr>
      </w:pPr>
    </w:p>
    <w:p w14:paraId="21D8BDE4" w14:textId="644BDF09" w:rsidR="0086497E" w:rsidRDefault="0086497E" w:rsidP="005A2080">
      <w:pPr>
        <w:spacing w:before="0" w:after="0"/>
        <w:ind w:left="720" w:right="720"/>
        <w:contextualSpacing/>
        <w:rPr>
          <w:rFonts w:eastAsiaTheme="minorHAnsi"/>
          <w:i/>
          <w:iCs/>
          <w:color w:val="0070C0"/>
        </w:rPr>
      </w:pPr>
      <w:r w:rsidRPr="0050416E">
        <w:rPr>
          <w:rFonts w:eastAsiaTheme="minorHAnsi"/>
          <w:i/>
          <w:iCs/>
          <w:color w:val="0070C0"/>
        </w:rPr>
        <w:t>“</w:t>
      </w:r>
      <w:r w:rsidR="00874A80">
        <w:rPr>
          <w:rFonts w:eastAsiaTheme="minorHAnsi"/>
          <w:i/>
          <w:iCs/>
          <w:color w:val="0070C0"/>
        </w:rPr>
        <w:t>I just wanted to say thank you so much to the Illinois Care Connections Program for the technology bundle that he received. Words cannot describe how the program has assisted him to stay in touch with our family and participate in programs and services he receives. Thank you again so much!</w:t>
      </w:r>
      <w:r w:rsidRPr="0050416E">
        <w:rPr>
          <w:rFonts w:eastAsiaTheme="minorHAnsi"/>
          <w:i/>
          <w:iCs/>
          <w:color w:val="0070C0"/>
        </w:rPr>
        <w:t>”</w:t>
      </w:r>
      <w:r w:rsidR="006957B2">
        <w:rPr>
          <w:rFonts w:eastAsiaTheme="minorHAnsi"/>
          <w:i/>
          <w:iCs/>
          <w:color w:val="0070C0"/>
        </w:rPr>
        <w:t xml:space="preserve">  </w:t>
      </w:r>
      <w:r w:rsidRPr="0050416E">
        <w:rPr>
          <w:rFonts w:eastAsiaTheme="minorHAnsi"/>
          <w:i/>
          <w:iCs/>
          <w:color w:val="0070C0"/>
        </w:rPr>
        <w:t>----</w:t>
      </w:r>
      <w:r w:rsidR="006957B2">
        <w:rPr>
          <w:rFonts w:eastAsiaTheme="minorHAnsi"/>
          <w:i/>
          <w:iCs/>
          <w:color w:val="0070C0"/>
        </w:rPr>
        <w:t xml:space="preserve">  </w:t>
      </w:r>
      <w:r w:rsidR="00F231E8">
        <w:rPr>
          <w:rFonts w:eastAsiaTheme="minorHAnsi"/>
          <w:i/>
          <w:iCs/>
          <w:color w:val="0070C0"/>
        </w:rPr>
        <w:t>Dana on behalf of her son</w:t>
      </w:r>
    </w:p>
    <w:p w14:paraId="12F9A1E8" w14:textId="7A45B12C" w:rsidR="0086497E" w:rsidRDefault="0086497E" w:rsidP="007708E8">
      <w:pPr>
        <w:pBdr>
          <w:bottom w:val="single" w:sz="24" w:space="1" w:color="0070C0"/>
        </w:pBdr>
        <w:spacing w:before="0" w:after="0" w:line="180" w:lineRule="exact"/>
        <w:ind w:left="720" w:right="720"/>
        <w:contextualSpacing/>
        <w:jc w:val="center"/>
        <w:rPr>
          <w:rFonts w:eastAsiaTheme="minorHAnsi"/>
          <w:i/>
          <w:iCs/>
          <w:color w:val="0070C0"/>
        </w:rPr>
      </w:pPr>
    </w:p>
    <w:p w14:paraId="6931231A" w14:textId="20348362" w:rsidR="008C73EC" w:rsidRDefault="008C73EC" w:rsidP="007708E8">
      <w:pPr>
        <w:pStyle w:val="Heading2"/>
        <w:spacing w:before="0" w:after="0"/>
        <w:ind w:left="720" w:right="720"/>
        <w:contextualSpacing/>
        <w:jc w:val="center"/>
        <w:rPr>
          <w:rFonts w:eastAsiaTheme="minorHAnsi"/>
          <w:color w:val="auto"/>
        </w:rPr>
      </w:pPr>
    </w:p>
    <w:p w14:paraId="0C62E124" w14:textId="5AE30433" w:rsidR="003D443F" w:rsidRPr="004A3558" w:rsidRDefault="003D443F" w:rsidP="007708E8">
      <w:pPr>
        <w:spacing w:before="0" w:after="0"/>
        <w:ind w:left="720" w:right="720"/>
        <w:jc w:val="center"/>
        <w:rPr>
          <w:rFonts w:ascii="Arial" w:eastAsiaTheme="minorHAnsi" w:hAnsi="Arial" w:cs="Arial"/>
          <w:b/>
          <w:bCs/>
          <w:iCs/>
          <w:color w:val="00647A" w:themeColor="accent1" w:themeTint="E6"/>
          <w:sz w:val="26"/>
        </w:rPr>
      </w:pPr>
      <w:r w:rsidRPr="004A3558">
        <w:rPr>
          <w:rFonts w:eastAsiaTheme="minorHAnsi"/>
        </w:rPr>
        <w:br w:type="page"/>
      </w:r>
    </w:p>
    <w:p w14:paraId="4214B79C" w14:textId="146E48BD" w:rsidR="008F5131" w:rsidRPr="004A3558" w:rsidRDefault="008F5131" w:rsidP="00413322">
      <w:pPr>
        <w:pStyle w:val="Heading2"/>
        <w:spacing w:after="0"/>
        <w:rPr>
          <w:rFonts w:eastAsiaTheme="minorHAnsi"/>
          <w:color w:val="auto"/>
        </w:rPr>
      </w:pPr>
      <w:r w:rsidRPr="004A3558">
        <w:rPr>
          <w:rFonts w:eastAsiaTheme="minorHAnsi"/>
          <w:color w:val="auto"/>
        </w:rPr>
        <w:lastRenderedPageBreak/>
        <w:t>Appendix A: Literature Review</w:t>
      </w:r>
    </w:p>
    <w:p w14:paraId="3E73F9E4" w14:textId="71B6871C" w:rsidR="00413322" w:rsidRPr="004A3558" w:rsidRDefault="00413322" w:rsidP="005C58E2">
      <w:pPr>
        <w:pBdr>
          <w:bottom w:val="single" w:sz="24" w:space="1" w:color="0070C0"/>
        </w:pBdr>
        <w:spacing w:before="0" w:after="0" w:line="180" w:lineRule="exact"/>
        <w:contextualSpacing/>
        <w:rPr>
          <w:rFonts w:eastAsiaTheme="minorHAnsi"/>
        </w:rPr>
      </w:pPr>
    </w:p>
    <w:p w14:paraId="6CE23FA3" w14:textId="77777777" w:rsidR="00421C03" w:rsidRDefault="00421C03" w:rsidP="00421C03">
      <w:pPr>
        <w:pStyle w:val="Heading3"/>
        <w:spacing w:before="0" w:after="0"/>
        <w:contextualSpacing/>
        <w:rPr>
          <w:rFonts w:eastAsiaTheme="minorHAnsi"/>
          <w:color w:val="auto"/>
        </w:rPr>
      </w:pPr>
    </w:p>
    <w:p w14:paraId="2FD4ADB8" w14:textId="5469760A" w:rsidR="008F5131" w:rsidRPr="004A3558" w:rsidRDefault="008F5131" w:rsidP="007602DE">
      <w:pPr>
        <w:pStyle w:val="Heading3"/>
        <w:spacing w:before="0" w:after="0"/>
        <w:contextualSpacing/>
        <w:rPr>
          <w:rFonts w:eastAsiaTheme="minorHAnsi"/>
          <w:color w:val="auto"/>
        </w:rPr>
      </w:pPr>
      <w:r w:rsidRPr="004A3558">
        <w:rPr>
          <w:rFonts w:eastAsiaTheme="minorHAnsi"/>
          <w:color w:val="auto"/>
        </w:rPr>
        <w:t>Defining Social Isolation and Loneliness</w:t>
      </w:r>
    </w:p>
    <w:p w14:paraId="29B2C999" w14:textId="77777777" w:rsidR="00A42B93" w:rsidRDefault="00A42B93" w:rsidP="00A42B93">
      <w:pPr>
        <w:spacing w:before="0" w:after="240"/>
        <w:ind w:firstLine="432"/>
        <w:contextualSpacing/>
        <w:rPr>
          <w:rFonts w:eastAsiaTheme="minorHAnsi"/>
        </w:rPr>
      </w:pPr>
    </w:p>
    <w:p w14:paraId="68DEA32F" w14:textId="77777777" w:rsidR="00CA624D" w:rsidRDefault="008F5131" w:rsidP="00CA624D">
      <w:pPr>
        <w:spacing w:before="0" w:after="240"/>
        <w:ind w:firstLine="432"/>
        <w:contextualSpacing/>
        <w:rPr>
          <w:rFonts w:eastAsiaTheme="minorHAnsi"/>
        </w:rPr>
      </w:pPr>
      <w:r w:rsidRPr="004A3558">
        <w:rPr>
          <w:rFonts w:eastAsiaTheme="minorHAnsi"/>
        </w:rPr>
        <w:t>Social isolation is defined as the “objective state of being isolated from people and lacking meaningful contact with a social network or community” (Shafiq, King, &amp; Rontal, 2020).  Loneliness is more subjective in nature and defined as the feeling that one's desired quantity or quality of social connections is unfulfilled (</w:t>
      </w:r>
      <w:r w:rsidR="005C32DA" w:rsidRPr="004A3558">
        <w:rPr>
          <w:rFonts w:eastAsiaTheme="minorHAnsi"/>
        </w:rPr>
        <w:t>Peplau and Perlman, 1982</w:t>
      </w:r>
      <w:r w:rsidRPr="004A3558">
        <w:rPr>
          <w:rFonts w:eastAsiaTheme="minorHAnsi"/>
        </w:rPr>
        <w:t>; </w:t>
      </w:r>
      <w:r w:rsidR="005C32DA" w:rsidRPr="004A3558">
        <w:rPr>
          <w:rFonts w:eastAsiaTheme="minorHAnsi"/>
        </w:rPr>
        <w:t>Hawkley and Cacioppo, 2010</w:t>
      </w:r>
      <w:r w:rsidRPr="004A3558">
        <w:rPr>
          <w:rFonts w:eastAsiaTheme="minorHAnsi"/>
        </w:rPr>
        <w:t xml:space="preserve">). </w:t>
      </w:r>
      <w:r w:rsidR="004916F3" w:rsidRPr="004A3558">
        <w:rPr>
          <w:rFonts w:eastAsiaTheme="minorHAnsi"/>
        </w:rPr>
        <w:t xml:space="preserve"> </w:t>
      </w:r>
      <w:r w:rsidRPr="004A3558">
        <w:rPr>
          <w:rFonts w:eastAsiaTheme="minorHAnsi"/>
        </w:rPr>
        <w:t>Social isolation and loneliness have grown alarmingly in prevalence and concern due to the COVID-19 pandemic (U.S. CDC, 2020).  This growth has been accelerated by the necessity of lowering the spread of the virus and practicing precautionary measures such as physical distancing, quarantining, wearing masks, and isolation of positive cases (Advancing States, 2020).</w:t>
      </w:r>
    </w:p>
    <w:p w14:paraId="3AF028F1" w14:textId="77777777" w:rsidR="00CA624D" w:rsidRDefault="00CA624D" w:rsidP="00CA624D">
      <w:pPr>
        <w:spacing w:before="0" w:after="240"/>
        <w:ind w:firstLine="432"/>
        <w:contextualSpacing/>
        <w:rPr>
          <w:rFonts w:eastAsiaTheme="minorHAnsi"/>
        </w:rPr>
      </w:pPr>
    </w:p>
    <w:p w14:paraId="5AB44F4A" w14:textId="77777777" w:rsidR="0001752D" w:rsidRDefault="008F5131" w:rsidP="0001752D">
      <w:pPr>
        <w:spacing w:before="0" w:after="240"/>
        <w:ind w:firstLine="432"/>
        <w:contextualSpacing/>
        <w:rPr>
          <w:rFonts w:eastAsiaTheme="minorHAnsi"/>
        </w:rPr>
      </w:pPr>
      <w:r w:rsidRPr="004A3558">
        <w:rPr>
          <w:rFonts w:eastAsiaTheme="minorHAnsi"/>
        </w:rPr>
        <w:t>For older adults, social isolation and loneliness have been linked to a diverse range of problems, including</w:t>
      </w:r>
      <w:r w:rsidR="00A5286A" w:rsidRPr="004A3558">
        <w:rPr>
          <w:rFonts w:eastAsiaTheme="minorHAnsi"/>
        </w:rPr>
        <w:t>:</w:t>
      </w:r>
      <w:r w:rsidRPr="004A3558">
        <w:rPr>
          <w:rFonts w:eastAsiaTheme="minorHAnsi"/>
        </w:rPr>
        <w:t xml:space="preserve"> reduced happiness, life satisfaction, and psychological well-being; increased depression; compromised physical and mental health; </w:t>
      </w:r>
      <w:r w:rsidR="00A5286A" w:rsidRPr="004A3558">
        <w:rPr>
          <w:rFonts w:eastAsiaTheme="minorHAnsi"/>
        </w:rPr>
        <w:t xml:space="preserve">and </w:t>
      </w:r>
      <w:r w:rsidRPr="004A3558">
        <w:rPr>
          <w:rFonts w:eastAsiaTheme="minorHAnsi"/>
        </w:rPr>
        <w:t>substance abuse, cognitive impairment and suicide (Holt-Lunstad, Smith, &amp; Layton, 2010; Pantell et al., 2013).  Two-thirds (2/3) of older adults in this country report having experienced social isolation since the onset of COVID-19 (AARP Foundation, 2020; Killgore, Cloonan, Taylor, &amp; Dailey, 2020).</w:t>
      </w:r>
      <w:r w:rsidR="004916F3" w:rsidRPr="004A3558">
        <w:rPr>
          <w:rFonts w:eastAsiaTheme="minorHAnsi"/>
        </w:rPr>
        <w:t xml:space="preserve"> </w:t>
      </w:r>
      <w:r w:rsidRPr="004A3558">
        <w:rPr>
          <w:rFonts w:eastAsiaTheme="minorHAnsi"/>
        </w:rPr>
        <w:t xml:space="preserve"> Individuals aged 65 years and older and individuals with certain underlying medical conditions and chronic disease are at higher risk for severe illness from COVID-19 (</w:t>
      </w:r>
      <w:r w:rsidR="0083299A" w:rsidRPr="004A3558">
        <w:rPr>
          <w:rFonts w:eastAsiaTheme="minorHAnsi"/>
        </w:rPr>
        <w:t xml:space="preserve">US </w:t>
      </w:r>
      <w:r w:rsidRPr="004A3558">
        <w:rPr>
          <w:rFonts w:eastAsiaTheme="minorHAnsi"/>
        </w:rPr>
        <w:t xml:space="preserve">CDC, 2020; Luchetti et al., 2020). </w:t>
      </w:r>
      <w:r w:rsidR="004916F3" w:rsidRPr="004A3558">
        <w:rPr>
          <w:rFonts w:eastAsiaTheme="minorHAnsi"/>
        </w:rPr>
        <w:t xml:space="preserve"> </w:t>
      </w:r>
      <w:r w:rsidRPr="004A3558">
        <w:rPr>
          <w:rFonts w:eastAsiaTheme="minorHAnsi"/>
        </w:rPr>
        <w:t>Some research suggests that approximately one</w:t>
      </w:r>
      <w:r w:rsidR="00A5286A" w:rsidRPr="004A3558">
        <w:rPr>
          <w:rFonts w:eastAsiaTheme="minorHAnsi"/>
        </w:rPr>
        <w:t>-</w:t>
      </w:r>
      <w:r w:rsidRPr="004A3558">
        <w:rPr>
          <w:rFonts w:eastAsiaTheme="minorHAnsi"/>
        </w:rPr>
        <w:t>fourth (1/4) of community-dwelling older adults are considered to be socially isolated, and 43</w:t>
      </w:r>
      <w:r w:rsidR="00A5286A" w:rsidRPr="004A3558">
        <w:rPr>
          <w:rFonts w:eastAsiaTheme="minorHAnsi"/>
        </w:rPr>
        <w:t xml:space="preserve"> percent</w:t>
      </w:r>
      <w:r w:rsidRPr="004A3558">
        <w:rPr>
          <w:rFonts w:eastAsiaTheme="minorHAnsi"/>
        </w:rPr>
        <w:t xml:space="preserve"> reported feeling lonely (AARP Foundation, 2018).  </w:t>
      </w:r>
    </w:p>
    <w:p w14:paraId="4BFA4CDB" w14:textId="77777777" w:rsidR="0001752D" w:rsidRDefault="0001752D" w:rsidP="0001752D">
      <w:pPr>
        <w:spacing w:before="0" w:after="240"/>
        <w:ind w:firstLine="432"/>
        <w:contextualSpacing/>
        <w:rPr>
          <w:rFonts w:eastAsiaTheme="minorHAnsi"/>
        </w:rPr>
      </w:pPr>
    </w:p>
    <w:p w14:paraId="459C6127" w14:textId="5252C271" w:rsidR="004D6D4C" w:rsidRPr="004A3558" w:rsidRDefault="008F5131" w:rsidP="0001752D">
      <w:pPr>
        <w:spacing w:before="0" w:after="240"/>
        <w:ind w:firstLine="432"/>
        <w:contextualSpacing/>
        <w:rPr>
          <w:rFonts w:eastAsiaTheme="minorHAnsi"/>
        </w:rPr>
      </w:pPr>
      <w:r w:rsidRPr="004A3558">
        <w:rPr>
          <w:rFonts w:eastAsiaTheme="minorHAnsi"/>
        </w:rPr>
        <w:t>For people with disabilities, studies show that they experience higher levels of loneliness compared to the general population.  Risk factors for social isolation and loneliness for people with disabilities include living alone, mobility disabilities, and major life transitions, all become more prevalent in older age (Emerson et al</w:t>
      </w:r>
      <w:r w:rsidR="00A5286A" w:rsidRPr="004A3558">
        <w:rPr>
          <w:rFonts w:eastAsiaTheme="minorHAnsi"/>
        </w:rPr>
        <w:t>.</w:t>
      </w:r>
      <w:r w:rsidRPr="004A3558">
        <w:rPr>
          <w:rFonts w:eastAsiaTheme="minorHAnsi"/>
        </w:rPr>
        <w:t>, 2021).  Specific health risks include increased mortality, increased blood pressure and progression of Alzheimer’s Disease, depression, pain, fatigue, failing immune system, and decreased restorative sleep (Shafiq, King &amp;</w:t>
      </w:r>
      <w:r w:rsidR="00A5286A" w:rsidRPr="004A3558">
        <w:rPr>
          <w:rFonts w:eastAsiaTheme="minorHAnsi"/>
        </w:rPr>
        <w:t xml:space="preserve"> </w:t>
      </w:r>
      <w:r w:rsidRPr="004A3558">
        <w:rPr>
          <w:rFonts w:eastAsiaTheme="minorHAnsi"/>
        </w:rPr>
        <w:t>Rontal,</w:t>
      </w:r>
      <w:r w:rsidR="00A5286A" w:rsidRPr="004A3558">
        <w:rPr>
          <w:rFonts w:eastAsiaTheme="minorHAnsi"/>
        </w:rPr>
        <w:t xml:space="preserve"> </w:t>
      </w:r>
      <w:r w:rsidRPr="004A3558">
        <w:rPr>
          <w:rFonts w:eastAsiaTheme="minorHAnsi"/>
        </w:rPr>
        <w:t>2020).  COVID-19 guidelines that call for social distancing have intensified the social isolation and loneliness faced by individuals with disability, who may be home-bound and have more limited physical functioning.</w:t>
      </w:r>
    </w:p>
    <w:p w14:paraId="4A8CB545" w14:textId="77777777" w:rsidR="008F5131" w:rsidRPr="004A3558" w:rsidRDefault="008F5131" w:rsidP="00C376AA">
      <w:pPr>
        <w:pStyle w:val="Heading3"/>
        <w:spacing w:before="0" w:after="240"/>
        <w:contextualSpacing/>
        <w:rPr>
          <w:rFonts w:eastAsiaTheme="minorHAnsi"/>
          <w:color w:val="auto"/>
        </w:rPr>
      </w:pPr>
      <w:r w:rsidRPr="004A3558">
        <w:rPr>
          <w:rFonts w:eastAsiaTheme="minorHAnsi"/>
          <w:color w:val="auto"/>
        </w:rPr>
        <w:t>Defining Assistive Technology</w:t>
      </w:r>
    </w:p>
    <w:p w14:paraId="13130504" w14:textId="06642019" w:rsidR="008F5131" w:rsidRPr="004A3558" w:rsidRDefault="008F5131" w:rsidP="005D1835">
      <w:pPr>
        <w:spacing w:before="0" w:after="240"/>
        <w:ind w:firstLine="432"/>
        <w:contextualSpacing/>
        <w:rPr>
          <w:rFonts w:eastAsiaTheme="minorHAnsi"/>
        </w:rPr>
      </w:pPr>
      <w:r w:rsidRPr="004A3558">
        <w:rPr>
          <w:rFonts w:eastAsiaTheme="minorHAnsi"/>
        </w:rPr>
        <w:t xml:space="preserve">Assistive technology is any item, piece of equipment, or system, whether acquired commercially, modified, or customized, that is commonly used to increase, maintain, or improve functional capabilities of individuals with disabilities (AT Act of 1998 as amended, 29 USC §3002). </w:t>
      </w:r>
      <w:r w:rsidR="004916F3" w:rsidRPr="004A3558">
        <w:rPr>
          <w:rFonts w:eastAsiaTheme="minorHAnsi"/>
        </w:rPr>
        <w:t xml:space="preserve"> </w:t>
      </w:r>
      <w:r w:rsidRPr="004A3558">
        <w:rPr>
          <w:rFonts w:eastAsiaTheme="minorHAnsi"/>
        </w:rPr>
        <w:t>Information and communication technology (ICT) include devices and applications such as mobile phones, smartphones, and computers that provide access to information and enable electronic communication (Schlomann et al, 2020).</w:t>
      </w:r>
      <w:r w:rsidR="004916F3" w:rsidRPr="004A3558">
        <w:rPr>
          <w:rFonts w:eastAsiaTheme="minorHAnsi"/>
        </w:rPr>
        <w:t xml:space="preserve"> </w:t>
      </w:r>
      <w:r w:rsidRPr="004A3558">
        <w:rPr>
          <w:rFonts w:eastAsiaTheme="minorHAnsi"/>
        </w:rPr>
        <w:t xml:space="preserve"> ICT can be especially beneficial for older adults and people with disabilities who may be experiencing social isolation and loneliness due to difficulty communicating with family and friends (Wister, Fyfe &amp; O’Dea, 2021).  </w:t>
      </w:r>
    </w:p>
    <w:p w14:paraId="5BB421F9" w14:textId="77777777" w:rsidR="008F5131" w:rsidRPr="004A3558" w:rsidRDefault="008F5131" w:rsidP="00556391">
      <w:pPr>
        <w:pStyle w:val="Heading3"/>
        <w:spacing w:before="0" w:after="240"/>
        <w:contextualSpacing/>
        <w:rPr>
          <w:rFonts w:eastAsiaTheme="minorHAnsi"/>
        </w:rPr>
      </w:pPr>
      <w:r w:rsidRPr="004A3558">
        <w:rPr>
          <w:rFonts w:eastAsiaTheme="minorHAnsi"/>
          <w:color w:val="auto"/>
        </w:rPr>
        <w:t>The Significance of Assistive Technology Programs</w:t>
      </w:r>
    </w:p>
    <w:p w14:paraId="7E639422" w14:textId="77777777" w:rsidR="00084CAE" w:rsidRDefault="008F5131" w:rsidP="00084CAE">
      <w:pPr>
        <w:spacing w:before="0" w:after="240"/>
        <w:ind w:firstLine="432"/>
        <w:contextualSpacing/>
        <w:rPr>
          <w:rFonts w:eastAsiaTheme="minorHAnsi"/>
        </w:rPr>
      </w:pPr>
      <w:r w:rsidRPr="004A3558">
        <w:rPr>
          <w:rFonts w:eastAsiaTheme="minorHAnsi"/>
        </w:rPr>
        <w:t xml:space="preserve">State and Territory Assistive Technology Programs (AT Programs), authorized under Section 4 of the Assistive Technology Act of 1998, focus on improving the provision of AT through comprehensive, </w:t>
      </w:r>
      <w:r w:rsidRPr="004A3558">
        <w:rPr>
          <w:rFonts w:eastAsiaTheme="minorHAnsi"/>
        </w:rPr>
        <w:lastRenderedPageBreak/>
        <w:t xml:space="preserve">statewide programs that are consumer-responsive. </w:t>
      </w:r>
      <w:r w:rsidR="004916F3" w:rsidRPr="004A3558">
        <w:rPr>
          <w:rFonts w:eastAsiaTheme="minorHAnsi"/>
        </w:rPr>
        <w:t xml:space="preserve"> </w:t>
      </w:r>
      <w:r w:rsidRPr="004A3558">
        <w:rPr>
          <w:rFonts w:eastAsiaTheme="minorHAnsi"/>
        </w:rPr>
        <w:t xml:space="preserve">The goal of these programs is to increase access to and acquisition of AT through an integrated set of state-level activities and state leadership activities. </w:t>
      </w:r>
      <w:r w:rsidR="004916F3" w:rsidRPr="004A3558">
        <w:rPr>
          <w:rFonts w:eastAsiaTheme="minorHAnsi"/>
        </w:rPr>
        <w:t xml:space="preserve"> </w:t>
      </w:r>
      <w:r w:rsidRPr="004A3558">
        <w:rPr>
          <w:rFonts w:eastAsiaTheme="minorHAnsi"/>
        </w:rPr>
        <w:t xml:space="preserve">Section 4 of the AT Act provides 56 formula grants, administered by the Administration </w:t>
      </w:r>
      <w:r w:rsidR="00A5286A" w:rsidRPr="004A3558">
        <w:rPr>
          <w:rFonts w:eastAsiaTheme="minorHAnsi"/>
        </w:rPr>
        <w:t>for</w:t>
      </w:r>
      <w:r w:rsidRPr="004A3558">
        <w:rPr>
          <w:rFonts w:eastAsiaTheme="minorHAnsi"/>
        </w:rPr>
        <w:t xml:space="preserve"> Community Living, to support an AT Program in each state, as well as the District of Columbia, Puerto Rico, American Samoa, Guam, the Northern Mariana Islands, and the U.S. Virgin Islands (Domin &amp; Shepard, 2021).</w:t>
      </w:r>
    </w:p>
    <w:p w14:paraId="4EF40BAC" w14:textId="77777777" w:rsidR="00084CAE" w:rsidRDefault="00084CAE" w:rsidP="00084CAE">
      <w:pPr>
        <w:spacing w:before="0" w:after="240"/>
        <w:ind w:firstLine="432"/>
        <w:contextualSpacing/>
        <w:rPr>
          <w:rFonts w:eastAsiaTheme="minorHAnsi"/>
        </w:rPr>
      </w:pPr>
    </w:p>
    <w:p w14:paraId="2D1640BC" w14:textId="77777777" w:rsidR="00165E2C" w:rsidRDefault="008F5131" w:rsidP="00165E2C">
      <w:pPr>
        <w:spacing w:before="0" w:after="240"/>
        <w:ind w:firstLine="432"/>
        <w:contextualSpacing/>
        <w:rPr>
          <w:rFonts w:eastAsiaTheme="minorHAnsi"/>
        </w:rPr>
      </w:pPr>
      <w:r w:rsidRPr="004A3558">
        <w:rPr>
          <w:rFonts w:eastAsiaTheme="minorHAnsi"/>
        </w:rPr>
        <w:t>Advances in ICT offer new opportunities for people with disabilities in terms of being able to engage in social and cultural activities more fully</w:t>
      </w:r>
      <w:r w:rsidR="00A5286A" w:rsidRPr="004A3558">
        <w:rPr>
          <w:rFonts w:eastAsiaTheme="minorHAnsi"/>
        </w:rPr>
        <w:t>.</w:t>
      </w:r>
      <w:r w:rsidRPr="004A3558">
        <w:rPr>
          <w:rFonts w:eastAsiaTheme="minorHAnsi"/>
        </w:rPr>
        <w:t xml:space="preserve">  Specifically, ICT helps people with disabilities participate in digital communication approaches such as e-learning, teleworking, tele-education, and telehealth opportunities that increases the quality and access to health care services (Mesure, 2016; Moore &amp; Anderson, 2003).  However, studies show that adults with disabilities often have unequal access to technology (Shafiq, King &amp; Rontal, 2020).  More than half (1/2) of Americans living with a disability report that their disability makes navigating websites challenging. </w:t>
      </w:r>
      <w:r w:rsidR="004916F3" w:rsidRPr="004A3558">
        <w:rPr>
          <w:rFonts w:eastAsiaTheme="minorHAnsi"/>
        </w:rPr>
        <w:t xml:space="preserve"> </w:t>
      </w:r>
      <w:r w:rsidRPr="004A3558">
        <w:rPr>
          <w:rFonts w:eastAsiaTheme="minorHAnsi"/>
        </w:rPr>
        <w:t>Barriers like this deter them from using technology to stay connected to loved ones and social networks (Shafiq, King &amp; Rontal, 2020).</w:t>
      </w:r>
    </w:p>
    <w:p w14:paraId="23142435" w14:textId="77777777" w:rsidR="00165E2C" w:rsidRDefault="00165E2C" w:rsidP="00165E2C">
      <w:pPr>
        <w:spacing w:before="0" w:after="240"/>
        <w:ind w:firstLine="432"/>
        <w:contextualSpacing/>
        <w:rPr>
          <w:rFonts w:eastAsiaTheme="minorHAnsi"/>
        </w:rPr>
      </w:pPr>
    </w:p>
    <w:p w14:paraId="334F7CD6" w14:textId="77777777" w:rsidR="00290737" w:rsidRDefault="008F5131" w:rsidP="00290737">
      <w:pPr>
        <w:spacing w:before="0" w:after="240"/>
        <w:ind w:firstLine="432"/>
        <w:contextualSpacing/>
        <w:rPr>
          <w:rFonts w:eastAsiaTheme="minorHAnsi"/>
        </w:rPr>
      </w:pPr>
      <w:r w:rsidRPr="004A3558">
        <w:rPr>
          <w:rFonts w:eastAsiaTheme="minorHAnsi"/>
        </w:rPr>
        <w:t xml:space="preserve">Similarly, older adults benefit from using ICT in that it helps increase their communication with their family and friends, expand their opportunities for lifelong learning, provide access to health-related information, explore additional resources for personal interests and entertainment, improve quality of life, and support daily activities of living (Chaffin &amp; Maddux, 2007, Gatto &amp; Tak, 2008).  A systematic review of </w:t>
      </w:r>
      <w:r w:rsidR="00A5286A" w:rsidRPr="004A3558">
        <w:rPr>
          <w:rFonts w:eastAsiaTheme="minorHAnsi"/>
        </w:rPr>
        <w:t xml:space="preserve">18 </w:t>
      </w:r>
      <w:r w:rsidRPr="004A3558">
        <w:rPr>
          <w:rFonts w:eastAsiaTheme="minorHAnsi"/>
        </w:rPr>
        <w:t>research studies also found that ICT significantly reduced loneliness among older adults in less than six months (Chen &amp; Schulz, 2016).</w:t>
      </w:r>
    </w:p>
    <w:p w14:paraId="1F4E17B2" w14:textId="77777777" w:rsidR="00290737" w:rsidRDefault="00290737" w:rsidP="00290737">
      <w:pPr>
        <w:spacing w:before="0" w:after="240"/>
        <w:ind w:firstLine="432"/>
        <w:contextualSpacing/>
        <w:rPr>
          <w:rFonts w:eastAsiaTheme="minorHAnsi"/>
        </w:rPr>
      </w:pPr>
    </w:p>
    <w:p w14:paraId="146C8F4B" w14:textId="04F6F573" w:rsidR="008F5131" w:rsidRPr="00290737" w:rsidRDefault="005C32DA" w:rsidP="00290737">
      <w:pPr>
        <w:spacing w:before="0" w:after="240"/>
        <w:ind w:firstLine="432"/>
        <w:contextualSpacing/>
        <w:rPr>
          <w:rFonts w:eastAsiaTheme="minorHAnsi"/>
        </w:rPr>
      </w:pPr>
      <w:r w:rsidRPr="004A3558">
        <w:rPr>
          <w:rFonts w:eastAsiaTheme="minorHAnsi"/>
          <w:b/>
          <w:bCs/>
          <w:i/>
          <w:iCs/>
        </w:rPr>
        <w:t xml:space="preserve">Special thanks to Kristi Hill, Vicki Gottlich, Richard Wheeler, Lori Gerhard, </w:t>
      </w:r>
      <w:r w:rsidR="00601165">
        <w:rPr>
          <w:rFonts w:eastAsiaTheme="minorHAnsi"/>
          <w:b/>
          <w:bCs/>
          <w:i/>
          <w:iCs/>
        </w:rPr>
        <w:t xml:space="preserve">Amy Wiatr-Rodriguez, </w:t>
      </w:r>
      <w:r w:rsidRPr="004A3558">
        <w:rPr>
          <w:rFonts w:eastAsiaTheme="minorHAnsi"/>
          <w:b/>
          <w:bCs/>
          <w:i/>
          <w:iCs/>
        </w:rPr>
        <w:t>and the Illinois AT Program for their important contributions.</w:t>
      </w:r>
      <w:r w:rsidRPr="004A3558">
        <w:rPr>
          <w:rFonts w:asciiTheme="minorHAnsi" w:eastAsiaTheme="minorHAnsi" w:hAnsiTheme="minorHAnsi" w:cstheme="minorHAnsi"/>
          <w:b/>
          <w:bCs/>
          <w:i/>
          <w:iCs/>
        </w:rPr>
        <w:t xml:space="preserve"> </w:t>
      </w:r>
      <w:r w:rsidR="008F5131" w:rsidRPr="004A3558">
        <w:rPr>
          <w:rFonts w:asciiTheme="minorHAnsi" w:eastAsiaTheme="minorHAnsi" w:hAnsiTheme="minorHAnsi" w:cstheme="minorHAnsi"/>
          <w:b/>
          <w:bCs/>
          <w:i/>
          <w:iCs/>
        </w:rPr>
        <w:br w:type="page"/>
      </w:r>
    </w:p>
    <w:p w14:paraId="23C1DCD5" w14:textId="52608C56" w:rsidR="008F5131" w:rsidRPr="004A3558" w:rsidRDefault="008F5131" w:rsidP="00413322">
      <w:pPr>
        <w:pStyle w:val="Heading2"/>
        <w:spacing w:after="0"/>
        <w:rPr>
          <w:rFonts w:eastAsiaTheme="minorHAnsi"/>
          <w:color w:val="auto"/>
        </w:rPr>
      </w:pPr>
      <w:r w:rsidRPr="004A3558">
        <w:rPr>
          <w:rFonts w:eastAsiaTheme="minorHAnsi"/>
          <w:color w:val="auto"/>
        </w:rPr>
        <w:lastRenderedPageBreak/>
        <w:t>References</w:t>
      </w:r>
    </w:p>
    <w:p w14:paraId="5CF4988E" w14:textId="47563655" w:rsidR="00413322" w:rsidRPr="004A3558" w:rsidRDefault="00413322" w:rsidP="00BA56C8">
      <w:pPr>
        <w:pBdr>
          <w:bottom w:val="single" w:sz="24" w:space="1" w:color="0070C0"/>
        </w:pBdr>
        <w:spacing w:before="0" w:after="0" w:line="180" w:lineRule="exact"/>
        <w:contextualSpacing/>
        <w:rPr>
          <w:rFonts w:eastAsiaTheme="minorHAnsi"/>
        </w:rPr>
      </w:pPr>
    </w:p>
    <w:p w14:paraId="671A5AAF" w14:textId="77777777" w:rsidR="00F0658E" w:rsidRDefault="00F0658E" w:rsidP="00BA56C8">
      <w:pPr>
        <w:spacing w:before="0" w:after="0"/>
        <w:ind w:left="432" w:hanging="432"/>
        <w:contextualSpacing/>
        <w:rPr>
          <w:rFonts w:asciiTheme="minorHAnsi" w:hAnsiTheme="minorHAnsi" w:cstheme="minorHAnsi"/>
        </w:rPr>
      </w:pPr>
    </w:p>
    <w:p w14:paraId="5F418DC6" w14:textId="679F58B1" w:rsidR="008F5131" w:rsidRPr="004A3558" w:rsidRDefault="008F5131" w:rsidP="004916F3">
      <w:pPr>
        <w:spacing w:before="0"/>
        <w:ind w:left="432" w:hanging="432"/>
        <w:rPr>
          <w:rFonts w:asciiTheme="minorHAnsi" w:hAnsiTheme="minorHAnsi" w:cstheme="minorHAnsi"/>
        </w:rPr>
      </w:pPr>
      <w:r w:rsidRPr="004A3558">
        <w:rPr>
          <w:rFonts w:asciiTheme="minorHAnsi" w:hAnsiTheme="minorHAnsi" w:cstheme="minorHAnsi"/>
        </w:rPr>
        <w:t xml:space="preserve">AARP Foundation and United Health Foundation. (2020). </w:t>
      </w:r>
      <w:r w:rsidRPr="004A3558">
        <w:rPr>
          <w:rFonts w:asciiTheme="minorHAnsi" w:eastAsiaTheme="minorHAnsi" w:hAnsiTheme="minorHAnsi" w:cstheme="minorHAnsi"/>
        </w:rPr>
        <w:t>The Pandemic Effect: A Social Isolation Report.</w:t>
      </w:r>
    </w:p>
    <w:p w14:paraId="70E8E02F" w14:textId="77777777" w:rsidR="008F5131" w:rsidRPr="004A3558" w:rsidRDefault="008F5131" w:rsidP="004916F3">
      <w:pPr>
        <w:spacing w:before="0"/>
        <w:ind w:left="432" w:hanging="432"/>
        <w:rPr>
          <w:rFonts w:asciiTheme="minorHAnsi" w:eastAsiaTheme="minorHAnsi" w:hAnsiTheme="minorHAnsi" w:cstheme="minorHAnsi"/>
        </w:rPr>
      </w:pPr>
      <w:r w:rsidRPr="004A3558">
        <w:rPr>
          <w:rFonts w:asciiTheme="minorHAnsi" w:eastAsiaTheme="minorHAnsi" w:hAnsiTheme="minorHAnsi" w:cstheme="minorHAnsi"/>
        </w:rPr>
        <w:t xml:space="preserve">AARP Foundation. (2018). A National Survey of Adults 45 and Older: Loneliness and Social Connections. </w:t>
      </w:r>
    </w:p>
    <w:p w14:paraId="30ED638F" w14:textId="77777777" w:rsidR="008F5131" w:rsidRPr="004A3558" w:rsidRDefault="008F5131" w:rsidP="004916F3">
      <w:pPr>
        <w:spacing w:before="0"/>
        <w:ind w:left="432" w:hanging="432"/>
        <w:rPr>
          <w:rFonts w:asciiTheme="minorHAnsi" w:hAnsiTheme="minorHAnsi" w:cstheme="minorHAnsi"/>
        </w:rPr>
      </w:pPr>
      <w:r w:rsidRPr="004A3558">
        <w:rPr>
          <w:rFonts w:asciiTheme="minorHAnsi" w:eastAsiaTheme="minorHAnsi" w:hAnsiTheme="minorHAnsi" w:cstheme="minorHAnsi"/>
        </w:rPr>
        <w:t>Administration for Community Living. (2020). Engage Virtually. Washington, DC.</w:t>
      </w:r>
    </w:p>
    <w:p w14:paraId="171597E2" w14:textId="77777777" w:rsidR="008F5131" w:rsidRPr="004A3558" w:rsidRDefault="008F5131" w:rsidP="004916F3">
      <w:pPr>
        <w:spacing w:before="0"/>
        <w:ind w:left="432" w:hanging="432"/>
        <w:rPr>
          <w:rFonts w:asciiTheme="minorHAnsi" w:eastAsiaTheme="minorHAnsi" w:hAnsiTheme="minorHAnsi" w:cstheme="minorHAnsi"/>
        </w:rPr>
      </w:pPr>
      <w:r w:rsidRPr="004A3558">
        <w:rPr>
          <w:rFonts w:asciiTheme="minorHAnsi" w:eastAsiaTheme="minorHAnsi" w:hAnsiTheme="minorHAnsi" w:cstheme="minorHAnsi"/>
        </w:rPr>
        <w:t>Administration for Community Living. (2020). Strategic Framework for Action: State Opportunities to Integrate Services and Improve Outcomes for Older Adults and People with Disabilities. Washington, DC.</w:t>
      </w:r>
    </w:p>
    <w:p w14:paraId="753D718C" w14:textId="77777777" w:rsidR="00C21036" w:rsidRPr="004A3558" w:rsidRDefault="00C21036" w:rsidP="00C21036">
      <w:pPr>
        <w:spacing w:before="0"/>
        <w:ind w:left="432" w:hanging="432"/>
        <w:rPr>
          <w:rFonts w:asciiTheme="minorHAnsi" w:hAnsiTheme="minorHAnsi" w:cstheme="minorHAnsi"/>
        </w:rPr>
      </w:pPr>
      <w:r w:rsidRPr="004A3558">
        <w:rPr>
          <w:rFonts w:asciiTheme="minorHAnsi" w:hAnsiTheme="minorHAnsi" w:cstheme="minorHAnsi"/>
        </w:rPr>
        <w:t>Administration for Community Living. (2021). Assistive Technology Factsheet 2021. Washington, DC.</w:t>
      </w:r>
    </w:p>
    <w:p w14:paraId="3270871A" w14:textId="77777777" w:rsidR="008F5131" w:rsidRPr="004A3558" w:rsidRDefault="008F5131" w:rsidP="004916F3">
      <w:pPr>
        <w:spacing w:before="0"/>
        <w:ind w:left="432" w:hanging="432"/>
        <w:rPr>
          <w:rFonts w:asciiTheme="minorHAnsi" w:hAnsiTheme="minorHAnsi" w:cstheme="minorHAnsi"/>
        </w:rPr>
      </w:pPr>
      <w:r w:rsidRPr="004A3558">
        <w:rPr>
          <w:rFonts w:asciiTheme="minorHAnsi" w:eastAsiaTheme="minorHAnsi" w:hAnsiTheme="minorHAnsi" w:cstheme="minorHAnsi"/>
        </w:rPr>
        <w:t>Advancing States. (2020). Addressing Social Isolation for Older Adults During the COVID-19 Crisis.</w:t>
      </w:r>
    </w:p>
    <w:p w14:paraId="540D7E5F" w14:textId="21FAE956" w:rsidR="008F5131" w:rsidRPr="004A3558" w:rsidRDefault="008F5131" w:rsidP="004916F3">
      <w:pPr>
        <w:spacing w:before="0"/>
        <w:ind w:left="432" w:hanging="432"/>
        <w:rPr>
          <w:rFonts w:asciiTheme="minorHAnsi" w:eastAsiaTheme="minorHAnsi" w:hAnsiTheme="minorHAnsi" w:cstheme="minorHAnsi"/>
          <w:shd w:val="clear" w:color="auto" w:fill="FFFFFF"/>
        </w:rPr>
      </w:pPr>
      <w:r w:rsidRPr="004A3558">
        <w:rPr>
          <w:rFonts w:asciiTheme="minorHAnsi" w:eastAsiaTheme="minorHAnsi" w:hAnsiTheme="minorHAnsi" w:cstheme="minorHAnsi"/>
          <w:shd w:val="clear" w:color="auto" w:fill="FFFFFF"/>
        </w:rPr>
        <w:t xml:space="preserve">Beyer, S &amp; Perry, J (2013). Promoting independence through the use of assistive technology. </w:t>
      </w:r>
      <w:r w:rsidRPr="004A3558">
        <w:rPr>
          <w:rFonts w:asciiTheme="minorHAnsi" w:eastAsiaTheme="minorHAnsi" w:hAnsiTheme="minorHAnsi" w:cstheme="minorHAnsi"/>
          <w:i/>
          <w:iCs/>
          <w:shd w:val="clear" w:color="auto" w:fill="FFFFFF"/>
        </w:rPr>
        <w:t>Learning Disability Review</w:t>
      </w:r>
      <w:r w:rsidRPr="004A3558">
        <w:rPr>
          <w:rFonts w:asciiTheme="minorHAnsi" w:eastAsiaTheme="minorHAnsi" w:hAnsiTheme="minorHAnsi" w:cstheme="minorHAnsi"/>
          <w:shd w:val="clear" w:color="auto" w:fill="FFFFFF"/>
        </w:rPr>
        <w:t xml:space="preserve"> (18), 179-185.</w:t>
      </w:r>
    </w:p>
    <w:p w14:paraId="6E238ED5" w14:textId="34F5FCA5" w:rsidR="001649FE" w:rsidRPr="004A3558" w:rsidRDefault="001649FE" w:rsidP="004916F3">
      <w:pPr>
        <w:spacing w:before="0"/>
        <w:ind w:left="432" w:hanging="432"/>
        <w:rPr>
          <w:rFonts w:asciiTheme="minorHAnsi" w:eastAsiaTheme="minorHAnsi" w:hAnsiTheme="minorHAnsi" w:cstheme="minorHAnsi"/>
          <w:shd w:val="clear" w:color="auto" w:fill="FFFFFF"/>
        </w:rPr>
      </w:pPr>
      <w:r w:rsidRPr="004A3558">
        <w:rPr>
          <w:rFonts w:asciiTheme="minorHAnsi" w:eastAsiaTheme="minorHAnsi" w:hAnsiTheme="minorHAnsi" w:cstheme="minorHAnsi"/>
          <w:shd w:val="clear" w:color="auto" w:fill="FFFFFF"/>
        </w:rPr>
        <w:t xml:space="preserve">Bricout, J., Greer, J., Fields, N., Xu, L., Tamplain, P., Doelling, K., &amp; Sharma, B. (2021). The “humane in the loop”: inclusive research design and policy approaches to foster capacity building assistive technologies in the COVID-19 era. </w:t>
      </w:r>
      <w:r w:rsidRPr="004A3558">
        <w:rPr>
          <w:rFonts w:asciiTheme="minorHAnsi" w:eastAsiaTheme="minorHAnsi" w:hAnsiTheme="minorHAnsi" w:cstheme="minorHAnsi"/>
          <w:i/>
          <w:iCs/>
          <w:shd w:val="clear" w:color="auto" w:fill="FFFFFF"/>
        </w:rPr>
        <w:t>Assistive Technology</w:t>
      </w:r>
      <w:r w:rsidRPr="004A3558">
        <w:rPr>
          <w:rFonts w:asciiTheme="minorHAnsi" w:eastAsiaTheme="minorHAnsi" w:hAnsiTheme="minorHAnsi" w:cstheme="minorHAnsi"/>
          <w:shd w:val="clear" w:color="auto" w:fill="FFFFFF"/>
        </w:rPr>
        <w:t xml:space="preserve">. </w:t>
      </w:r>
      <w:hyperlink r:id="rId21" w:history="1">
        <w:r w:rsidRPr="00935155">
          <w:rPr>
            <w:rStyle w:val="Hyperlink"/>
            <w:rFonts w:asciiTheme="minorHAnsi" w:eastAsiaTheme="minorHAnsi" w:hAnsiTheme="minorHAnsi" w:cstheme="minorHAnsi"/>
            <w:shd w:val="clear" w:color="auto" w:fill="FFFFFF"/>
          </w:rPr>
          <w:t>https://doi.org/10.1080/10400435.2021.1930282</w:t>
        </w:r>
      </w:hyperlink>
    </w:p>
    <w:p w14:paraId="24B5E246" w14:textId="02046692" w:rsidR="008F5131" w:rsidRPr="004A3558" w:rsidRDefault="008F5131" w:rsidP="004916F3">
      <w:pPr>
        <w:spacing w:before="0"/>
        <w:ind w:left="432" w:hanging="432"/>
        <w:rPr>
          <w:rFonts w:asciiTheme="minorHAnsi" w:eastAsiaTheme="minorHAnsi" w:hAnsiTheme="minorHAnsi" w:cstheme="minorHAnsi"/>
        </w:rPr>
      </w:pPr>
      <w:r w:rsidRPr="004A3558">
        <w:rPr>
          <w:rFonts w:asciiTheme="minorHAnsi" w:eastAsiaTheme="minorHAnsi" w:hAnsiTheme="minorHAnsi" w:cstheme="minorHAnsi"/>
          <w:shd w:val="clear" w:color="auto" w:fill="FFFFFF"/>
        </w:rPr>
        <w:t xml:space="preserve">Chaffin, A. &amp; Maddux. C. (2007). </w:t>
      </w:r>
      <w:r w:rsidR="0083299A" w:rsidRPr="004A3558">
        <w:rPr>
          <w:rFonts w:asciiTheme="minorHAnsi" w:eastAsiaTheme="minorHAnsi" w:hAnsiTheme="minorHAnsi" w:cstheme="minorHAnsi"/>
        </w:rPr>
        <w:t>Accessibility accommodations for older adults seeking e-health information</w:t>
      </w:r>
      <w:r w:rsidRPr="004A3558">
        <w:rPr>
          <w:rFonts w:asciiTheme="minorHAnsi" w:eastAsiaTheme="minorHAnsi" w:hAnsiTheme="minorHAnsi" w:cstheme="minorHAnsi"/>
        </w:rPr>
        <w:t xml:space="preserve">. </w:t>
      </w:r>
      <w:r w:rsidRPr="004A3558">
        <w:rPr>
          <w:rFonts w:asciiTheme="minorHAnsi" w:eastAsiaTheme="minorHAnsi" w:hAnsiTheme="minorHAnsi" w:cstheme="minorHAnsi"/>
          <w:i/>
          <w:iCs/>
        </w:rPr>
        <w:t>Journal of Gerontological Nursing</w:t>
      </w:r>
      <w:r w:rsidRPr="004A3558">
        <w:rPr>
          <w:rFonts w:asciiTheme="minorHAnsi" w:eastAsiaTheme="minorHAnsi" w:hAnsiTheme="minorHAnsi" w:cstheme="minorHAnsi"/>
        </w:rPr>
        <w:t>.33 (3), 61</w:t>
      </w:r>
      <w:r w:rsidR="000E375F" w:rsidRPr="004A3558">
        <w:rPr>
          <w:rFonts w:asciiTheme="minorHAnsi" w:eastAsiaTheme="minorHAnsi" w:hAnsiTheme="minorHAnsi" w:cstheme="minorHAnsi"/>
        </w:rPr>
        <w:t>.</w:t>
      </w:r>
    </w:p>
    <w:p w14:paraId="70B65026" w14:textId="253D5120" w:rsidR="008F5131" w:rsidRPr="004A3558" w:rsidRDefault="008F5131" w:rsidP="004916F3">
      <w:pPr>
        <w:spacing w:before="0"/>
        <w:ind w:left="432" w:hanging="432"/>
        <w:rPr>
          <w:rFonts w:asciiTheme="minorHAnsi" w:eastAsiaTheme="minorHAnsi" w:hAnsiTheme="minorHAnsi" w:cstheme="minorHAnsi"/>
        </w:rPr>
      </w:pPr>
      <w:r w:rsidRPr="004A3558">
        <w:rPr>
          <w:rFonts w:asciiTheme="minorHAnsi" w:hAnsiTheme="minorHAnsi" w:cstheme="minorHAnsi"/>
        </w:rPr>
        <w:t xml:space="preserve">Chen, Y &amp; Schulz. P (2016).  </w:t>
      </w:r>
      <w:r w:rsidR="0083299A" w:rsidRPr="004A3558">
        <w:rPr>
          <w:rFonts w:asciiTheme="minorHAnsi" w:eastAsiaTheme="minorHAnsi" w:hAnsiTheme="minorHAnsi" w:cstheme="minorHAnsi"/>
        </w:rPr>
        <w:t>The effect of information communication technology interventions on reducing social isolation in the elderly: A systematic review</w:t>
      </w:r>
      <w:r w:rsidRPr="004A3558">
        <w:rPr>
          <w:rFonts w:asciiTheme="minorHAnsi" w:eastAsiaTheme="minorHAnsi" w:hAnsiTheme="minorHAnsi" w:cstheme="minorHAnsi"/>
        </w:rPr>
        <w:t xml:space="preserve">. </w:t>
      </w:r>
      <w:r w:rsidRPr="004A3558">
        <w:rPr>
          <w:rFonts w:asciiTheme="minorHAnsi" w:eastAsiaTheme="minorHAnsi" w:hAnsiTheme="minorHAnsi" w:cstheme="minorHAnsi"/>
          <w:i/>
          <w:iCs/>
        </w:rPr>
        <w:t>Journal of Medical Internet Research</w:t>
      </w:r>
      <w:r w:rsidRPr="004A3558">
        <w:rPr>
          <w:rFonts w:asciiTheme="minorHAnsi" w:eastAsiaTheme="minorHAnsi" w:hAnsiTheme="minorHAnsi" w:cstheme="minorHAnsi"/>
        </w:rPr>
        <w:t>, 18 (1)</w:t>
      </w:r>
      <w:r w:rsidR="000E375F" w:rsidRPr="004A3558">
        <w:rPr>
          <w:rFonts w:asciiTheme="minorHAnsi" w:eastAsiaTheme="minorHAnsi" w:hAnsiTheme="minorHAnsi" w:cstheme="minorHAnsi"/>
        </w:rPr>
        <w:t>.</w:t>
      </w:r>
    </w:p>
    <w:p w14:paraId="1D2DAEE7" w14:textId="31D64B3B" w:rsidR="008F5131" w:rsidRPr="004A3558" w:rsidRDefault="008F5131" w:rsidP="004916F3">
      <w:pPr>
        <w:shd w:val="clear" w:color="auto" w:fill="FFFFFF"/>
        <w:spacing w:before="0"/>
        <w:ind w:left="432" w:hanging="432"/>
        <w:rPr>
          <w:rFonts w:asciiTheme="minorHAnsi" w:eastAsiaTheme="minorHAnsi" w:hAnsiTheme="minorHAnsi" w:cstheme="minorHAnsi"/>
        </w:rPr>
      </w:pPr>
      <w:r w:rsidRPr="004A3558">
        <w:rPr>
          <w:rFonts w:asciiTheme="minorHAnsi" w:eastAsiaTheme="minorHAnsi" w:hAnsiTheme="minorHAnsi" w:cstheme="minorHAnsi"/>
        </w:rPr>
        <w:t>Domin, D. &amp; Shepard, J. (2021).   AT Act Data Brief: A National Data Summary of State Assistive Technology Programs: Fiscal Year 2020. Center for Assistive Technology Act Data Assistance (CATADA), 13.</w:t>
      </w:r>
    </w:p>
    <w:p w14:paraId="0510D8C0" w14:textId="6E170D41" w:rsidR="001649FE" w:rsidRPr="004A3558" w:rsidRDefault="001649FE" w:rsidP="004916F3">
      <w:pPr>
        <w:shd w:val="clear" w:color="auto" w:fill="FFFFFF"/>
        <w:spacing w:before="0"/>
        <w:ind w:left="432" w:hanging="432"/>
        <w:rPr>
          <w:rFonts w:asciiTheme="minorHAnsi" w:eastAsiaTheme="minorHAnsi" w:hAnsiTheme="minorHAnsi" w:cstheme="minorHAnsi"/>
        </w:rPr>
      </w:pPr>
      <w:r w:rsidRPr="004A3558">
        <w:rPr>
          <w:rFonts w:asciiTheme="minorHAnsi" w:eastAsiaTheme="minorHAnsi" w:hAnsiTheme="minorHAnsi" w:cstheme="minorHAnsi"/>
        </w:rPr>
        <w:t>Donehower, C., Vinoski,</w:t>
      </w:r>
      <w:r w:rsidR="007E597C" w:rsidRPr="004A3558">
        <w:rPr>
          <w:rFonts w:asciiTheme="minorHAnsi" w:eastAsiaTheme="minorHAnsi" w:hAnsiTheme="minorHAnsi" w:cstheme="minorHAnsi"/>
        </w:rPr>
        <w:t xml:space="preserve"> E.</w:t>
      </w:r>
      <w:r w:rsidRPr="004A3558">
        <w:rPr>
          <w:rFonts w:asciiTheme="minorHAnsi" w:eastAsiaTheme="minorHAnsi" w:hAnsiTheme="minorHAnsi" w:cstheme="minorHAnsi"/>
        </w:rPr>
        <w:t>, Doulin</w:t>
      </w:r>
      <w:r w:rsidR="007E597C" w:rsidRPr="004A3558">
        <w:rPr>
          <w:rFonts w:asciiTheme="minorHAnsi" w:eastAsiaTheme="minorHAnsi" w:hAnsiTheme="minorHAnsi" w:cstheme="minorHAnsi"/>
        </w:rPr>
        <w:t>, A.</w:t>
      </w:r>
      <w:r w:rsidRPr="004A3558">
        <w:rPr>
          <w:rFonts w:asciiTheme="minorHAnsi" w:eastAsiaTheme="minorHAnsi" w:hAnsiTheme="minorHAnsi" w:cstheme="minorHAnsi"/>
        </w:rPr>
        <w:t>, Hussain</w:t>
      </w:r>
      <w:r w:rsidR="007E597C" w:rsidRPr="004A3558">
        <w:rPr>
          <w:rFonts w:asciiTheme="minorHAnsi" w:eastAsiaTheme="minorHAnsi" w:hAnsiTheme="minorHAnsi" w:cstheme="minorHAnsi"/>
        </w:rPr>
        <w:t>, S.</w:t>
      </w:r>
      <w:r w:rsidRPr="004A3558">
        <w:rPr>
          <w:rFonts w:asciiTheme="minorHAnsi" w:eastAsiaTheme="minorHAnsi" w:hAnsiTheme="minorHAnsi" w:cstheme="minorHAnsi"/>
        </w:rPr>
        <w:t xml:space="preserve"> &amp;</w:t>
      </w:r>
      <w:r w:rsidR="007E597C" w:rsidRPr="004A3558">
        <w:rPr>
          <w:rFonts w:asciiTheme="minorHAnsi" w:eastAsiaTheme="minorHAnsi" w:hAnsiTheme="minorHAnsi" w:cstheme="minorHAnsi"/>
        </w:rPr>
        <w:t xml:space="preserve"> </w:t>
      </w:r>
      <w:r w:rsidRPr="004A3558">
        <w:rPr>
          <w:rFonts w:asciiTheme="minorHAnsi" w:eastAsiaTheme="minorHAnsi" w:hAnsiTheme="minorHAnsi" w:cstheme="minorHAnsi"/>
        </w:rPr>
        <w:t>Jimenez</w:t>
      </w:r>
      <w:r w:rsidR="007E597C" w:rsidRPr="004A3558">
        <w:rPr>
          <w:rFonts w:asciiTheme="minorHAnsi" w:eastAsiaTheme="minorHAnsi" w:hAnsiTheme="minorHAnsi" w:cstheme="minorHAnsi"/>
        </w:rPr>
        <w:t>, E</w:t>
      </w:r>
      <w:r w:rsidRPr="004A3558">
        <w:rPr>
          <w:rFonts w:asciiTheme="minorHAnsi" w:eastAsiaTheme="minorHAnsi" w:hAnsiTheme="minorHAnsi" w:cstheme="minorHAnsi"/>
        </w:rPr>
        <w:t xml:space="preserve">, </w:t>
      </w:r>
      <w:r w:rsidR="007E597C" w:rsidRPr="004A3558">
        <w:rPr>
          <w:rFonts w:asciiTheme="minorHAnsi" w:eastAsiaTheme="minorHAnsi" w:hAnsiTheme="minorHAnsi" w:cstheme="minorHAnsi"/>
        </w:rPr>
        <w:t>(</w:t>
      </w:r>
      <w:r w:rsidRPr="004A3558">
        <w:rPr>
          <w:rFonts w:asciiTheme="minorHAnsi" w:eastAsiaTheme="minorHAnsi" w:hAnsiTheme="minorHAnsi" w:cstheme="minorHAnsi"/>
        </w:rPr>
        <w:t>2021</w:t>
      </w:r>
      <w:r w:rsidR="007E597C" w:rsidRPr="004A3558">
        <w:rPr>
          <w:rFonts w:asciiTheme="minorHAnsi" w:eastAsiaTheme="minorHAnsi" w:hAnsiTheme="minorHAnsi" w:cstheme="minorHAnsi"/>
        </w:rPr>
        <w:t xml:space="preserve">). Using Wireless Technology to Support Social Connectedness in Individuals With Intellectual and Developmental Disabilities: A Focus Group Study. </w:t>
      </w:r>
      <w:hyperlink r:id="rId22" w:history="1">
        <w:r w:rsidR="007E597C" w:rsidRPr="004A3558">
          <w:rPr>
            <w:rStyle w:val="Hyperlink"/>
            <w:rFonts w:asciiTheme="minorHAnsi" w:eastAsiaTheme="minorHAnsi" w:hAnsiTheme="minorHAnsi" w:cstheme="minorHAnsi"/>
          </w:rPr>
          <w:t>https://doi.org/10.1177/01626434211004133</w:t>
        </w:r>
      </w:hyperlink>
    </w:p>
    <w:p w14:paraId="5F64B27E" w14:textId="7F868A76" w:rsidR="007E597C" w:rsidRPr="004A3558" w:rsidRDefault="007E597C" w:rsidP="004916F3">
      <w:pPr>
        <w:shd w:val="clear" w:color="auto" w:fill="FFFFFF"/>
        <w:spacing w:before="0"/>
        <w:ind w:left="432" w:hanging="432"/>
        <w:rPr>
          <w:rFonts w:asciiTheme="minorHAnsi" w:eastAsiaTheme="minorHAnsi" w:hAnsiTheme="minorHAnsi" w:cstheme="minorHAnsi"/>
        </w:rPr>
      </w:pPr>
      <w:r w:rsidRPr="004A3558">
        <w:rPr>
          <w:rFonts w:asciiTheme="minorHAnsi" w:eastAsiaTheme="minorHAnsi" w:hAnsiTheme="minorHAnsi" w:cstheme="minorHAnsi"/>
        </w:rPr>
        <w:t>Dubois, E., Bright, D., &amp; Laforce, S. (2021). Educating minoritized students in the United States during COVID-19: How technology can be both the problem and the solution. IT Professional, 23(2), 12-18.</w:t>
      </w:r>
    </w:p>
    <w:p w14:paraId="7857E052" w14:textId="64C952A7" w:rsidR="008F5131" w:rsidRPr="004A3558" w:rsidRDefault="001649FE" w:rsidP="004916F3">
      <w:pPr>
        <w:shd w:val="clear" w:color="auto" w:fill="FFFFFF"/>
        <w:spacing w:before="0"/>
        <w:ind w:left="432" w:hanging="432"/>
        <w:rPr>
          <w:rFonts w:asciiTheme="minorHAnsi" w:eastAsiaTheme="minorHAnsi" w:hAnsiTheme="minorHAnsi" w:cstheme="minorHAnsi"/>
        </w:rPr>
      </w:pPr>
      <w:r w:rsidRPr="004A3558">
        <w:rPr>
          <w:rFonts w:asciiTheme="minorHAnsi" w:eastAsiaTheme="minorHAnsi" w:hAnsiTheme="minorHAnsi" w:cstheme="minorHAnsi"/>
        </w:rPr>
        <w:t>Emerson</w:t>
      </w:r>
      <w:r w:rsidR="008F5131" w:rsidRPr="004A3558">
        <w:rPr>
          <w:rFonts w:asciiTheme="minorHAnsi" w:eastAsiaTheme="minorHAnsi" w:hAnsiTheme="minorHAnsi" w:cstheme="minorHAnsi"/>
        </w:rPr>
        <w:t>, E., </w:t>
      </w:r>
      <w:r w:rsidRPr="004A3558">
        <w:rPr>
          <w:rFonts w:asciiTheme="minorHAnsi" w:eastAsiaTheme="minorHAnsi" w:hAnsiTheme="minorHAnsi" w:cstheme="minorHAnsi"/>
        </w:rPr>
        <w:t>Fortune</w:t>
      </w:r>
      <w:r w:rsidR="008F5131" w:rsidRPr="004A3558">
        <w:rPr>
          <w:rFonts w:asciiTheme="minorHAnsi" w:eastAsiaTheme="minorHAnsi" w:hAnsiTheme="minorHAnsi" w:cstheme="minorHAnsi"/>
        </w:rPr>
        <w:t>, N., </w:t>
      </w:r>
      <w:r w:rsidRPr="004A3558">
        <w:rPr>
          <w:rFonts w:asciiTheme="minorHAnsi" w:eastAsiaTheme="minorHAnsi" w:hAnsiTheme="minorHAnsi" w:cstheme="minorHAnsi"/>
        </w:rPr>
        <w:t>Llewellyn</w:t>
      </w:r>
      <w:r w:rsidR="008F5131" w:rsidRPr="004A3558">
        <w:rPr>
          <w:rFonts w:asciiTheme="minorHAnsi" w:eastAsiaTheme="minorHAnsi" w:hAnsiTheme="minorHAnsi" w:cstheme="minorHAnsi"/>
        </w:rPr>
        <w:t xml:space="preserve">, G., &amp; Stancliff, R. </w:t>
      </w:r>
      <w:r w:rsidR="008F5131" w:rsidRPr="004A3558">
        <w:rPr>
          <w:rFonts w:asciiTheme="minorHAnsi" w:eastAsiaTheme="minorHAnsi" w:hAnsiTheme="minorHAnsi" w:cstheme="minorHAnsi"/>
          <w:vertAlign w:val="superscript"/>
        </w:rPr>
        <w:t>,</w:t>
      </w:r>
      <w:r w:rsidR="008F5131" w:rsidRPr="004A3558">
        <w:rPr>
          <w:rFonts w:asciiTheme="minorHAnsi" w:eastAsiaTheme="minorHAnsi" w:hAnsiTheme="minorHAnsi" w:cstheme="minorHAnsi"/>
        </w:rPr>
        <w:t xml:space="preserve"> (2021).  Loneliness, social support, social isolation, and wellbeing among working age adults with and without disability: Cross-sectional study, </w:t>
      </w:r>
      <w:r w:rsidRPr="004A3558">
        <w:rPr>
          <w:rFonts w:asciiTheme="minorHAnsi" w:eastAsiaTheme="minorHAnsi" w:hAnsiTheme="minorHAnsi" w:cstheme="minorHAnsi"/>
          <w:i/>
          <w:iCs/>
        </w:rPr>
        <w:t>Disability Health J.</w:t>
      </w:r>
      <w:r w:rsidR="008F5131" w:rsidRPr="004A3558">
        <w:rPr>
          <w:rFonts w:asciiTheme="minorHAnsi" w:eastAsiaTheme="minorHAnsi" w:hAnsiTheme="minorHAnsi" w:cstheme="minorHAnsi"/>
        </w:rPr>
        <w:t> 14(1).</w:t>
      </w:r>
    </w:p>
    <w:p w14:paraId="5E45B215" w14:textId="3C5E055A" w:rsidR="008F5131" w:rsidRPr="004A3558" w:rsidRDefault="008F5131" w:rsidP="004916F3">
      <w:pPr>
        <w:spacing w:before="0"/>
        <w:ind w:left="432" w:hanging="432"/>
        <w:rPr>
          <w:rFonts w:asciiTheme="minorHAnsi" w:hAnsiTheme="minorHAnsi" w:cstheme="minorHAnsi"/>
        </w:rPr>
      </w:pPr>
      <w:r w:rsidRPr="004A3558">
        <w:rPr>
          <w:rFonts w:asciiTheme="minorHAnsi" w:eastAsiaTheme="minorHAnsi" w:hAnsiTheme="minorHAnsi" w:cstheme="minorHAnsi"/>
          <w:shd w:val="clear" w:color="auto" w:fill="FFFFFF"/>
        </w:rPr>
        <w:t xml:space="preserve">Gatto, S. &amp; Tak, S. (2008).  </w:t>
      </w:r>
      <w:r w:rsidRPr="004A3558">
        <w:rPr>
          <w:rFonts w:asciiTheme="minorHAnsi" w:hAnsiTheme="minorHAnsi" w:cstheme="minorHAnsi"/>
        </w:rPr>
        <w:t xml:space="preserve"> C</w:t>
      </w:r>
      <w:r w:rsidRPr="004A3558">
        <w:rPr>
          <w:rFonts w:asciiTheme="minorHAnsi" w:eastAsiaTheme="minorHAnsi" w:hAnsiTheme="minorHAnsi" w:cstheme="minorHAnsi"/>
        </w:rPr>
        <w:t xml:space="preserve">omputer, Internet, and E-mail Use Among Older Adults: Benefits and Barriers. </w:t>
      </w:r>
      <w:r w:rsidR="001649FE" w:rsidRPr="004A3558">
        <w:rPr>
          <w:rFonts w:asciiTheme="minorHAnsi" w:eastAsiaTheme="minorHAnsi" w:hAnsiTheme="minorHAnsi" w:cstheme="minorHAnsi"/>
          <w:i/>
          <w:iCs/>
          <w:bdr w:val="none" w:sz="0" w:space="0" w:color="auto" w:frame="1"/>
        </w:rPr>
        <w:t>Educational Gerontology</w:t>
      </w:r>
      <w:r w:rsidRPr="004A3558">
        <w:rPr>
          <w:rStyle w:val="Hyperlink"/>
          <w:rFonts w:asciiTheme="minorHAnsi" w:eastAsiaTheme="minorHAnsi" w:hAnsiTheme="minorHAnsi" w:cstheme="minorHAnsi"/>
          <w:i/>
          <w:iCs/>
          <w:bdr w:val="none" w:sz="0" w:space="0" w:color="auto" w:frame="1"/>
        </w:rPr>
        <w:t>.</w:t>
      </w:r>
      <w:r w:rsidRPr="004A3558">
        <w:rPr>
          <w:rFonts w:asciiTheme="minorHAnsi" w:eastAsiaTheme="minorHAnsi" w:hAnsiTheme="minorHAnsi" w:cstheme="minorHAnsi"/>
        </w:rPr>
        <w:t> 34(9), 800-811</w:t>
      </w:r>
      <w:r w:rsidR="000E375F" w:rsidRPr="004A3558">
        <w:rPr>
          <w:rFonts w:asciiTheme="minorHAnsi" w:eastAsiaTheme="minorHAnsi" w:hAnsiTheme="minorHAnsi" w:cstheme="minorHAnsi"/>
        </w:rPr>
        <w:t>.</w:t>
      </w:r>
    </w:p>
    <w:p w14:paraId="51E2F5ED" w14:textId="2D9399CE" w:rsidR="007E597C" w:rsidRPr="004A3558" w:rsidRDefault="007E597C" w:rsidP="004916F3">
      <w:pPr>
        <w:spacing w:before="0"/>
        <w:ind w:left="432" w:hanging="432"/>
        <w:rPr>
          <w:rFonts w:asciiTheme="minorHAnsi" w:eastAsiaTheme="minorHAnsi" w:hAnsiTheme="minorHAnsi" w:cstheme="minorHAnsi"/>
        </w:rPr>
      </w:pPr>
      <w:r w:rsidRPr="004A3558">
        <w:rPr>
          <w:rFonts w:asciiTheme="minorHAnsi" w:eastAsiaTheme="minorHAnsi" w:hAnsiTheme="minorHAnsi" w:cstheme="minorHAnsi"/>
        </w:rPr>
        <w:t>Hawkley, L. C., and Cacioppo, J. T. (2010). Loneliness matters: a theoretical and empirical review of consequences and mechanisms. Ann. Behav. Med. 40, 218–227.</w:t>
      </w:r>
      <w:r w:rsidR="00935155">
        <w:rPr>
          <w:rFonts w:asciiTheme="minorHAnsi" w:eastAsiaTheme="minorHAnsi" w:hAnsiTheme="minorHAnsi" w:cstheme="minorHAnsi"/>
        </w:rPr>
        <w:t xml:space="preserve">  </w:t>
      </w:r>
      <w:hyperlink r:id="rId23" w:history="1">
        <w:r w:rsidR="00935155" w:rsidRPr="00935155">
          <w:rPr>
            <w:rStyle w:val="Hyperlink"/>
            <w:rFonts w:asciiTheme="minorHAnsi" w:eastAsiaTheme="minorHAnsi" w:hAnsiTheme="minorHAnsi" w:cstheme="minorHAnsi"/>
          </w:rPr>
          <w:t>https://pubmed.ncbi.nlm.nih.gov/20652462/</w:t>
        </w:r>
      </w:hyperlink>
    </w:p>
    <w:p w14:paraId="32CDB90E" w14:textId="254B3953" w:rsidR="008F5131" w:rsidRPr="004A3558" w:rsidRDefault="008F5131" w:rsidP="004916F3">
      <w:pPr>
        <w:spacing w:before="0"/>
        <w:ind w:left="432" w:hanging="432"/>
        <w:rPr>
          <w:rFonts w:asciiTheme="minorHAnsi" w:eastAsiaTheme="minorHAnsi" w:hAnsiTheme="minorHAnsi" w:cstheme="minorHAnsi"/>
          <w:shd w:val="clear" w:color="auto" w:fill="FFFFFF"/>
        </w:rPr>
      </w:pPr>
      <w:r w:rsidRPr="004A3558">
        <w:rPr>
          <w:rFonts w:asciiTheme="minorHAnsi" w:eastAsiaTheme="minorHAnsi" w:hAnsiTheme="minorHAnsi" w:cstheme="minorHAnsi"/>
        </w:rPr>
        <w:t xml:space="preserve">Holt-Lunstad, J. (2017). The Potential Public Health Relevance of Social Isolation and Loneliness: Prevalence, Epidemiology, and Risk Factors. </w:t>
      </w:r>
      <w:r w:rsidRPr="004A3558">
        <w:rPr>
          <w:rFonts w:asciiTheme="minorHAnsi" w:eastAsiaTheme="minorHAnsi" w:hAnsiTheme="minorHAnsi" w:cstheme="minorHAnsi"/>
          <w:i/>
          <w:iCs/>
        </w:rPr>
        <w:t>Public Policy and Aging Report,</w:t>
      </w:r>
      <w:r w:rsidRPr="004A3558">
        <w:rPr>
          <w:rFonts w:asciiTheme="minorHAnsi" w:eastAsiaTheme="minorHAnsi" w:hAnsiTheme="minorHAnsi" w:cstheme="minorHAnsi"/>
        </w:rPr>
        <w:t xml:space="preserve"> 127-130.</w:t>
      </w:r>
    </w:p>
    <w:p w14:paraId="1941175E" w14:textId="21CAA34D" w:rsidR="008F5131" w:rsidRDefault="007B4ED7" w:rsidP="003D5D89">
      <w:pPr>
        <w:shd w:val="clear" w:color="auto" w:fill="FFFFFF"/>
        <w:spacing w:before="0"/>
        <w:ind w:left="432" w:hanging="432"/>
        <w:rPr>
          <w:rFonts w:asciiTheme="minorHAnsi" w:hAnsiTheme="minorHAnsi" w:cstheme="minorHAnsi"/>
        </w:rPr>
      </w:pPr>
      <w:hyperlink w:history="1">
        <w:r w:rsidR="004916F3" w:rsidRPr="004A3558">
          <w:rPr>
            <w:rStyle w:val="Hyperlink"/>
            <w:rFonts w:asciiTheme="minorHAnsi" w:hAnsiTheme="minorHAnsi" w:cstheme="minorHAnsi"/>
            <w:color w:val="auto"/>
            <w:u w:val="none"/>
          </w:rPr>
          <w:t>H.R.4278 - 108th Congress (2003-2004): Assistive Technology Act of 2004</w:t>
        </w:r>
      </w:hyperlink>
      <w:r w:rsidR="008F5131" w:rsidRPr="004A3558">
        <w:rPr>
          <w:rFonts w:asciiTheme="minorHAnsi" w:hAnsiTheme="minorHAnsi" w:cstheme="minorHAnsi"/>
        </w:rPr>
        <w:t> www.congress.gov. 2004-10-25. Retrieved 2021-05-13.</w:t>
      </w:r>
    </w:p>
    <w:p w14:paraId="79206F37" w14:textId="32DA0C40" w:rsidR="005C32DA" w:rsidRDefault="005C32DA" w:rsidP="003D5D89">
      <w:pPr>
        <w:shd w:val="clear" w:color="auto" w:fill="FFFFFF"/>
        <w:spacing w:before="0"/>
        <w:ind w:left="432" w:hanging="432"/>
        <w:rPr>
          <w:rFonts w:asciiTheme="minorHAnsi" w:hAnsiTheme="minorHAnsi" w:cstheme="minorHAnsi"/>
        </w:rPr>
      </w:pPr>
      <w:r w:rsidRPr="004A3558">
        <w:rPr>
          <w:rFonts w:asciiTheme="minorHAnsi" w:hAnsiTheme="minorHAnsi" w:cstheme="minorHAnsi"/>
        </w:rPr>
        <w:t xml:space="preserve">Hughes, M. E., Waite, L. J., Hawkley, L. C., &amp; Cacioppo, J. T. (2004). A Short Scale for Measuring Loneliness in Large Surveys: Results From Two Population-Based Studies. </w:t>
      </w:r>
      <w:r w:rsidRPr="004A3558">
        <w:rPr>
          <w:rFonts w:asciiTheme="minorHAnsi" w:hAnsiTheme="minorHAnsi" w:cstheme="minorHAnsi"/>
          <w:i/>
          <w:iCs/>
        </w:rPr>
        <w:t xml:space="preserve">Research on </w:t>
      </w:r>
      <w:r w:rsidR="000E375F" w:rsidRPr="004A3558">
        <w:rPr>
          <w:rFonts w:asciiTheme="minorHAnsi" w:hAnsiTheme="minorHAnsi" w:cstheme="minorHAnsi"/>
          <w:i/>
          <w:iCs/>
        </w:rPr>
        <w:t>A</w:t>
      </w:r>
      <w:r w:rsidRPr="004A3558">
        <w:rPr>
          <w:rFonts w:asciiTheme="minorHAnsi" w:hAnsiTheme="minorHAnsi" w:cstheme="minorHAnsi"/>
          <w:i/>
          <w:iCs/>
        </w:rPr>
        <w:t>ging</w:t>
      </w:r>
      <w:r w:rsidRPr="004A3558">
        <w:rPr>
          <w:rFonts w:asciiTheme="minorHAnsi" w:hAnsiTheme="minorHAnsi" w:cstheme="minorHAnsi"/>
        </w:rPr>
        <w:t xml:space="preserve">, 26(6), 655–672. </w:t>
      </w:r>
      <w:hyperlink r:id="rId24" w:history="1">
        <w:r w:rsidR="008F76B7" w:rsidRPr="001A69B5">
          <w:rPr>
            <w:rStyle w:val="Hyperlink"/>
            <w:rFonts w:asciiTheme="minorHAnsi" w:hAnsiTheme="minorHAnsi" w:cstheme="minorHAnsi"/>
          </w:rPr>
          <w:t>https://www.ncbi.nlm.nih.gov/pmc/articles/PMC2394670/</w:t>
        </w:r>
      </w:hyperlink>
      <w:r w:rsidR="008F76B7">
        <w:rPr>
          <w:rFonts w:asciiTheme="minorHAnsi" w:hAnsiTheme="minorHAnsi" w:cstheme="minorHAnsi"/>
        </w:rPr>
        <w:t xml:space="preserve"> </w:t>
      </w:r>
    </w:p>
    <w:p w14:paraId="37A71BB9" w14:textId="77777777" w:rsidR="00C91658" w:rsidRDefault="008F5131" w:rsidP="007D59B5">
      <w:pPr>
        <w:spacing w:before="0"/>
        <w:ind w:left="432" w:hanging="432"/>
        <w:contextualSpacing/>
        <w:rPr>
          <w:rFonts w:asciiTheme="minorHAnsi" w:eastAsiaTheme="minorHAnsi" w:hAnsiTheme="minorHAnsi" w:cstheme="minorHAnsi"/>
        </w:rPr>
      </w:pPr>
      <w:r w:rsidRPr="004A3558">
        <w:rPr>
          <w:rFonts w:asciiTheme="minorHAnsi" w:eastAsiaTheme="minorHAnsi" w:hAnsiTheme="minorHAnsi" w:cstheme="minorHAnsi"/>
        </w:rPr>
        <w:t>Illinois Assistive Technology Program. (2021). Reducing Social Isolation through Technology: A Report on the Illinois Care Connections Program.</w:t>
      </w:r>
      <w:r w:rsidR="0083299A" w:rsidRPr="004A3558">
        <w:rPr>
          <w:rFonts w:asciiTheme="minorHAnsi" w:eastAsiaTheme="minorHAnsi" w:hAnsiTheme="minorHAnsi" w:cstheme="minorHAnsi"/>
        </w:rPr>
        <w:t xml:space="preserve"> Retrieved from</w:t>
      </w:r>
      <w:r w:rsidR="00D72618">
        <w:rPr>
          <w:rFonts w:asciiTheme="minorHAnsi" w:eastAsiaTheme="minorHAnsi" w:hAnsiTheme="minorHAnsi" w:cstheme="minorHAnsi"/>
        </w:rPr>
        <w:t>:</w:t>
      </w:r>
      <w:r w:rsidR="00491046">
        <w:rPr>
          <w:rFonts w:asciiTheme="minorHAnsi" w:eastAsiaTheme="minorHAnsi" w:hAnsiTheme="minorHAnsi" w:cstheme="minorHAnsi"/>
        </w:rPr>
        <w:t xml:space="preserve"> </w:t>
      </w:r>
    </w:p>
    <w:p w14:paraId="64D4F9BF" w14:textId="77777777" w:rsidR="00557AF1" w:rsidRPr="00557AF1" w:rsidRDefault="005663DF" w:rsidP="005663DF">
      <w:pPr>
        <w:spacing w:before="0"/>
        <w:ind w:left="432" w:hanging="432"/>
        <w:rPr>
          <w:rFonts w:asciiTheme="minorHAnsi" w:hAnsiTheme="minorHAnsi" w:cstheme="minorHAnsi"/>
        </w:rPr>
      </w:pPr>
      <w:r>
        <w:rPr>
          <w:rFonts w:asciiTheme="minorHAnsi" w:hAnsiTheme="minorHAnsi" w:cstheme="minorHAnsi"/>
        </w:rPr>
        <w:tab/>
      </w:r>
      <w:r w:rsidR="00557AF1">
        <w:rPr>
          <w:rFonts w:asciiTheme="minorHAnsi" w:hAnsiTheme="minorHAnsi" w:cstheme="minorHAnsi"/>
        </w:rPr>
        <w:fldChar w:fldCharType="begin"/>
      </w:r>
      <w:r w:rsidR="00557AF1">
        <w:rPr>
          <w:rFonts w:asciiTheme="minorHAnsi" w:hAnsiTheme="minorHAnsi" w:cstheme="minorHAnsi"/>
        </w:rPr>
        <w:instrText xml:space="preserve"> HYPERLINK "</w:instrText>
      </w:r>
      <w:r w:rsidR="00557AF1" w:rsidRPr="00557AF1">
        <w:rPr>
          <w:rFonts w:asciiTheme="minorHAnsi" w:hAnsiTheme="minorHAnsi" w:cstheme="minorHAnsi"/>
        </w:rPr>
        <w:instrText>https://iltech.org/wp-content/uploads/2021/09/ICC-final-8-24.pdf</w:instrText>
      </w:r>
    </w:p>
    <w:p w14:paraId="597DF891" w14:textId="77777777" w:rsidR="00557AF1" w:rsidRPr="001A69B5" w:rsidRDefault="00557AF1" w:rsidP="005663DF">
      <w:pPr>
        <w:spacing w:before="0"/>
        <w:ind w:left="432" w:hanging="432"/>
        <w:rPr>
          <w:rStyle w:val="Hyperlink"/>
          <w:rFonts w:asciiTheme="minorHAnsi" w:hAnsiTheme="minorHAnsi" w:cstheme="minorHAnsi"/>
        </w:rPr>
      </w:pPr>
      <w:r>
        <w:rPr>
          <w:rFonts w:asciiTheme="minorHAnsi" w:hAnsiTheme="minorHAnsi" w:cstheme="minorHAnsi"/>
        </w:rPr>
        <w:instrText xml:space="preserve">" </w:instrText>
      </w:r>
      <w:r>
        <w:rPr>
          <w:rFonts w:asciiTheme="minorHAnsi" w:hAnsiTheme="minorHAnsi" w:cstheme="minorHAnsi"/>
        </w:rPr>
        <w:fldChar w:fldCharType="separate"/>
      </w:r>
      <w:r w:rsidRPr="001A69B5">
        <w:rPr>
          <w:rStyle w:val="Hyperlink"/>
          <w:rFonts w:asciiTheme="minorHAnsi" w:hAnsiTheme="minorHAnsi" w:cstheme="minorHAnsi"/>
        </w:rPr>
        <w:t>https://iltech.org/wp-content/uploads/2021/09/ICC-final-8-24.pdf</w:t>
      </w:r>
    </w:p>
    <w:p w14:paraId="018EF313" w14:textId="77777777" w:rsidR="00557AF1" w:rsidRDefault="00557AF1" w:rsidP="007D59B5">
      <w:pPr>
        <w:spacing w:before="0"/>
        <w:contextualSpacing/>
        <w:rPr>
          <w:rFonts w:asciiTheme="minorHAnsi" w:hAnsiTheme="minorHAnsi" w:cstheme="minorHAnsi"/>
        </w:rPr>
      </w:pPr>
      <w:r>
        <w:rPr>
          <w:rFonts w:asciiTheme="minorHAnsi" w:hAnsiTheme="minorHAnsi" w:cstheme="minorHAnsi"/>
        </w:rPr>
        <w:fldChar w:fldCharType="end"/>
      </w:r>
      <w:r w:rsidR="00733D72" w:rsidRPr="004A3558">
        <w:rPr>
          <w:rFonts w:asciiTheme="minorHAnsi" w:hAnsiTheme="minorHAnsi" w:cstheme="minorHAnsi"/>
        </w:rPr>
        <w:t xml:space="preserve">Illinois Care Connections (ICC). (2021). Retrieved from: </w:t>
      </w:r>
    </w:p>
    <w:p w14:paraId="5CB45689" w14:textId="43DB8BF4" w:rsidR="00733D72" w:rsidRDefault="007B4ED7" w:rsidP="00557AF1">
      <w:pPr>
        <w:spacing w:before="0"/>
        <w:ind w:firstLine="432"/>
        <w:contextualSpacing/>
        <w:rPr>
          <w:rFonts w:asciiTheme="minorHAnsi" w:hAnsiTheme="minorHAnsi" w:cstheme="minorHAnsi"/>
        </w:rPr>
      </w:pPr>
      <w:hyperlink r:id="rId25" w:history="1">
        <w:r w:rsidR="00B51B4A" w:rsidRPr="001A69B5">
          <w:rPr>
            <w:rStyle w:val="Hyperlink"/>
            <w:rFonts w:asciiTheme="minorHAnsi" w:hAnsiTheme="minorHAnsi" w:cstheme="minorHAnsi"/>
          </w:rPr>
          <w:t>https://www2.illinois.gov/aging/programs/Pages/Illinois-Care-Connections.aspx</w:t>
        </w:r>
      </w:hyperlink>
    </w:p>
    <w:p w14:paraId="14B064FA" w14:textId="77777777" w:rsidR="00912D03" w:rsidRDefault="00912D03" w:rsidP="00F80A72">
      <w:pPr>
        <w:shd w:val="clear" w:color="auto" w:fill="FFFFFF"/>
        <w:spacing w:before="0" w:after="0" w:line="120" w:lineRule="exact"/>
        <w:rPr>
          <w:rFonts w:asciiTheme="minorHAnsi" w:eastAsiaTheme="minorHAnsi" w:hAnsiTheme="minorHAnsi" w:cstheme="minorHAnsi"/>
        </w:rPr>
      </w:pPr>
    </w:p>
    <w:p w14:paraId="375E7463" w14:textId="77777777" w:rsidR="006450C0" w:rsidRDefault="008F5131" w:rsidP="00B0561F">
      <w:pPr>
        <w:pStyle w:val="Call-outBoxText"/>
        <w:ind w:left="450" w:hanging="450"/>
        <w:rPr>
          <w:rFonts w:eastAsiaTheme="minorHAnsi"/>
        </w:rPr>
      </w:pPr>
      <w:r w:rsidRPr="004A3558">
        <w:rPr>
          <w:rFonts w:eastAsiaTheme="minorHAnsi"/>
        </w:rPr>
        <w:t>Killgore, W. D. S., Cloonan, S. A., Taylor, E. C., &amp; Dailey, N. S. (2020). Loneliness: A signature mental</w:t>
      </w:r>
      <w:r w:rsidR="00B22C10">
        <w:rPr>
          <w:rFonts w:eastAsiaTheme="minorHAnsi"/>
        </w:rPr>
        <w:t xml:space="preserve"> </w:t>
      </w:r>
      <w:r w:rsidRPr="004A3558">
        <w:rPr>
          <w:rFonts w:eastAsiaTheme="minorHAnsi"/>
        </w:rPr>
        <w:t>health concern in the era of COVID-19. </w:t>
      </w:r>
      <w:r w:rsidRPr="004A3558">
        <w:rPr>
          <w:rStyle w:val="Emphasis"/>
          <w:rFonts w:asciiTheme="minorHAnsi" w:eastAsiaTheme="minorHAnsi" w:hAnsiTheme="minorHAnsi" w:cstheme="minorHAnsi"/>
        </w:rPr>
        <w:t>Psychiatry Research, 290,</w:t>
      </w:r>
      <w:r w:rsidRPr="004A3558">
        <w:rPr>
          <w:rFonts w:eastAsiaTheme="minorHAnsi"/>
        </w:rPr>
        <w:t> Article 113117</w:t>
      </w:r>
      <w:r w:rsidR="004A54CA">
        <w:rPr>
          <w:rFonts w:eastAsiaTheme="minorHAnsi"/>
        </w:rPr>
        <w:t xml:space="preserve">. </w:t>
      </w:r>
    </w:p>
    <w:p w14:paraId="7C80751E" w14:textId="5EED7934" w:rsidR="008F5131" w:rsidRPr="008B6EA1" w:rsidRDefault="007B4ED7" w:rsidP="006450C0">
      <w:pPr>
        <w:pStyle w:val="Call-outBoxText"/>
        <w:ind w:left="450" w:hanging="18"/>
        <w:rPr>
          <w:rStyle w:val="Hyperlink"/>
          <w:rFonts w:asciiTheme="minorHAnsi" w:eastAsiaTheme="minorHAnsi" w:hAnsiTheme="minorHAnsi" w:cstheme="minorHAnsi"/>
          <w:color w:val="auto"/>
          <w:u w:val="none"/>
        </w:rPr>
      </w:pPr>
      <w:hyperlink r:id="rId26" w:history="1">
        <w:r w:rsidR="00913C6F" w:rsidRPr="001A69B5">
          <w:rPr>
            <w:rStyle w:val="Hyperlink"/>
            <w:rFonts w:eastAsiaTheme="minorHAnsi"/>
          </w:rPr>
          <w:t>https://www.ncbi.nlm.nih.gov/pmc/articles/PMC7255345/</w:t>
        </w:r>
      </w:hyperlink>
      <w:r w:rsidR="006450C0">
        <w:rPr>
          <w:rFonts w:eastAsiaTheme="minorHAnsi"/>
        </w:rPr>
        <w:t xml:space="preserve"> </w:t>
      </w:r>
      <w:r w:rsidR="004A54CA">
        <w:rPr>
          <w:rFonts w:eastAsiaTheme="minorHAnsi"/>
        </w:rPr>
        <w:t xml:space="preserve"> </w:t>
      </w:r>
      <w:r w:rsidR="007F2F70">
        <w:rPr>
          <w:rFonts w:eastAsiaTheme="minorHAnsi"/>
        </w:rPr>
        <w:fldChar w:fldCharType="begin"/>
      </w:r>
      <w:r w:rsidR="007F2F70">
        <w:rPr>
          <w:rFonts w:eastAsiaTheme="minorHAnsi"/>
        </w:rPr>
        <w:instrText xml:space="preserve"> HYPERLINK "https://www.sciencedirect.com/science/article/pii/S0165178120312257?via%3Dihub" </w:instrText>
      </w:r>
      <w:r w:rsidR="007F2F70">
        <w:rPr>
          <w:rFonts w:eastAsiaTheme="minorHAnsi"/>
        </w:rPr>
        <w:fldChar w:fldCharType="separate"/>
      </w:r>
    </w:p>
    <w:p w14:paraId="7193692E" w14:textId="77777777" w:rsidR="00CE2724" w:rsidRDefault="007F2F70" w:rsidP="00B7749C">
      <w:pPr>
        <w:shd w:val="clear" w:color="auto" w:fill="FFFFFF"/>
        <w:spacing w:before="0" w:line="20" w:lineRule="exact"/>
        <w:ind w:left="432" w:hanging="432"/>
        <w:rPr>
          <w:rFonts w:asciiTheme="minorHAnsi" w:eastAsiaTheme="minorHAnsi" w:hAnsiTheme="minorHAnsi" w:cstheme="minorHAnsi"/>
        </w:rPr>
      </w:pPr>
      <w:r>
        <w:rPr>
          <w:rFonts w:asciiTheme="minorHAnsi" w:eastAsiaTheme="minorHAnsi" w:hAnsiTheme="minorHAnsi" w:cstheme="minorHAnsi"/>
        </w:rPr>
        <w:fldChar w:fldCharType="end"/>
      </w:r>
    </w:p>
    <w:p w14:paraId="2B7E9D18" w14:textId="2077DB20" w:rsidR="0083299A" w:rsidRPr="004A3558" w:rsidRDefault="0083299A" w:rsidP="003D5D89">
      <w:pPr>
        <w:shd w:val="clear" w:color="auto" w:fill="FFFFFF"/>
        <w:spacing w:before="0"/>
        <w:ind w:left="432" w:hanging="432"/>
        <w:rPr>
          <w:rFonts w:asciiTheme="minorHAnsi" w:eastAsiaTheme="minorHAnsi" w:hAnsiTheme="minorHAnsi" w:cstheme="minorHAnsi"/>
        </w:rPr>
      </w:pPr>
      <w:r w:rsidRPr="004A3558">
        <w:rPr>
          <w:rFonts w:asciiTheme="minorHAnsi" w:eastAsiaTheme="minorHAnsi" w:hAnsiTheme="minorHAnsi" w:cstheme="minorHAnsi"/>
        </w:rPr>
        <w:t xml:space="preserve">Kumar, R. G., Ketchum, J. M., Corrigan, J. D., Hammond, F. M., Sevigny, M., &amp; Dams-O'Connor, K. (2020). The Longitudinal Effects of Comorbid Health Burden on Functional Outcomes for Adults </w:t>
      </w:r>
      <w:r w:rsidR="000E375F" w:rsidRPr="004A3558">
        <w:rPr>
          <w:rFonts w:asciiTheme="minorHAnsi" w:eastAsiaTheme="minorHAnsi" w:hAnsiTheme="minorHAnsi" w:cstheme="minorHAnsi"/>
        </w:rPr>
        <w:t>with</w:t>
      </w:r>
      <w:r w:rsidRPr="004A3558">
        <w:rPr>
          <w:rFonts w:asciiTheme="minorHAnsi" w:eastAsiaTheme="minorHAnsi" w:hAnsiTheme="minorHAnsi" w:cstheme="minorHAnsi"/>
        </w:rPr>
        <w:t xml:space="preserve"> Moderate to Severe Traumatic Brain Injury. </w:t>
      </w:r>
      <w:r w:rsidRPr="004A3558">
        <w:rPr>
          <w:rFonts w:asciiTheme="minorHAnsi" w:eastAsiaTheme="minorHAnsi" w:hAnsiTheme="minorHAnsi" w:cstheme="minorHAnsi"/>
          <w:i/>
          <w:iCs/>
        </w:rPr>
        <w:t>The Journal of head trauma rehabilitation</w:t>
      </w:r>
      <w:r w:rsidRPr="004A3558">
        <w:rPr>
          <w:rFonts w:asciiTheme="minorHAnsi" w:eastAsiaTheme="minorHAnsi" w:hAnsiTheme="minorHAnsi" w:cstheme="minorHAnsi"/>
        </w:rPr>
        <w:t xml:space="preserve">, 35(4), E372–E381. </w:t>
      </w:r>
      <w:hyperlink r:id="rId27" w:history="1">
        <w:r w:rsidRPr="00FD7CF2">
          <w:rPr>
            <w:rStyle w:val="Hyperlink"/>
            <w:rFonts w:asciiTheme="minorHAnsi" w:eastAsiaTheme="minorHAnsi" w:hAnsiTheme="minorHAnsi" w:cstheme="minorHAnsi"/>
          </w:rPr>
          <w:t>https://doi.org/10.1097/HTR.0000000000000572</w:t>
        </w:r>
      </w:hyperlink>
    </w:p>
    <w:p w14:paraId="68DC55B6" w14:textId="1A0DDEEB" w:rsidR="008F5131" w:rsidRPr="004A3558" w:rsidRDefault="001649FE" w:rsidP="004916F3">
      <w:pPr>
        <w:shd w:val="clear" w:color="auto" w:fill="FFFFFF"/>
        <w:spacing w:before="0"/>
        <w:ind w:left="432" w:hanging="432"/>
        <w:rPr>
          <w:rFonts w:asciiTheme="minorHAnsi" w:eastAsiaTheme="minorHAnsi" w:hAnsiTheme="minorHAnsi" w:cstheme="minorHAnsi"/>
        </w:rPr>
      </w:pPr>
      <w:r w:rsidRPr="004A3558">
        <w:rPr>
          <w:rFonts w:asciiTheme="minorHAnsi" w:eastAsiaTheme="minorHAnsi" w:hAnsiTheme="minorHAnsi" w:cstheme="minorHAnsi"/>
        </w:rPr>
        <w:t>Luchetti</w:t>
      </w:r>
      <w:r w:rsidR="008F5131" w:rsidRPr="004A3558">
        <w:rPr>
          <w:rStyle w:val="comma"/>
          <w:rFonts w:asciiTheme="minorHAnsi" w:eastAsiaTheme="minorHAnsi" w:hAnsiTheme="minorHAnsi" w:cstheme="minorHAnsi"/>
        </w:rPr>
        <w:t xml:space="preserve">, M., </w:t>
      </w:r>
      <w:r w:rsidRPr="004A3558">
        <w:rPr>
          <w:rFonts w:asciiTheme="minorHAnsi" w:eastAsiaTheme="minorHAnsi" w:hAnsiTheme="minorHAnsi" w:cstheme="minorHAnsi"/>
        </w:rPr>
        <w:t>Lee</w:t>
      </w:r>
      <w:r w:rsidR="008F5131" w:rsidRPr="004A3558">
        <w:rPr>
          <w:rStyle w:val="comma"/>
          <w:rFonts w:asciiTheme="minorHAnsi" w:eastAsiaTheme="minorHAnsi" w:hAnsiTheme="minorHAnsi" w:cstheme="minorHAnsi"/>
        </w:rPr>
        <w:t xml:space="preserve">, J., </w:t>
      </w:r>
      <w:r w:rsidRPr="004A3558">
        <w:rPr>
          <w:rFonts w:asciiTheme="minorHAnsi" w:eastAsiaTheme="minorHAnsi" w:hAnsiTheme="minorHAnsi" w:cstheme="minorHAnsi"/>
        </w:rPr>
        <w:t>Aschwanden</w:t>
      </w:r>
      <w:r w:rsidR="008F5131" w:rsidRPr="004A3558">
        <w:rPr>
          <w:rStyle w:val="comma"/>
          <w:rFonts w:asciiTheme="minorHAnsi" w:eastAsiaTheme="minorHAnsi" w:hAnsiTheme="minorHAnsi" w:cstheme="minorHAnsi"/>
        </w:rPr>
        <w:t>, D.</w:t>
      </w:r>
      <w:r w:rsidRPr="004A3558">
        <w:rPr>
          <w:rFonts w:asciiTheme="minorHAnsi" w:eastAsiaTheme="minorHAnsi" w:hAnsiTheme="minorHAnsi" w:cstheme="minorHAnsi"/>
        </w:rPr>
        <w:t>, Sesker</w:t>
      </w:r>
      <w:r w:rsidR="008F5131" w:rsidRPr="004A3558">
        <w:rPr>
          <w:rStyle w:val="comma"/>
          <w:rFonts w:asciiTheme="minorHAnsi" w:eastAsiaTheme="minorHAnsi" w:hAnsiTheme="minorHAnsi" w:cstheme="minorHAnsi"/>
        </w:rPr>
        <w:t xml:space="preserve">, A., </w:t>
      </w:r>
      <w:r w:rsidRPr="004A3558">
        <w:rPr>
          <w:rFonts w:asciiTheme="minorHAnsi" w:eastAsiaTheme="minorHAnsi" w:hAnsiTheme="minorHAnsi" w:cstheme="minorHAnsi"/>
        </w:rPr>
        <w:t>Strickhouser</w:t>
      </w:r>
      <w:r w:rsidR="008F5131" w:rsidRPr="004A3558">
        <w:rPr>
          <w:rStyle w:val="comma"/>
          <w:rFonts w:asciiTheme="minorHAnsi" w:eastAsiaTheme="minorHAnsi" w:hAnsiTheme="minorHAnsi" w:cstheme="minorHAnsi"/>
        </w:rPr>
        <w:t xml:space="preserve">, A., </w:t>
      </w:r>
      <w:r w:rsidRPr="004A3558">
        <w:rPr>
          <w:rFonts w:asciiTheme="minorHAnsi" w:eastAsiaTheme="minorHAnsi" w:hAnsiTheme="minorHAnsi" w:cstheme="minorHAnsi"/>
        </w:rPr>
        <w:t>Terracciano</w:t>
      </w:r>
      <w:r w:rsidR="008F5131" w:rsidRPr="004A3558">
        <w:rPr>
          <w:rStyle w:val="comma"/>
          <w:rFonts w:asciiTheme="minorHAnsi" w:eastAsiaTheme="minorHAnsi" w:hAnsiTheme="minorHAnsi" w:cstheme="minorHAnsi"/>
        </w:rPr>
        <w:t>, A.</w:t>
      </w:r>
      <w:r w:rsidRPr="004A3558">
        <w:rPr>
          <w:rFonts w:asciiTheme="minorHAnsi" w:eastAsiaTheme="minorHAnsi" w:hAnsiTheme="minorHAnsi" w:cstheme="minorHAnsi"/>
        </w:rPr>
        <w:t>, Sutin</w:t>
      </w:r>
      <w:r w:rsidR="008F5131" w:rsidRPr="004A3558">
        <w:rPr>
          <w:rFonts w:asciiTheme="minorHAnsi" w:eastAsiaTheme="minorHAnsi" w:hAnsiTheme="minorHAnsi" w:cstheme="minorHAnsi"/>
        </w:rPr>
        <w:t>, A. (2020</w:t>
      </w:r>
      <w:r w:rsidR="000E375F" w:rsidRPr="004A3558">
        <w:rPr>
          <w:rFonts w:asciiTheme="minorHAnsi" w:eastAsiaTheme="minorHAnsi" w:hAnsiTheme="minorHAnsi" w:cstheme="minorHAnsi"/>
        </w:rPr>
        <w:t>). The</w:t>
      </w:r>
      <w:r w:rsidR="008F5131" w:rsidRPr="004A3558">
        <w:rPr>
          <w:rFonts w:asciiTheme="minorHAnsi" w:eastAsiaTheme="minorHAnsi" w:hAnsiTheme="minorHAnsi" w:cstheme="minorHAnsi"/>
        </w:rPr>
        <w:t xml:space="preserve"> trajectory of loneliness in response to COVID-19. </w:t>
      </w:r>
      <w:r w:rsidR="008F5131" w:rsidRPr="004A3558">
        <w:rPr>
          <w:rFonts w:asciiTheme="minorHAnsi" w:eastAsiaTheme="minorHAnsi" w:hAnsiTheme="minorHAnsi" w:cstheme="minorHAnsi"/>
          <w:i/>
          <w:iCs/>
        </w:rPr>
        <w:t>American Psychologist</w:t>
      </w:r>
      <w:r w:rsidR="008F5131" w:rsidRPr="004A3558">
        <w:rPr>
          <w:rFonts w:asciiTheme="minorHAnsi" w:eastAsiaTheme="minorHAnsi" w:hAnsiTheme="minorHAnsi" w:cstheme="minorHAnsi"/>
        </w:rPr>
        <w:t>.</w:t>
      </w:r>
      <w:r w:rsidR="004916F3" w:rsidRPr="004A3558">
        <w:rPr>
          <w:rFonts w:asciiTheme="minorHAnsi" w:eastAsiaTheme="minorHAnsi" w:hAnsiTheme="minorHAnsi" w:cstheme="minorHAnsi"/>
        </w:rPr>
        <w:t xml:space="preserve"> </w:t>
      </w:r>
      <w:r w:rsidR="008F5131" w:rsidRPr="004A3558">
        <w:rPr>
          <w:rStyle w:val="cit"/>
          <w:rFonts w:asciiTheme="minorHAnsi" w:eastAsiaTheme="minorHAnsi" w:hAnsiTheme="minorHAnsi" w:cstheme="minorHAnsi"/>
        </w:rPr>
        <w:t>75(7), 897-908.</w:t>
      </w:r>
    </w:p>
    <w:p w14:paraId="29DE9F0C" w14:textId="2F23D317" w:rsidR="008F5131" w:rsidRPr="004A3558" w:rsidRDefault="008F5131" w:rsidP="004916F3">
      <w:pPr>
        <w:spacing w:before="0"/>
        <w:ind w:left="432" w:hanging="432"/>
        <w:rPr>
          <w:rFonts w:asciiTheme="minorHAnsi" w:eastAsiaTheme="minorHAnsi" w:hAnsiTheme="minorHAnsi" w:cstheme="minorHAnsi"/>
        </w:rPr>
      </w:pPr>
      <w:r w:rsidRPr="004A3558">
        <w:rPr>
          <w:rFonts w:asciiTheme="minorHAnsi" w:eastAsiaTheme="minorHAnsi" w:hAnsiTheme="minorHAnsi" w:cstheme="minorHAnsi"/>
        </w:rPr>
        <w:t xml:space="preserve">Moore, M. &amp; Anderson, W. (2003).  </w:t>
      </w:r>
      <w:r w:rsidRPr="004A3558">
        <w:rPr>
          <w:rFonts w:asciiTheme="minorHAnsi" w:hAnsiTheme="minorHAnsi" w:cstheme="minorHAnsi"/>
          <w:spacing w:val="1"/>
        </w:rPr>
        <w:t>Handbook of Distance Education. Mahwah, NJ.: Lawrence Erlbaum.</w:t>
      </w:r>
      <w:r w:rsidR="004916F3" w:rsidRPr="004A3558">
        <w:rPr>
          <w:rFonts w:asciiTheme="minorHAnsi" w:hAnsiTheme="minorHAnsi" w:cstheme="minorHAnsi"/>
          <w:spacing w:val="1"/>
        </w:rPr>
        <w:t xml:space="preserve"> </w:t>
      </w:r>
      <w:r w:rsidRPr="004A3558">
        <w:rPr>
          <w:rFonts w:asciiTheme="minorHAnsi" w:eastAsiaTheme="minorHAnsi" w:hAnsiTheme="minorHAnsi" w:cstheme="minorHAnsi"/>
          <w:i/>
          <w:iCs/>
        </w:rPr>
        <w:t>Am J Public Health</w:t>
      </w:r>
      <w:r w:rsidR="000E375F" w:rsidRPr="004A3558">
        <w:rPr>
          <w:rFonts w:asciiTheme="minorHAnsi" w:eastAsiaTheme="minorHAnsi" w:hAnsiTheme="minorHAnsi" w:cstheme="minorHAnsi"/>
          <w:i/>
          <w:iCs/>
        </w:rPr>
        <w:t>.</w:t>
      </w:r>
    </w:p>
    <w:p w14:paraId="5C884E86" w14:textId="488E326E" w:rsidR="008F5131" w:rsidRPr="004A3558" w:rsidRDefault="008F5131" w:rsidP="004916F3">
      <w:pPr>
        <w:shd w:val="clear" w:color="auto" w:fill="FFFFFF"/>
        <w:spacing w:before="0"/>
        <w:ind w:left="432" w:hanging="432"/>
        <w:rPr>
          <w:rFonts w:asciiTheme="minorHAnsi" w:eastAsiaTheme="minorHAnsi" w:hAnsiTheme="minorHAnsi" w:cstheme="minorHAnsi"/>
        </w:rPr>
      </w:pPr>
      <w:r w:rsidRPr="004A3558">
        <w:rPr>
          <w:rStyle w:val="authors-list-item"/>
          <w:rFonts w:asciiTheme="minorHAnsi" w:eastAsiaTheme="minorHAnsi" w:hAnsiTheme="minorHAnsi" w:cstheme="minorHAnsi"/>
        </w:rPr>
        <w:t>Matthew, P.</w:t>
      </w:r>
      <w:r w:rsidRPr="004A3558">
        <w:rPr>
          <w:rStyle w:val="comma"/>
          <w:rFonts w:asciiTheme="minorHAnsi" w:eastAsiaTheme="minorHAnsi" w:hAnsiTheme="minorHAnsi" w:cstheme="minorHAnsi"/>
        </w:rPr>
        <w:t>, </w:t>
      </w:r>
      <w:r w:rsidR="001649FE" w:rsidRPr="004A3558">
        <w:rPr>
          <w:rFonts w:asciiTheme="minorHAnsi" w:eastAsiaTheme="minorHAnsi" w:hAnsiTheme="minorHAnsi" w:cstheme="minorHAnsi"/>
        </w:rPr>
        <w:t>Rehkopf</w:t>
      </w:r>
      <w:r w:rsidRPr="004A3558">
        <w:rPr>
          <w:rStyle w:val="comma"/>
          <w:rFonts w:asciiTheme="minorHAnsi" w:eastAsiaTheme="minorHAnsi" w:hAnsiTheme="minorHAnsi" w:cstheme="minorHAnsi"/>
        </w:rPr>
        <w:t>, D.</w:t>
      </w:r>
      <w:r w:rsidR="001649FE" w:rsidRPr="004A3558">
        <w:rPr>
          <w:rFonts w:asciiTheme="minorHAnsi" w:eastAsiaTheme="minorHAnsi" w:hAnsiTheme="minorHAnsi" w:cstheme="minorHAnsi"/>
        </w:rPr>
        <w:t>, Jutte</w:t>
      </w:r>
      <w:r w:rsidRPr="004A3558">
        <w:rPr>
          <w:rStyle w:val="comma"/>
          <w:rFonts w:asciiTheme="minorHAnsi" w:eastAsiaTheme="minorHAnsi" w:hAnsiTheme="minorHAnsi" w:cstheme="minorHAnsi"/>
        </w:rPr>
        <w:t xml:space="preserve">, D., </w:t>
      </w:r>
      <w:r w:rsidR="001649FE" w:rsidRPr="004A3558">
        <w:rPr>
          <w:rFonts w:asciiTheme="minorHAnsi" w:eastAsiaTheme="minorHAnsi" w:hAnsiTheme="minorHAnsi" w:cstheme="minorHAnsi"/>
        </w:rPr>
        <w:t>Syme</w:t>
      </w:r>
      <w:r w:rsidRPr="004A3558">
        <w:rPr>
          <w:rStyle w:val="comma"/>
          <w:rFonts w:asciiTheme="minorHAnsi" w:eastAsiaTheme="minorHAnsi" w:hAnsiTheme="minorHAnsi" w:cstheme="minorHAnsi"/>
        </w:rPr>
        <w:t>, S., Balmes, J., </w:t>
      </w:r>
      <w:r w:rsidR="001649FE" w:rsidRPr="004A3558">
        <w:rPr>
          <w:rFonts w:asciiTheme="minorHAnsi" w:eastAsiaTheme="minorHAnsi" w:hAnsiTheme="minorHAnsi" w:cstheme="minorHAnsi"/>
        </w:rPr>
        <w:t>Adler</w:t>
      </w:r>
      <w:r w:rsidRPr="004A3558">
        <w:rPr>
          <w:rStyle w:val="authors-list-item"/>
          <w:rFonts w:asciiTheme="minorHAnsi" w:eastAsiaTheme="minorHAnsi" w:hAnsiTheme="minorHAnsi" w:cstheme="minorHAnsi"/>
        </w:rPr>
        <w:t>, N.  (2013). S</w:t>
      </w:r>
      <w:r w:rsidRPr="004A3558">
        <w:rPr>
          <w:rFonts w:asciiTheme="minorHAnsi" w:eastAsiaTheme="minorHAnsi" w:hAnsiTheme="minorHAnsi" w:cstheme="minorHAnsi"/>
        </w:rPr>
        <w:t>ocial isolation: A predictor of mortality comparable to traditional clinical risk factors.</w:t>
      </w:r>
      <w:r w:rsidRPr="004A3558">
        <w:rPr>
          <w:rStyle w:val="cit"/>
          <w:rFonts w:asciiTheme="minorHAnsi" w:eastAsiaTheme="minorHAnsi" w:hAnsiTheme="minorHAnsi" w:cstheme="minorHAnsi"/>
        </w:rPr>
        <w:t>103(11), 2056-62.</w:t>
      </w:r>
    </w:p>
    <w:p w14:paraId="7439493D" w14:textId="00838D25" w:rsidR="008F5131" w:rsidRPr="004A3558" w:rsidRDefault="008F5131" w:rsidP="004916F3">
      <w:pPr>
        <w:ind w:left="432" w:hanging="432"/>
        <w:rPr>
          <w:rFonts w:eastAsiaTheme="minorHAnsi"/>
        </w:rPr>
      </w:pPr>
      <w:r w:rsidRPr="004A3558">
        <w:rPr>
          <w:rFonts w:eastAsiaTheme="minorHAnsi"/>
        </w:rPr>
        <w:t xml:space="preserve">National Academies of Sciences, Engineering, and Medicine. </w:t>
      </w:r>
      <w:r w:rsidR="00733D72" w:rsidRPr="004A3558">
        <w:rPr>
          <w:rFonts w:eastAsiaTheme="minorHAnsi"/>
        </w:rPr>
        <w:t>(</w:t>
      </w:r>
      <w:r w:rsidRPr="004A3558">
        <w:rPr>
          <w:rFonts w:eastAsiaTheme="minorHAnsi"/>
        </w:rPr>
        <w:t>2020</w:t>
      </w:r>
      <w:r w:rsidR="00733D72" w:rsidRPr="004A3558">
        <w:rPr>
          <w:rFonts w:eastAsiaTheme="minorHAnsi"/>
        </w:rPr>
        <w:t>)</w:t>
      </w:r>
      <w:r w:rsidRPr="004A3558">
        <w:rPr>
          <w:rFonts w:eastAsiaTheme="minorHAnsi"/>
        </w:rPr>
        <w:t>. </w:t>
      </w:r>
      <w:r w:rsidRPr="004A3558">
        <w:rPr>
          <w:rFonts w:eastAsiaTheme="minorHAnsi"/>
          <w:i/>
          <w:iCs/>
        </w:rPr>
        <w:t>Social Isolation and Loneliness in Older Adults: Opportunities for the Health Care System</w:t>
      </w:r>
      <w:r w:rsidRPr="004A3558">
        <w:rPr>
          <w:rFonts w:eastAsiaTheme="minorHAnsi"/>
        </w:rPr>
        <w:t>. Washington, DC: The National Academies Press. </w:t>
      </w:r>
      <w:hyperlink r:id="rId28" w:history="1">
        <w:r w:rsidRPr="004A3558">
          <w:rPr>
            <w:rStyle w:val="Hyperlink"/>
            <w:rFonts w:eastAsiaTheme="minorHAnsi"/>
          </w:rPr>
          <w:t>https://doi.org/10.17226/25663external icon</w:t>
        </w:r>
      </w:hyperlink>
    </w:p>
    <w:p w14:paraId="5C53E946" w14:textId="67F4B451" w:rsidR="007E597C" w:rsidRPr="004A3558" w:rsidRDefault="007E597C" w:rsidP="004916F3">
      <w:pPr>
        <w:spacing w:before="0"/>
        <w:ind w:left="432" w:hanging="432"/>
        <w:rPr>
          <w:rFonts w:asciiTheme="minorHAnsi" w:hAnsiTheme="minorHAnsi" w:cstheme="minorHAnsi"/>
        </w:rPr>
      </w:pPr>
      <w:r w:rsidRPr="004A3558">
        <w:rPr>
          <w:rFonts w:asciiTheme="minorHAnsi" w:hAnsiTheme="minorHAnsi" w:cstheme="minorHAnsi"/>
        </w:rPr>
        <w:t xml:space="preserve">Pantell, M., Rehkopf, D., Jutte, D., Syme, S. L., Balmes, J., &amp; Adler, N. (2013). Social isolation: a predictor of mortality comparable to traditional clinical risk factors. American journal of public health, 103(11), 2056–2062. </w:t>
      </w:r>
      <w:hyperlink r:id="rId29" w:history="1">
        <w:r w:rsidRPr="00423CBE">
          <w:rPr>
            <w:rStyle w:val="Hyperlink"/>
            <w:rFonts w:asciiTheme="minorHAnsi" w:hAnsiTheme="minorHAnsi" w:cstheme="minorHAnsi"/>
          </w:rPr>
          <w:t>https://doi.org/10.2105/AJPH.2013.301261</w:t>
        </w:r>
      </w:hyperlink>
    </w:p>
    <w:p w14:paraId="4195ED7B" w14:textId="3FE2012D" w:rsidR="007E597C" w:rsidRPr="004A3558" w:rsidRDefault="007E597C" w:rsidP="004916F3">
      <w:pPr>
        <w:spacing w:before="0"/>
        <w:ind w:left="432" w:hanging="432"/>
        <w:rPr>
          <w:rFonts w:asciiTheme="minorHAnsi" w:hAnsiTheme="minorHAnsi" w:cstheme="minorHAnsi"/>
        </w:rPr>
      </w:pPr>
      <w:r w:rsidRPr="004A3558">
        <w:rPr>
          <w:rFonts w:asciiTheme="minorHAnsi" w:hAnsiTheme="minorHAnsi" w:cstheme="minorHAnsi"/>
        </w:rPr>
        <w:t>Peplau, L. A., and Perlman, D. (1982). Loneliness: A Sourcebook of Current Theory, Research, and Therapy. New York, NY: Wiley.</w:t>
      </w:r>
    </w:p>
    <w:p w14:paraId="54BB8BD7" w14:textId="23441F61" w:rsidR="008F5131" w:rsidRPr="004A3558" w:rsidRDefault="008F5131" w:rsidP="004916F3">
      <w:pPr>
        <w:spacing w:before="0"/>
        <w:ind w:left="432" w:hanging="432"/>
        <w:rPr>
          <w:rFonts w:asciiTheme="minorHAnsi" w:eastAsiaTheme="minorHAnsi" w:hAnsiTheme="minorHAnsi" w:cstheme="minorHAnsi"/>
        </w:rPr>
      </w:pPr>
      <w:r w:rsidRPr="004A3558">
        <w:rPr>
          <w:rFonts w:asciiTheme="minorHAnsi" w:hAnsiTheme="minorHAnsi" w:cstheme="minorHAnsi"/>
        </w:rPr>
        <w:t xml:space="preserve">Shafiq, F., King, J. &amp; Rontal, W.  (2020).  </w:t>
      </w:r>
      <w:r w:rsidRPr="004A3558">
        <w:rPr>
          <w:rFonts w:asciiTheme="minorHAnsi" w:eastAsiaTheme="minorHAnsi" w:hAnsiTheme="minorHAnsi" w:cstheme="minorHAnsi"/>
        </w:rPr>
        <w:t xml:space="preserve">Social isolation and loneliness are serious health concerns for adults with disabilities. COVID-19 has magnified the problem. </w:t>
      </w:r>
      <w:r w:rsidR="000E375F" w:rsidRPr="004A3558">
        <w:rPr>
          <w:rFonts w:asciiTheme="minorHAnsi" w:eastAsiaTheme="minorHAnsi" w:hAnsiTheme="minorHAnsi" w:cstheme="minorHAnsi"/>
        </w:rPr>
        <w:t xml:space="preserve">Center for Health and Research Transformation: University of Michigan. Retrieved from </w:t>
      </w:r>
      <w:hyperlink r:id="rId30" w:history="1">
        <w:r w:rsidR="000E375F" w:rsidRPr="004A3558">
          <w:rPr>
            <w:rStyle w:val="Hyperlink"/>
            <w:rFonts w:asciiTheme="minorHAnsi" w:eastAsiaTheme="minorHAnsi" w:hAnsiTheme="minorHAnsi" w:cstheme="minorHAnsi"/>
          </w:rPr>
          <w:t>https://chrt.org/wp-content/uploads/2021/07/SocialIsolationLoneliness_Accessibility.pdf</w:t>
        </w:r>
      </w:hyperlink>
    </w:p>
    <w:p w14:paraId="39F0997D" w14:textId="5C5C5BC6" w:rsidR="008F5131" w:rsidRPr="004A3558" w:rsidRDefault="008F5131" w:rsidP="004916F3">
      <w:pPr>
        <w:spacing w:before="0"/>
        <w:ind w:left="432" w:hanging="432"/>
        <w:rPr>
          <w:rFonts w:asciiTheme="minorHAnsi" w:eastAsiaTheme="minorHAnsi" w:hAnsiTheme="minorHAnsi" w:cstheme="minorHAnsi"/>
        </w:rPr>
      </w:pPr>
      <w:r w:rsidRPr="004A3558">
        <w:rPr>
          <w:rFonts w:asciiTheme="minorHAnsi" w:eastAsiaTheme="minorHAnsi" w:hAnsiTheme="minorHAnsi" w:cstheme="minorHAnsi"/>
        </w:rPr>
        <w:t xml:space="preserve">Schlomann, A., Seifert, A., Zank, S., Woopen, C., Rietz, C. (2020). Use of Information and Communication Technology (ICT) Devices Among the Oldest-Old: Loneliness, Anomie, and Autonomy. </w:t>
      </w:r>
      <w:r w:rsidRPr="004A3558">
        <w:rPr>
          <w:rFonts w:asciiTheme="minorHAnsi" w:eastAsiaTheme="minorHAnsi" w:hAnsiTheme="minorHAnsi" w:cstheme="minorHAnsi"/>
          <w:i/>
          <w:iCs/>
        </w:rPr>
        <w:t>Innovation in Aging,</w:t>
      </w:r>
      <w:r w:rsidRPr="004A3558">
        <w:rPr>
          <w:rFonts w:asciiTheme="minorHAnsi" w:eastAsiaTheme="minorHAnsi" w:hAnsiTheme="minorHAnsi" w:cstheme="minorHAnsi"/>
        </w:rPr>
        <w:t xml:space="preserve"> 4, (2), 1–10.</w:t>
      </w:r>
    </w:p>
    <w:p w14:paraId="66003CDE" w14:textId="77777777" w:rsidR="004432EF" w:rsidRDefault="004432EF">
      <w:pPr>
        <w:spacing w:before="0" w:after="0"/>
        <w:rPr>
          <w:rStyle w:val="mixed-citation"/>
          <w:rFonts w:asciiTheme="minorHAnsi" w:eastAsiaTheme="minorHAnsi" w:hAnsiTheme="minorHAnsi" w:cstheme="minorHAnsi"/>
          <w:color w:val="000000"/>
        </w:rPr>
      </w:pPr>
      <w:r>
        <w:rPr>
          <w:rStyle w:val="mixed-citation"/>
          <w:rFonts w:asciiTheme="minorHAnsi" w:eastAsiaTheme="minorHAnsi" w:hAnsiTheme="minorHAnsi" w:cstheme="minorHAnsi"/>
          <w:color w:val="000000"/>
        </w:rPr>
        <w:br w:type="page"/>
      </w:r>
    </w:p>
    <w:p w14:paraId="083B9571" w14:textId="5F0F38BB" w:rsidR="009E2457" w:rsidRDefault="008F5131" w:rsidP="008814CB">
      <w:pPr>
        <w:shd w:val="clear" w:color="auto" w:fill="FFFFFF"/>
        <w:spacing w:before="0" w:after="0"/>
        <w:ind w:left="432" w:hanging="432"/>
        <w:contextualSpacing/>
        <w:rPr>
          <w:rStyle w:val="mixed-citation"/>
          <w:rFonts w:asciiTheme="minorHAnsi" w:eastAsiaTheme="minorHAnsi" w:hAnsiTheme="minorHAnsi" w:cstheme="minorHAnsi"/>
          <w:color w:val="000000"/>
        </w:rPr>
      </w:pPr>
      <w:r w:rsidRPr="004A3558">
        <w:rPr>
          <w:rStyle w:val="mixed-citation"/>
          <w:rFonts w:asciiTheme="minorHAnsi" w:eastAsiaTheme="minorHAnsi" w:hAnsiTheme="minorHAnsi" w:cstheme="minorHAnsi"/>
          <w:color w:val="000000"/>
        </w:rPr>
        <w:lastRenderedPageBreak/>
        <w:t>United States Centers for Disease Control and Prevention.</w:t>
      </w:r>
      <w:r w:rsidR="00733D72" w:rsidRPr="004A3558">
        <w:rPr>
          <w:rStyle w:val="mixed-citation"/>
          <w:rFonts w:asciiTheme="minorHAnsi" w:eastAsiaTheme="minorHAnsi" w:hAnsiTheme="minorHAnsi" w:cstheme="minorHAnsi"/>
          <w:color w:val="000000"/>
        </w:rPr>
        <w:t xml:space="preserve"> </w:t>
      </w:r>
      <w:r w:rsidRPr="004A3558">
        <w:rPr>
          <w:rStyle w:val="mixed-citation"/>
          <w:rFonts w:asciiTheme="minorHAnsi" w:eastAsiaTheme="minorHAnsi" w:hAnsiTheme="minorHAnsi" w:cstheme="minorHAnsi"/>
          <w:color w:val="000000"/>
        </w:rPr>
        <w:t>(2020). </w:t>
      </w:r>
      <w:r w:rsidRPr="004A3558">
        <w:rPr>
          <w:rStyle w:val="Emphasis"/>
          <w:rFonts w:asciiTheme="minorHAnsi" w:eastAsiaTheme="minorHAnsi" w:hAnsiTheme="minorHAnsi" w:cstheme="minorHAnsi"/>
          <w:color w:val="000000"/>
        </w:rPr>
        <w:t>Severe Outcomes Among Patients with Coronavirus Disease 2019.</w:t>
      </w:r>
      <w:r w:rsidRPr="004A3558">
        <w:rPr>
          <w:rStyle w:val="mixed-citation"/>
          <w:rFonts w:asciiTheme="minorHAnsi" w:eastAsiaTheme="minorHAnsi" w:hAnsiTheme="minorHAnsi" w:cstheme="minorHAnsi"/>
          <w:color w:val="000000"/>
        </w:rPr>
        <w:t> </w:t>
      </w:r>
      <w:r w:rsidRPr="004A3558">
        <w:rPr>
          <w:rStyle w:val="Emphasis"/>
          <w:rFonts w:asciiTheme="minorHAnsi" w:eastAsiaTheme="minorHAnsi" w:hAnsiTheme="minorHAnsi" w:cstheme="minorHAnsi"/>
          <w:color w:val="000000"/>
        </w:rPr>
        <w:t>March 27, 2020</w:t>
      </w:r>
      <w:r w:rsidR="0083299A" w:rsidRPr="004A3558">
        <w:rPr>
          <w:rStyle w:val="Emphasis"/>
          <w:rFonts w:asciiTheme="minorHAnsi" w:eastAsiaTheme="minorHAnsi" w:hAnsiTheme="minorHAnsi" w:cstheme="minorHAnsi"/>
          <w:color w:val="000000"/>
        </w:rPr>
        <w:t>. Retrieved from</w:t>
      </w:r>
      <w:r w:rsidRPr="004A3558">
        <w:rPr>
          <w:rStyle w:val="mixed-citation"/>
          <w:rFonts w:asciiTheme="minorHAnsi" w:eastAsiaTheme="minorHAnsi" w:hAnsiTheme="minorHAnsi" w:cstheme="minorHAnsi"/>
          <w:color w:val="000000"/>
        </w:rPr>
        <w:t> </w:t>
      </w:r>
    </w:p>
    <w:p w14:paraId="5E3D16D7" w14:textId="27314E3D" w:rsidR="008F5131" w:rsidRPr="004A3558" w:rsidRDefault="007B4ED7" w:rsidP="007F014F">
      <w:pPr>
        <w:shd w:val="clear" w:color="auto" w:fill="FFFFFF"/>
        <w:spacing w:before="0"/>
        <w:ind w:left="432"/>
        <w:rPr>
          <w:rFonts w:asciiTheme="minorHAnsi" w:eastAsiaTheme="minorHAnsi" w:hAnsiTheme="minorHAnsi" w:cstheme="minorHAnsi"/>
          <w:color w:val="000000"/>
        </w:rPr>
      </w:pPr>
      <w:hyperlink r:id="rId31" w:anchor="T1_down" w:history="1">
        <w:r w:rsidR="001F4583" w:rsidRPr="001A69B5">
          <w:rPr>
            <w:rStyle w:val="Hyperlink"/>
            <w:rFonts w:asciiTheme="minorHAnsi" w:eastAsiaTheme="minorHAnsi" w:hAnsiTheme="minorHAnsi" w:cstheme="minorHAnsi"/>
          </w:rPr>
          <w:t>https://www.cdc.gov/mmwr/volumes/69/wr/mm6912e2.htm?s_cid=mm6912e2_w#T1_down</w:t>
        </w:r>
      </w:hyperlink>
      <w:r w:rsidR="008F5131" w:rsidRPr="004A3558">
        <w:rPr>
          <w:rStyle w:val="mixed-citation"/>
          <w:rFonts w:asciiTheme="minorHAnsi" w:eastAsiaTheme="minorHAnsi" w:hAnsiTheme="minorHAnsi" w:cstheme="minorHAnsi"/>
          <w:color w:val="000000"/>
        </w:rPr>
        <w:t>; accessed May 1, 2020.</w:t>
      </w:r>
    </w:p>
    <w:p w14:paraId="71AA8CB5" w14:textId="6266A767" w:rsidR="00733D72" w:rsidRPr="004A3558" w:rsidRDefault="00733D72" w:rsidP="004916F3">
      <w:pPr>
        <w:spacing w:before="0"/>
        <w:ind w:left="432" w:hanging="432"/>
        <w:rPr>
          <w:rFonts w:asciiTheme="minorHAnsi" w:eastAsiaTheme="minorHAnsi" w:hAnsiTheme="minorHAnsi" w:cstheme="minorHAnsi"/>
        </w:rPr>
      </w:pPr>
      <w:r w:rsidRPr="004A3558">
        <w:rPr>
          <w:rFonts w:asciiTheme="minorHAnsi" w:eastAsiaTheme="minorHAnsi" w:hAnsiTheme="minorHAnsi" w:cstheme="minorHAnsi"/>
        </w:rPr>
        <w:t>USAging: The National Resource Center for Engaging Older Adults</w:t>
      </w:r>
      <w:r w:rsidR="001649FE" w:rsidRPr="004A3558">
        <w:rPr>
          <w:rFonts w:asciiTheme="minorHAnsi" w:eastAsiaTheme="minorHAnsi" w:hAnsiTheme="minorHAnsi" w:cstheme="minorHAnsi"/>
        </w:rPr>
        <w:t xml:space="preserve"> - engAGED</w:t>
      </w:r>
      <w:r w:rsidRPr="004A3558">
        <w:rPr>
          <w:rFonts w:asciiTheme="minorHAnsi" w:eastAsiaTheme="minorHAnsi" w:hAnsiTheme="minorHAnsi" w:cstheme="minorHAnsi"/>
        </w:rPr>
        <w:t xml:space="preserve">. (2021). Retrieved from: </w:t>
      </w:r>
      <w:hyperlink r:id="rId32" w:history="1">
        <w:r w:rsidRPr="003D73D0">
          <w:rPr>
            <w:rStyle w:val="Hyperlink"/>
            <w:rFonts w:asciiTheme="minorHAnsi" w:eastAsiaTheme="minorHAnsi" w:hAnsiTheme="minorHAnsi" w:cstheme="minorHAnsi"/>
          </w:rPr>
          <w:t>https://www.engagingolderadults.org/</w:t>
        </w:r>
      </w:hyperlink>
    </w:p>
    <w:p w14:paraId="68A22C6A" w14:textId="3E99EAFC" w:rsidR="008F5131" w:rsidRPr="004A3558" w:rsidRDefault="008F5131" w:rsidP="004916F3">
      <w:pPr>
        <w:spacing w:before="0"/>
        <w:ind w:left="432" w:hanging="432"/>
        <w:rPr>
          <w:rFonts w:asciiTheme="minorHAnsi" w:eastAsiaTheme="minorHAnsi" w:hAnsiTheme="minorHAnsi" w:cstheme="minorHAnsi"/>
          <w:color w:val="555555"/>
        </w:rPr>
      </w:pPr>
      <w:r w:rsidRPr="004A3558">
        <w:rPr>
          <w:rFonts w:asciiTheme="minorHAnsi" w:eastAsiaTheme="minorHAnsi" w:hAnsiTheme="minorHAnsi" w:cstheme="minorHAnsi"/>
        </w:rPr>
        <w:t>Wister, A., Fyfe, I. &amp; O’Dea, E.</w:t>
      </w:r>
      <w:r w:rsidRPr="004A3558">
        <w:rPr>
          <w:rFonts w:asciiTheme="minorHAnsi" w:hAnsiTheme="minorHAnsi" w:cstheme="minorHAnsi"/>
        </w:rPr>
        <w:t xml:space="preserve"> </w:t>
      </w:r>
      <w:r w:rsidRPr="004A3558">
        <w:rPr>
          <w:rFonts w:asciiTheme="minorHAnsi" w:eastAsiaTheme="minorHAnsi" w:hAnsiTheme="minorHAnsi" w:cstheme="minorHAnsi"/>
        </w:rPr>
        <w:t>(2021)</w:t>
      </w:r>
      <w:r w:rsidR="00733D72" w:rsidRPr="004A3558">
        <w:rPr>
          <w:rFonts w:asciiTheme="minorHAnsi" w:eastAsiaTheme="minorHAnsi" w:hAnsiTheme="minorHAnsi" w:cstheme="minorHAnsi"/>
        </w:rPr>
        <w:t>.</w:t>
      </w:r>
      <w:r w:rsidRPr="004A3558">
        <w:rPr>
          <w:rFonts w:asciiTheme="minorHAnsi" w:eastAsiaTheme="minorHAnsi" w:hAnsiTheme="minorHAnsi" w:cstheme="minorHAnsi"/>
        </w:rPr>
        <w:t xml:space="preserve"> Technological interventions for loneliness and social isolation among older adults: a scoping review protocol.</w:t>
      </w:r>
      <w:r w:rsidR="000E375F" w:rsidRPr="004A3558">
        <w:rPr>
          <w:rFonts w:asciiTheme="minorHAnsi" w:eastAsiaTheme="minorHAnsi" w:hAnsiTheme="minorHAnsi" w:cstheme="minorHAnsi"/>
        </w:rPr>
        <w:t xml:space="preserve"> Syst Rev 10, 217 (2021). </w:t>
      </w:r>
      <w:hyperlink r:id="rId33" w:history="1">
        <w:r w:rsidR="000E375F" w:rsidRPr="004A3558">
          <w:rPr>
            <w:rStyle w:val="Hyperlink"/>
            <w:rFonts w:asciiTheme="minorHAnsi" w:eastAsiaTheme="minorHAnsi" w:hAnsiTheme="minorHAnsi" w:cstheme="minorHAnsi"/>
          </w:rPr>
          <w:t>https://doi.org/10.1186/s13643-021-01775-6</w:t>
        </w:r>
      </w:hyperlink>
    </w:p>
    <w:sectPr w:rsidR="008F5131" w:rsidRPr="004A3558" w:rsidSect="00AD6273">
      <w:footerReference w:type="default" r:id="rId34"/>
      <w:headerReference w:type="first" r:id="rId35"/>
      <w:footerReference w:type="first" r:id="rId36"/>
      <w:pgSz w:w="12240" w:h="15840" w:code="1"/>
      <w:pgMar w:top="1440" w:right="1440" w:bottom="720" w:left="1440" w:header="720"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F73A7D" w14:textId="77777777" w:rsidR="007B4ED7" w:rsidRPr="004A3558" w:rsidRDefault="007B4ED7">
      <w:pPr>
        <w:rPr>
          <w:rFonts w:eastAsiaTheme="minorHAnsi"/>
        </w:rPr>
      </w:pPr>
      <w:r w:rsidRPr="004A3558">
        <w:rPr>
          <w:rFonts w:eastAsiaTheme="minorHAnsi"/>
        </w:rPr>
        <w:separator/>
      </w:r>
    </w:p>
  </w:endnote>
  <w:endnote w:type="continuationSeparator" w:id="0">
    <w:p w14:paraId="3BED69DA" w14:textId="77777777" w:rsidR="007B4ED7" w:rsidRPr="004A3558" w:rsidRDefault="007B4ED7">
      <w:pPr>
        <w:rPr>
          <w:rFonts w:eastAsiaTheme="minorHAnsi"/>
        </w:rPr>
      </w:pPr>
      <w:r w:rsidRPr="004A3558">
        <w:rPr>
          <w:rFonts w:eastAsiaTheme="minorHAnsi"/>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21068" w14:textId="10A79982" w:rsidR="004916F3" w:rsidRDefault="007E3C20" w:rsidP="004916F3">
    <w:pPr>
      <w:pStyle w:val="Footer"/>
      <w:jc w:val="center"/>
    </w:pPr>
    <w:r>
      <w:rPr>
        <w:noProof/>
        <w:color w:val="FFFFFF" w:themeColor="background1"/>
        <w:sz w:val="20"/>
        <w:szCs w:val="20"/>
      </w:rPr>
      <w:drawing>
        <wp:inline distT="0" distB="0" distL="0" distR="0" wp14:anchorId="6C607930" wp14:editId="42873604">
          <wp:extent cx="1236320" cy="509270"/>
          <wp:effectExtent l="0" t="0" r="2540" b="5080"/>
          <wp:docPr id="7" name="Picture 195" descr="ACL Administration for Community Living logo" title="Administration for Community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5" descr="ACL Administration for Community Living logo" title="Administration for Community Livi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6320" cy="509270"/>
                  </a:xfrm>
                  <a:prstGeom prst="rect">
                    <a:avLst/>
                  </a:prstGeom>
                  <a:noFill/>
                  <a:ln>
                    <a:noFill/>
                  </a:ln>
                </pic:spPr>
              </pic:pic>
            </a:graphicData>
          </a:graphic>
        </wp:inline>
      </w:drawing>
    </w:r>
  </w:p>
  <w:p w14:paraId="225059BE" w14:textId="12A89729" w:rsidR="0093685C" w:rsidRPr="00FE5DCD" w:rsidRDefault="004916F3" w:rsidP="00FE5DCD">
    <w:pPr>
      <w:pStyle w:val="Footer"/>
    </w:pPr>
    <w:r>
      <w:tab/>
    </w:r>
    <w:r>
      <w:tab/>
    </w:r>
    <w:r w:rsidRPr="009E71CC">
      <w:rPr>
        <w:rStyle w:val="PageNumber"/>
        <w:szCs w:val="20"/>
      </w:rPr>
      <w:fldChar w:fldCharType="begin"/>
    </w:r>
    <w:r w:rsidRPr="009E71CC">
      <w:rPr>
        <w:rStyle w:val="PageNumber"/>
        <w:szCs w:val="20"/>
      </w:rPr>
      <w:instrText xml:space="preserve"> PAGE   \* MERGEFORMAT </w:instrText>
    </w:r>
    <w:r w:rsidRPr="009E71CC">
      <w:rPr>
        <w:rStyle w:val="PageNumber"/>
        <w:szCs w:val="20"/>
      </w:rPr>
      <w:fldChar w:fldCharType="separate"/>
    </w:r>
    <w:r w:rsidR="009A7303">
      <w:rPr>
        <w:rStyle w:val="PageNumber"/>
        <w:noProof/>
        <w:szCs w:val="20"/>
      </w:rPr>
      <w:t>11</w:t>
    </w:r>
    <w:r w:rsidRPr="009E71CC">
      <w:rPr>
        <w:rStyle w:val="PageNumber"/>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34AD8" w14:textId="39C689F7" w:rsidR="004916F3" w:rsidRDefault="00ED38E3" w:rsidP="004916F3">
    <w:pPr>
      <w:pStyle w:val="Footer"/>
      <w:jc w:val="center"/>
    </w:pPr>
    <w:r>
      <w:rPr>
        <w:noProof/>
        <w:color w:val="FFFFFF" w:themeColor="background1"/>
        <w:sz w:val="20"/>
        <w:szCs w:val="20"/>
      </w:rPr>
      <w:drawing>
        <wp:inline distT="0" distB="0" distL="0" distR="0" wp14:anchorId="077DE885" wp14:editId="3C897FED">
          <wp:extent cx="1236320" cy="509270"/>
          <wp:effectExtent l="0" t="0" r="2540" b="5080"/>
          <wp:docPr id="17" name="Picture 195" descr="Administration for Community Livin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195" descr="Administration for Community Living logo">
                    <a:extLst>
                      <a:ext uri="{C183D7F6-B498-43B3-948B-1728B52AA6E4}">
                        <adec:decorative xmlns:adec="http://schemas.microsoft.com/office/drawing/2017/decorative" val="0"/>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6320" cy="509270"/>
                  </a:xfrm>
                  <a:prstGeom prst="rect">
                    <a:avLst/>
                  </a:prstGeom>
                  <a:noFill/>
                  <a:ln>
                    <a:noFill/>
                  </a:ln>
                </pic:spPr>
              </pic:pic>
            </a:graphicData>
          </a:graphic>
        </wp:inline>
      </w:drawing>
    </w:r>
  </w:p>
  <w:p w14:paraId="5F9A3520" w14:textId="37DB2798" w:rsidR="004C1ABF" w:rsidRPr="00BF3F3B" w:rsidRDefault="004C1ABF">
    <w:pPr>
      <w:pStyle w:val="Footer"/>
      <w:rPr>
        <w:rFonts w:asciiTheme="minorHAnsi" w:hAnsiTheme="minorHAnsi" w:cstheme="minorHAnsi"/>
      </w:rPr>
    </w:pPr>
    <w:r>
      <w:tab/>
    </w:r>
    <w:r>
      <w:tab/>
    </w:r>
    <w:r w:rsidRPr="00BF3F3B">
      <w:rPr>
        <w:rStyle w:val="PageNumber"/>
        <w:rFonts w:asciiTheme="minorHAnsi" w:hAnsiTheme="minorHAnsi" w:cstheme="minorHAnsi"/>
        <w:sz w:val="22"/>
      </w:rPr>
      <w:fldChar w:fldCharType="begin"/>
    </w:r>
    <w:r w:rsidRPr="00BF3F3B">
      <w:rPr>
        <w:rStyle w:val="PageNumber"/>
        <w:rFonts w:asciiTheme="minorHAnsi" w:hAnsiTheme="minorHAnsi" w:cstheme="minorHAnsi"/>
        <w:sz w:val="22"/>
      </w:rPr>
      <w:instrText xml:space="preserve"> PAGE   \* MERGEFORMAT </w:instrText>
    </w:r>
    <w:r w:rsidRPr="00BF3F3B">
      <w:rPr>
        <w:rStyle w:val="PageNumber"/>
        <w:rFonts w:asciiTheme="minorHAnsi" w:hAnsiTheme="minorHAnsi" w:cstheme="minorHAnsi"/>
        <w:sz w:val="22"/>
      </w:rPr>
      <w:fldChar w:fldCharType="separate"/>
    </w:r>
    <w:r w:rsidR="009A7303" w:rsidRPr="00BF3F3B">
      <w:rPr>
        <w:rStyle w:val="PageNumber"/>
        <w:rFonts w:asciiTheme="minorHAnsi" w:hAnsiTheme="minorHAnsi" w:cstheme="minorHAnsi"/>
        <w:noProof/>
        <w:sz w:val="22"/>
      </w:rPr>
      <w:t>1</w:t>
    </w:r>
    <w:r w:rsidRPr="00BF3F3B">
      <w:rPr>
        <w:rStyle w:val="PageNumber"/>
        <w:rFonts w:asciiTheme="minorHAnsi" w:hAnsiTheme="minorHAnsi" w:cstheme="minorHAnsi"/>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60DC87" w14:textId="77777777" w:rsidR="007B4ED7" w:rsidRPr="004A3558" w:rsidRDefault="007B4ED7">
      <w:pPr>
        <w:rPr>
          <w:rFonts w:eastAsiaTheme="minorHAnsi"/>
        </w:rPr>
      </w:pPr>
      <w:r w:rsidRPr="004A3558">
        <w:rPr>
          <w:rFonts w:eastAsiaTheme="minorHAnsi"/>
        </w:rPr>
        <w:separator/>
      </w:r>
    </w:p>
  </w:footnote>
  <w:footnote w:type="continuationSeparator" w:id="0">
    <w:p w14:paraId="6C561343" w14:textId="77777777" w:rsidR="007B4ED7" w:rsidRPr="004A3558" w:rsidRDefault="007B4ED7">
      <w:pPr>
        <w:rPr>
          <w:rFonts w:eastAsiaTheme="minorHAnsi"/>
        </w:rPr>
      </w:pPr>
      <w:r w:rsidRPr="004A3558">
        <w:rPr>
          <w:rFonts w:eastAsiaTheme="minorHAnsi"/>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0BD19" w14:textId="6350D254" w:rsidR="004C1ABF" w:rsidRPr="004A3558" w:rsidRDefault="008F5131" w:rsidP="004C1ABF">
    <w:pPr>
      <w:pStyle w:val="Header"/>
      <w:pBdr>
        <w:bottom w:val="none" w:sz="0" w:space="0" w:color="auto"/>
      </w:pBdr>
      <w:rPr>
        <w:rFonts w:eastAsiaTheme="minorHAnsi"/>
      </w:rPr>
    </w:pPr>
    <w:r w:rsidRPr="004A3558">
      <w:rPr>
        <w:rFonts w:eastAsiaTheme="minorHAnsi"/>
        <w:noProof/>
      </w:rPr>
      <w:drawing>
        <wp:anchor distT="0" distB="0" distL="114300" distR="114300" simplePos="0" relativeHeight="251674112" behindDoc="0" locked="0" layoutInCell="1" allowOverlap="1" wp14:anchorId="2EA1CFB6" wp14:editId="3FC2BB81">
          <wp:simplePos x="0" y="0"/>
          <wp:positionH relativeFrom="margin">
            <wp:posOffset>-1311910</wp:posOffset>
          </wp:positionH>
          <wp:positionV relativeFrom="paragraph">
            <wp:posOffset>-795379</wp:posOffset>
          </wp:positionV>
          <wp:extent cx="8538707" cy="1120444"/>
          <wp:effectExtent l="0" t="0" r="0" b="381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t="27888" b="9601"/>
                  <a:stretch/>
                </pic:blipFill>
                <pic:spPr bwMode="auto">
                  <a:xfrm>
                    <a:off x="0" y="0"/>
                    <a:ext cx="8538707" cy="112044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A1271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3209BA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492978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FAB5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90C2D8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E842BE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ACA23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A541C1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72E5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278D8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33772F"/>
    <w:multiLevelType w:val="hybridMultilevel"/>
    <w:tmpl w:val="F51850AE"/>
    <w:lvl w:ilvl="0" w:tplc="73B44930">
      <w:start w:val="1"/>
      <w:numFmt w:val="decimal"/>
      <w:pStyle w:val="item"/>
      <w:lvlText w:val="%1)"/>
      <w:lvlJc w:val="left"/>
      <w:pPr>
        <w:ind w:left="1440" w:hanging="360"/>
      </w:pPr>
      <w:rPr>
        <w:rFonts w:asciiTheme="minorHAnsi" w:eastAsiaTheme="minorHAnsi" w:hAnsiTheme="minorHAnsi" w:cstheme="minorHAns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2003E30"/>
    <w:multiLevelType w:val="multilevel"/>
    <w:tmpl w:val="62EE9ABA"/>
    <w:lvl w:ilvl="0">
      <w:start w:val="1"/>
      <w:numFmt w:val="bullet"/>
      <w:pStyle w:val="Bullet"/>
      <w:lvlText w:val=""/>
      <w:lvlJc w:val="left"/>
      <w:pPr>
        <w:ind w:left="792" w:hanging="360"/>
      </w:pPr>
      <w:rPr>
        <w:rFonts w:ascii="Wingdings 2" w:hAnsi="Wingdings 2"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ind w:left="1512" w:hanging="360"/>
      </w:pPr>
      <w:rPr>
        <w:rFonts w:ascii="Symbol" w:hAnsi="Symbol" w:hint="default"/>
        <w:color w:val="4A8A9F" w:themeColor="accent2"/>
      </w:rPr>
    </w:lvl>
    <w:lvl w:ilvl="2">
      <w:start w:val="1"/>
      <w:numFmt w:val="bullet"/>
      <w:lvlText w:val=""/>
      <w:lvlJc w:val="left"/>
      <w:pPr>
        <w:ind w:left="2232" w:hanging="360"/>
      </w:pPr>
      <w:rPr>
        <w:rFonts w:ascii="Wingdings" w:hAnsi="Wingdings" w:hint="default"/>
        <w:color w:val="4A8A9F" w:themeColor="accent2"/>
      </w:rPr>
    </w:lvl>
    <w:lvl w:ilvl="3">
      <w:start w:val="1"/>
      <w:numFmt w:val="bullet"/>
      <w:lvlText w:val="▫"/>
      <w:lvlJc w:val="left"/>
      <w:pPr>
        <w:ind w:left="2952" w:hanging="360"/>
      </w:pPr>
      <w:rPr>
        <w:rFonts w:ascii="Times New Roman" w:hAnsi="Times New Roman" w:cs="Times New Roman" w:hint="default"/>
        <w:color w:val="4A8A9F" w:themeColor="accent2"/>
      </w:rPr>
    </w:lvl>
    <w:lvl w:ilvl="4">
      <w:start w:val="1"/>
      <w:numFmt w:val="bullet"/>
      <w:lvlText w:val="◦"/>
      <w:lvlJc w:val="left"/>
      <w:pPr>
        <w:ind w:left="3672" w:hanging="360"/>
      </w:pPr>
      <w:rPr>
        <w:rFonts w:ascii="Times New Roman" w:hAnsi="Times New Roman" w:cs="Times New Roman" w:hint="default"/>
      </w:rPr>
    </w:lvl>
    <w:lvl w:ilvl="5">
      <w:start w:val="1"/>
      <w:numFmt w:val="bullet"/>
      <w:lvlText w:val=""/>
      <w:lvlJc w:val="left"/>
      <w:pPr>
        <w:ind w:left="4392" w:hanging="360"/>
      </w:pPr>
      <w:rPr>
        <w:rFonts w:ascii="Wingdings" w:hAnsi="Wingdings" w:hint="default"/>
      </w:rPr>
    </w:lvl>
    <w:lvl w:ilvl="6">
      <w:start w:val="1"/>
      <w:numFmt w:val="bullet"/>
      <w:lvlText w:val=""/>
      <w:lvlJc w:val="left"/>
      <w:pPr>
        <w:ind w:left="5112" w:hanging="360"/>
      </w:pPr>
      <w:rPr>
        <w:rFonts w:ascii="Symbol" w:hAnsi="Symbol" w:hint="default"/>
      </w:rPr>
    </w:lvl>
    <w:lvl w:ilvl="7">
      <w:start w:val="1"/>
      <w:numFmt w:val="bullet"/>
      <w:lvlText w:val="o"/>
      <w:lvlJc w:val="left"/>
      <w:pPr>
        <w:ind w:left="5832" w:hanging="360"/>
      </w:pPr>
      <w:rPr>
        <w:rFonts w:ascii="Courier New" w:hAnsi="Courier New" w:hint="default"/>
      </w:rPr>
    </w:lvl>
    <w:lvl w:ilvl="8">
      <w:start w:val="1"/>
      <w:numFmt w:val="bullet"/>
      <w:lvlText w:val=""/>
      <w:lvlJc w:val="left"/>
      <w:pPr>
        <w:ind w:left="6552" w:hanging="360"/>
      </w:pPr>
      <w:rPr>
        <w:rFonts w:ascii="Wingdings" w:hAnsi="Wingdings" w:hint="default"/>
      </w:rPr>
    </w:lvl>
  </w:abstractNum>
  <w:abstractNum w:abstractNumId="12" w15:restartNumberingAfterBreak="0">
    <w:nsid w:val="24492E98"/>
    <w:multiLevelType w:val="hybridMultilevel"/>
    <w:tmpl w:val="5F0E2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8169A3"/>
    <w:multiLevelType w:val="hybridMultilevel"/>
    <w:tmpl w:val="94DADEDC"/>
    <w:lvl w:ilvl="0" w:tplc="730859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9B5CA4"/>
    <w:multiLevelType w:val="multilevel"/>
    <w:tmpl w:val="97C88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2562AC"/>
    <w:multiLevelType w:val="hybridMultilevel"/>
    <w:tmpl w:val="560C62F2"/>
    <w:lvl w:ilvl="0" w:tplc="24B46796">
      <w:start w:val="1"/>
      <w:numFmt w:val="bullet"/>
      <w:lvlText w:val=""/>
      <w:lvlJc w:val="left"/>
      <w:pPr>
        <w:ind w:left="2520" w:hanging="360"/>
      </w:pPr>
      <w:rPr>
        <w:rFonts w:ascii="Wingdings 2" w:hAnsi="Wingdings 2" w:hint="default"/>
        <w:b w:val="0"/>
        <w:i w:val="0"/>
        <w:caps w:val="0"/>
        <w:strike w:val="0"/>
        <w:dstrike w:val="0"/>
        <w:vanish w:val="0"/>
        <w:color w:val="00267F"/>
        <w:sz w:val="20"/>
        <w:u w:val="none"/>
        <w:vertAlign w:val="base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38DF0892"/>
    <w:multiLevelType w:val="hybridMultilevel"/>
    <w:tmpl w:val="7F86BAF2"/>
    <w:lvl w:ilvl="0" w:tplc="085023CA">
      <w:numFmt w:val="bullet"/>
      <w:lvlText w:val=""/>
      <w:lvlJc w:val="left"/>
      <w:pPr>
        <w:ind w:left="1080" w:hanging="360"/>
      </w:pPr>
      <w:rPr>
        <w:rFonts w:ascii="Symbol" w:hAnsi="Symbol" w:cs="Arial" w:hint="default"/>
        <w:color w:val="00267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F674DC"/>
    <w:multiLevelType w:val="hybridMultilevel"/>
    <w:tmpl w:val="D94E3942"/>
    <w:lvl w:ilvl="0" w:tplc="F7260868">
      <w:start w:val="3"/>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AF7A07"/>
    <w:multiLevelType w:val="hybridMultilevel"/>
    <w:tmpl w:val="8C727BA2"/>
    <w:lvl w:ilvl="0" w:tplc="03344C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1140F4"/>
    <w:multiLevelType w:val="hybridMultilevel"/>
    <w:tmpl w:val="E3829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921E66"/>
    <w:multiLevelType w:val="multilevel"/>
    <w:tmpl w:val="366C563E"/>
    <w:lvl w:ilvl="0">
      <w:start w:val="1"/>
      <w:numFmt w:val="bullet"/>
      <w:pStyle w:val="TableBullet"/>
      <w:lvlText w:val=""/>
      <w:lvlJc w:val="left"/>
      <w:pPr>
        <w:ind w:left="216" w:hanging="216"/>
      </w:pPr>
      <w:rPr>
        <w:rFonts w:ascii="Wingdings" w:hAnsi="Wingdings" w:hint="default"/>
        <w:color w:val="004250" w:themeColor="accent1"/>
      </w:rPr>
    </w:lvl>
    <w:lvl w:ilvl="1">
      <w:start w:val="1"/>
      <w:numFmt w:val="bullet"/>
      <w:lvlText w:val=""/>
      <w:lvlJc w:val="left"/>
      <w:pPr>
        <w:ind w:left="432" w:hanging="216"/>
      </w:pPr>
      <w:rPr>
        <w:rFonts w:ascii="Symbol" w:hAnsi="Symbol" w:hint="default"/>
        <w:color w:val="004250" w:themeColor="accent1"/>
        <w:sz w:val="18"/>
      </w:rPr>
    </w:lvl>
    <w:lvl w:ilvl="2">
      <w:start w:val="1"/>
      <w:numFmt w:val="bullet"/>
      <w:lvlText w:val=""/>
      <w:lvlJc w:val="left"/>
      <w:pPr>
        <w:ind w:left="648" w:hanging="216"/>
      </w:pPr>
      <w:rPr>
        <w:rFonts w:ascii="Wingdings" w:hAnsi="Wingdings" w:hint="default"/>
        <w:color w:val="004250" w:themeColor="accent1"/>
      </w:rPr>
    </w:lvl>
    <w:lvl w:ilvl="3">
      <w:start w:val="1"/>
      <w:numFmt w:val="bullet"/>
      <w:lvlText w:val=""/>
      <w:lvlJc w:val="left"/>
      <w:pPr>
        <w:ind w:left="864" w:hanging="216"/>
      </w:pPr>
      <w:rPr>
        <w:rFonts w:ascii="Symbol" w:hAnsi="Symbol" w:hint="default"/>
        <w:color w:val="004250" w:themeColor="accent1"/>
      </w:rPr>
    </w:lvl>
    <w:lvl w:ilvl="4">
      <w:start w:val="1"/>
      <w:numFmt w:val="bullet"/>
      <w:lvlText w:val=""/>
      <w:lvlJc w:val="left"/>
      <w:pPr>
        <w:ind w:left="1080" w:hanging="216"/>
      </w:pPr>
      <w:rPr>
        <w:rFonts w:ascii="Wingdings" w:hAnsi="Wingdings" w:hint="default"/>
        <w:color w:val="004250" w:themeColor="accent1"/>
      </w:rPr>
    </w:lvl>
    <w:lvl w:ilvl="5">
      <w:start w:val="1"/>
      <w:numFmt w:val="bullet"/>
      <w:lvlText w:val=""/>
      <w:lvlJc w:val="left"/>
      <w:pPr>
        <w:ind w:left="1296" w:hanging="216"/>
      </w:pPr>
      <w:rPr>
        <w:rFonts w:ascii="Symbol" w:hAnsi="Symbol" w:hint="default"/>
        <w:color w:val="004250" w:themeColor="accent1"/>
      </w:rPr>
    </w:lvl>
    <w:lvl w:ilvl="6">
      <w:start w:val="1"/>
      <w:numFmt w:val="bullet"/>
      <w:lvlText w:val="o"/>
      <w:lvlJc w:val="left"/>
      <w:pPr>
        <w:ind w:left="1512" w:hanging="216"/>
      </w:pPr>
      <w:rPr>
        <w:rFonts w:ascii="Courier New" w:hAnsi="Courier New" w:hint="default"/>
        <w:color w:val="004250" w:themeColor="accent1"/>
      </w:rPr>
    </w:lvl>
    <w:lvl w:ilvl="7">
      <w:start w:val="1"/>
      <w:numFmt w:val="bullet"/>
      <w:lvlText w:val=""/>
      <w:lvlJc w:val="left"/>
      <w:pPr>
        <w:ind w:left="1728" w:hanging="216"/>
      </w:pPr>
      <w:rPr>
        <w:rFonts w:ascii="Wingdings" w:hAnsi="Wingdings" w:hint="default"/>
        <w:color w:val="004250" w:themeColor="accent1"/>
      </w:rPr>
    </w:lvl>
    <w:lvl w:ilvl="8">
      <w:start w:val="1"/>
      <w:numFmt w:val="bullet"/>
      <w:lvlText w:val=""/>
      <w:lvlJc w:val="left"/>
      <w:pPr>
        <w:ind w:left="1944" w:hanging="216"/>
      </w:pPr>
      <w:rPr>
        <w:rFonts w:ascii="Symbol" w:hAnsi="Symbol" w:hint="default"/>
        <w:color w:val="004250" w:themeColor="accent1"/>
      </w:rPr>
    </w:lvl>
  </w:abstractNum>
  <w:abstractNum w:abstractNumId="21" w15:restartNumberingAfterBreak="0">
    <w:nsid w:val="506B595C"/>
    <w:multiLevelType w:val="hybridMultilevel"/>
    <w:tmpl w:val="C624C6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9170108"/>
    <w:multiLevelType w:val="hybridMultilevel"/>
    <w:tmpl w:val="B920ACA2"/>
    <w:lvl w:ilvl="0" w:tplc="6B6EBE44">
      <w:start w:val="1"/>
      <w:numFmt w:val="bullet"/>
      <w:pStyle w:val="Call-outBoxBullet"/>
      <w:lvlText w:val=""/>
      <w:lvlJc w:val="left"/>
      <w:pPr>
        <w:ind w:left="360" w:hanging="360"/>
      </w:pPr>
      <w:rPr>
        <w:rFonts w:ascii="Symbol" w:hAnsi="Symbol" w:hint="default"/>
        <w:b w:val="0"/>
        <w:i w:val="0"/>
        <w:caps w:val="0"/>
        <w:strike w:val="0"/>
        <w:dstrike w:val="0"/>
        <w:vanish w:val="0"/>
        <w:color w:val="004250" w:themeColor="accent1"/>
        <w:sz w:val="20"/>
        <w:u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880E0B"/>
    <w:multiLevelType w:val="multilevel"/>
    <w:tmpl w:val="7A300C0C"/>
    <w:lvl w:ilvl="0">
      <w:start w:val="1"/>
      <w:numFmt w:val="decimal"/>
      <w:pStyle w:val="Numberedlist"/>
      <w:lvlText w:val="%1."/>
      <w:lvlJc w:val="left"/>
      <w:pPr>
        <w:ind w:left="864" w:hanging="432"/>
      </w:pPr>
      <w:rPr>
        <w:rFonts w:hint="default"/>
      </w:rPr>
    </w:lvl>
    <w:lvl w:ilvl="1">
      <w:start w:val="1"/>
      <w:numFmt w:val="lowerLetter"/>
      <w:lvlText w:val="%2."/>
      <w:lvlJc w:val="left"/>
      <w:pPr>
        <w:ind w:left="1584" w:hanging="432"/>
      </w:pPr>
      <w:rPr>
        <w:rFonts w:hint="default"/>
      </w:rPr>
    </w:lvl>
    <w:lvl w:ilvl="2">
      <w:start w:val="1"/>
      <w:numFmt w:val="lowerRoman"/>
      <w:lvlText w:val="%3."/>
      <w:lvlJc w:val="right"/>
      <w:pPr>
        <w:ind w:left="2304" w:hanging="432"/>
      </w:pPr>
      <w:rPr>
        <w:rFonts w:hint="default"/>
      </w:rPr>
    </w:lvl>
    <w:lvl w:ilvl="3">
      <w:start w:val="1"/>
      <w:numFmt w:val="decimal"/>
      <w:lvlText w:val="%4."/>
      <w:lvlJc w:val="left"/>
      <w:pPr>
        <w:ind w:left="3024" w:hanging="432"/>
      </w:pPr>
      <w:rPr>
        <w:rFonts w:hint="default"/>
      </w:rPr>
    </w:lvl>
    <w:lvl w:ilvl="4">
      <w:start w:val="1"/>
      <w:numFmt w:val="lowerLetter"/>
      <w:lvlText w:val="%5."/>
      <w:lvlJc w:val="left"/>
      <w:pPr>
        <w:ind w:left="3744" w:hanging="432"/>
      </w:pPr>
      <w:rPr>
        <w:rFonts w:hint="default"/>
      </w:rPr>
    </w:lvl>
    <w:lvl w:ilvl="5">
      <w:start w:val="1"/>
      <w:numFmt w:val="lowerRoman"/>
      <w:lvlText w:val="%6."/>
      <w:lvlJc w:val="right"/>
      <w:pPr>
        <w:ind w:left="4464" w:hanging="432"/>
      </w:pPr>
      <w:rPr>
        <w:rFonts w:hint="default"/>
      </w:rPr>
    </w:lvl>
    <w:lvl w:ilvl="6">
      <w:start w:val="1"/>
      <w:numFmt w:val="decimal"/>
      <w:lvlText w:val="%7."/>
      <w:lvlJc w:val="left"/>
      <w:pPr>
        <w:ind w:left="5184" w:hanging="432"/>
      </w:pPr>
      <w:rPr>
        <w:rFonts w:hint="default"/>
      </w:rPr>
    </w:lvl>
    <w:lvl w:ilvl="7">
      <w:start w:val="1"/>
      <w:numFmt w:val="lowerLetter"/>
      <w:lvlText w:val="%8."/>
      <w:lvlJc w:val="left"/>
      <w:pPr>
        <w:ind w:left="5904" w:hanging="432"/>
      </w:pPr>
      <w:rPr>
        <w:rFonts w:hint="default"/>
      </w:rPr>
    </w:lvl>
    <w:lvl w:ilvl="8">
      <w:start w:val="1"/>
      <w:numFmt w:val="lowerRoman"/>
      <w:lvlText w:val="%9."/>
      <w:lvlJc w:val="right"/>
      <w:pPr>
        <w:ind w:left="6624" w:hanging="432"/>
      </w:pPr>
      <w:rPr>
        <w:rFonts w:hint="default"/>
      </w:rPr>
    </w:lvl>
  </w:abstractNum>
  <w:num w:numId="1">
    <w:abstractNumId w:val="16"/>
  </w:num>
  <w:num w:numId="2">
    <w:abstractNumId w:val="11"/>
  </w:num>
  <w:num w:numId="3">
    <w:abstractNumId w:val="15"/>
  </w:num>
  <w:num w:numId="4">
    <w:abstractNumId w:val="22"/>
  </w:num>
  <w:num w:numId="5">
    <w:abstractNumId w:val="20"/>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3"/>
  </w:num>
  <w:num w:numId="19">
    <w:abstractNumId w:val="18"/>
  </w:num>
  <w:num w:numId="20">
    <w:abstractNumId w:val="14"/>
  </w:num>
  <w:num w:numId="21">
    <w:abstractNumId w:val="12"/>
  </w:num>
  <w:num w:numId="22">
    <w:abstractNumId w:val="19"/>
  </w:num>
  <w:num w:numId="23">
    <w:abstractNumId w:val="10"/>
  </w:num>
  <w:num w:numId="24">
    <w:abstractNumId w:val="21"/>
  </w:num>
  <w:num w:numId="25">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Moves/>
  <w:doNotTrackFormatting/>
  <w:defaultTabStop w:val="43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CEE"/>
    <w:rsid w:val="000038AF"/>
    <w:rsid w:val="000043CE"/>
    <w:rsid w:val="00004B11"/>
    <w:rsid w:val="00006160"/>
    <w:rsid w:val="00006316"/>
    <w:rsid w:val="00006D5D"/>
    <w:rsid w:val="00013639"/>
    <w:rsid w:val="0001418E"/>
    <w:rsid w:val="0001752D"/>
    <w:rsid w:val="000218A7"/>
    <w:rsid w:val="00026620"/>
    <w:rsid w:val="000275F1"/>
    <w:rsid w:val="00027E2A"/>
    <w:rsid w:val="00034126"/>
    <w:rsid w:val="000353CA"/>
    <w:rsid w:val="00037AFC"/>
    <w:rsid w:val="0005310F"/>
    <w:rsid w:val="000539A4"/>
    <w:rsid w:val="00060BBB"/>
    <w:rsid w:val="00061E9F"/>
    <w:rsid w:val="000620FD"/>
    <w:rsid w:val="00063133"/>
    <w:rsid w:val="00063428"/>
    <w:rsid w:val="00065EF2"/>
    <w:rsid w:val="00071DCC"/>
    <w:rsid w:val="00072CEC"/>
    <w:rsid w:val="00080DC2"/>
    <w:rsid w:val="00081C2F"/>
    <w:rsid w:val="00084CAE"/>
    <w:rsid w:val="00085744"/>
    <w:rsid w:val="00086BB3"/>
    <w:rsid w:val="00087FCC"/>
    <w:rsid w:val="000912C5"/>
    <w:rsid w:val="0009186F"/>
    <w:rsid w:val="000972F1"/>
    <w:rsid w:val="000A15D3"/>
    <w:rsid w:val="000A2F73"/>
    <w:rsid w:val="000A4AB4"/>
    <w:rsid w:val="000A5B13"/>
    <w:rsid w:val="000A5B17"/>
    <w:rsid w:val="000B0291"/>
    <w:rsid w:val="000B03E3"/>
    <w:rsid w:val="000B5AF3"/>
    <w:rsid w:val="000B7757"/>
    <w:rsid w:val="000C0D50"/>
    <w:rsid w:val="000C4E57"/>
    <w:rsid w:val="000C7D16"/>
    <w:rsid w:val="000D0081"/>
    <w:rsid w:val="000D173A"/>
    <w:rsid w:val="000D3596"/>
    <w:rsid w:val="000E375F"/>
    <w:rsid w:val="000F0F13"/>
    <w:rsid w:val="000F73E5"/>
    <w:rsid w:val="00102A75"/>
    <w:rsid w:val="00106184"/>
    <w:rsid w:val="0011176D"/>
    <w:rsid w:val="0011196F"/>
    <w:rsid w:val="00114439"/>
    <w:rsid w:val="00115187"/>
    <w:rsid w:val="001173C7"/>
    <w:rsid w:val="00120D3F"/>
    <w:rsid w:val="00122061"/>
    <w:rsid w:val="00122D6C"/>
    <w:rsid w:val="001273D0"/>
    <w:rsid w:val="00133503"/>
    <w:rsid w:val="0014117D"/>
    <w:rsid w:val="001468A7"/>
    <w:rsid w:val="00155A42"/>
    <w:rsid w:val="00156B32"/>
    <w:rsid w:val="00164754"/>
    <w:rsid w:val="001649FE"/>
    <w:rsid w:val="00165E2C"/>
    <w:rsid w:val="00170D64"/>
    <w:rsid w:val="001712CF"/>
    <w:rsid w:val="00172A26"/>
    <w:rsid w:val="00182690"/>
    <w:rsid w:val="00183659"/>
    <w:rsid w:val="00191177"/>
    <w:rsid w:val="00193D54"/>
    <w:rsid w:val="001A10EA"/>
    <w:rsid w:val="001A2F2D"/>
    <w:rsid w:val="001A428C"/>
    <w:rsid w:val="001A7861"/>
    <w:rsid w:val="001B4F7F"/>
    <w:rsid w:val="001B50D0"/>
    <w:rsid w:val="001B5E89"/>
    <w:rsid w:val="001C201B"/>
    <w:rsid w:val="001C2F91"/>
    <w:rsid w:val="001D0BF6"/>
    <w:rsid w:val="001D0C0B"/>
    <w:rsid w:val="001D18AD"/>
    <w:rsid w:val="001D413E"/>
    <w:rsid w:val="001D47D9"/>
    <w:rsid w:val="001D4D96"/>
    <w:rsid w:val="001D5E7C"/>
    <w:rsid w:val="001D72B4"/>
    <w:rsid w:val="001E02D2"/>
    <w:rsid w:val="001E3765"/>
    <w:rsid w:val="001E3A09"/>
    <w:rsid w:val="001F4583"/>
    <w:rsid w:val="00204423"/>
    <w:rsid w:val="0020693D"/>
    <w:rsid w:val="00211095"/>
    <w:rsid w:val="00214043"/>
    <w:rsid w:val="002162B7"/>
    <w:rsid w:val="002163E5"/>
    <w:rsid w:val="00220B6B"/>
    <w:rsid w:val="00224D71"/>
    <w:rsid w:val="00226D20"/>
    <w:rsid w:val="00236617"/>
    <w:rsid w:val="00240278"/>
    <w:rsid w:val="00240B44"/>
    <w:rsid w:val="0024208F"/>
    <w:rsid w:val="00243991"/>
    <w:rsid w:val="00243DA2"/>
    <w:rsid w:val="00245499"/>
    <w:rsid w:val="00253438"/>
    <w:rsid w:val="00253D44"/>
    <w:rsid w:val="00277BFD"/>
    <w:rsid w:val="00277CA6"/>
    <w:rsid w:val="00283D21"/>
    <w:rsid w:val="002840B8"/>
    <w:rsid w:val="00285B93"/>
    <w:rsid w:val="00290737"/>
    <w:rsid w:val="00291DAB"/>
    <w:rsid w:val="00297388"/>
    <w:rsid w:val="002A04AB"/>
    <w:rsid w:val="002A44C6"/>
    <w:rsid w:val="002A5B00"/>
    <w:rsid w:val="002B08F6"/>
    <w:rsid w:val="002B412C"/>
    <w:rsid w:val="002B6117"/>
    <w:rsid w:val="002D2433"/>
    <w:rsid w:val="002D2F3F"/>
    <w:rsid w:val="002D4ECC"/>
    <w:rsid w:val="002D57AF"/>
    <w:rsid w:val="002E2D84"/>
    <w:rsid w:val="002E5AF2"/>
    <w:rsid w:val="002E75FE"/>
    <w:rsid w:val="002F6C76"/>
    <w:rsid w:val="002F748A"/>
    <w:rsid w:val="00300C26"/>
    <w:rsid w:val="00304E81"/>
    <w:rsid w:val="003076DD"/>
    <w:rsid w:val="00307B22"/>
    <w:rsid w:val="003138E1"/>
    <w:rsid w:val="00315B0E"/>
    <w:rsid w:val="00317005"/>
    <w:rsid w:val="00323633"/>
    <w:rsid w:val="00324F64"/>
    <w:rsid w:val="00327C42"/>
    <w:rsid w:val="00327D1A"/>
    <w:rsid w:val="0034088D"/>
    <w:rsid w:val="003409B7"/>
    <w:rsid w:val="00341B35"/>
    <w:rsid w:val="003424DF"/>
    <w:rsid w:val="00342A3D"/>
    <w:rsid w:val="00350E5C"/>
    <w:rsid w:val="00350E99"/>
    <w:rsid w:val="003516C7"/>
    <w:rsid w:val="00355F57"/>
    <w:rsid w:val="00357835"/>
    <w:rsid w:val="00361E3F"/>
    <w:rsid w:val="00363319"/>
    <w:rsid w:val="0036427A"/>
    <w:rsid w:val="003652A8"/>
    <w:rsid w:val="00371B68"/>
    <w:rsid w:val="0037421B"/>
    <w:rsid w:val="003849AF"/>
    <w:rsid w:val="003A06A7"/>
    <w:rsid w:val="003A13E9"/>
    <w:rsid w:val="003B1187"/>
    <w:rsid w:val="003B2883"/>
    <w:rsid w:val="003B65B9"/>
    <w:rsid w:val="003C2F49"/>
    <w:rsid w:val="003D0F65"/>
    <w:rsid w:val="003D250F"/>
    <w:rsid w:val="003D443F"/>
    <w:rsid w:val="003D4FF6"/>
    <w:rsid w:val="003D5D89"/>
    <w:rsid w:val="003D73D0"/>
    <w:rsid w:val="003D7857"/>
    <w:rsid w:val="003E451B"/>
    <w:rsid w:val="003E498D"/>
    <w:rsid w:val="003F3687"/>
    <w:rsid w:val="003F4093"/>
    <w:rsid w:val="00403730"/>
    <w:rsid w:val="00403CEB"/>
    <w:rsid w:val="00405010"/>
    <w:rsid w:val="004074E2"/>
    <w:rsid w:val="00410A3D"/>
    <w:rsid w:val="00413322"/>
    <w:rsid w:val="00416C29"/>
    <w:rsid w:val="00420099"/>
    <w:rsid w:val="00421C03"/>
    <w:rsid w:val="0042345D"/>
    <w:rsid w:val="00423CBE"/>
    <w:rsid w:val="00424E5B"/>
    <w:rsid w:val="00426888"/>
    <w:rsid w:val="00430A81"/>
    <w:rsid w:val="00433B49"/>
    <w:rsid w:val="004424C6"/>
    <w:rsid w:val="004432EF"/>
    <w:rsid w:val="004455C2"/>
    <w:rsid w:val="004473C8"/>
    <w:rsid w:val="00450C1A"/>
    <w:rsid w:val="0046742A"/>
    <w:rsid w:val="00475913"/>
    <w:rsid w:val="00485513"/>
    <w:rsid w:val="00485B74"/>
    <w:rsid w:val="00491046"/>
    <w:rsid w:val="004916F3"/>
    <w:rsid w:val="00493FCA"/>
    <w:rsid w:val="00495659"/>
    <w:rsid w:val="004A2F3F"/>
    <w:rsid w:val="004A2FDD"/>
    <w:rsid w:val="004A3558"/>
    <w:rsid w:val="004A54CA"/>
    <w:rsid w:val="004A611B"/>
    <w:rsid w:val="004A6573"/>
    <w:rsid w:val="004B066D"/>
    <w:rsid w:val="004B36B4"/>
    <w:rsid w:val="004B4BC5"/>
    <w:rsid w:val="004B793C"/>
    <w:rsid w:val="004C1014"/>
    <w:rsid w:val="004C1ABF"/>
    <w:rsid w:val="004C2812"/>
    <w:rsid w:val="004D6A86"/>
    <w:rsid w:val="004D6D4C"/>
    <w:rsid w:val="004D7C86"/>
    <w:rsid w:val="004E41ED"/>
    <w:rsid w:val="004E616A"/>
    <w:rsid w:val="004E6597"/>
    <w:rsid w:val="004F4562"/>
    <w:rsid w:val="004F59B6"/>
    <w:rsid w:val="004F670A"/>
    <w:rsid w:val="004F7803"/>
    <w:rsid w:val="0050416E"/>
    <w:rsid w:val="00504F8D"/>
    <w:rsid w:val="005070FF"/>
    <w:rsid w:val="0051165E"/>
    <w:rsid w:val="0051340C"/>
    <w:rsid w:val="00513554"/>
    <w:rsid w:val="0051605E"/>
    <w:rsid w:val="00517316"/>
    <w:rsid w:val="00525C5F"/>
    <w:rsid w:val="0052669C"/>
    <w:rsid w:val="005310D7"/>
    <w:rsid w:val="00531A23"/>
    <w:rsid w:val="005372AC"/>
    <w:rsid w:val="005456DB"/>
    <w:rsid w:val="005462E5"/>
    <w:rsid w:val="00552E28"/>
    <w:rsid w:val="0055354C"/>
    <w:rsid w:val="005543F8"/>
    <w:rsid w:val="00556391"/>
    <w:rsid w:val="00557330"/>
    <w:rsid w:val="00557AF1"/>
    <w:rsid w:val="00563178"/>
    <w:rsid w:val="005663DF"/>
    <w:rsid w:val="00566BD8"/>
    <w:rsid w:val="005701A3"/>
    <w:rsid w:val="00571375"/>
    <w:rsid w:val="005716DC"/>
    <w:rsid w:val="005723DA"/>
    <w:rsid w:val="00590ACB"/>
    <w:rsid w:val="00592B32"/>
    <w:rsid w:val="00595E53"/>
    <w:rsid w:val="005A103D"/>
    <w:rsid w:val="005A1C9B"/>
    <w:rsid w:val="005A2080"/>
    <w:rsid w:val="005A29BA"/>
    <w:rsid w:val="005A2CA9"/>
    <w:rsid w:val="005A3584"/>
    <w:rsid w:val="005A51D9"/>
    <w:rsid w:val="005B2168"/>
    <w:rsid w:val="005B30DD"/>
    <w:rsid w:val="005B6DAD"/>
    <w:rsid w:val="005B7046"/>
    <w:rsid w:val="005C32DA"/>
    <w:rsid w:val="005C58E2"/>
    <w:rsid w:val="005C611C"/>
    <w:rsid w:val="005D1195"/>
    <w:rsid w:val="005D1835"/>
    <w:rsid w:val="005D1D74"/>
    <w:rsid w:val="005D6860"/>
    <w:rsid w:val="005E2A37"/>
    <w:rsid w:val="005E337B"/>
    <w:rsid w:val="005E3AA1"/>
    <w:rsid w:val="005E4A9D"/>
    <w:rsid w:val="005E4B64"/>
    <w:rsid w:val="005E52FC"/>
    <w:rsid w:val="005E712B"/>
    <w:rsid w:val="005E7C62"/>
    <w:rsid w:val="005F0097"/>
    <w:rsid w:val="005F0E32"/>
    <w:rsid w:val="005F3593"/>
    <w:rsid w:val="00600AB5"/>
    <w:rsid w:val="00601165"/>
    <w:rsid w:val="0060266C"/>
    <w:rsid w:val="006026E1"/>
    <w:rsid w:val="00602CDC"/>
    <w:rsid w:val="00603DCE"/>
    <w:rsid w:val="00604673"/>
    <w:rsid w:val="00606397"/>
    <w:rsid w:val="00614CED"/>
    <w:rsid w:val="00633584"/>
    <w:rsid w:val="006358AF"/>
    <w:rsid w:val="00635CEE"/>
    <w:rsid w:val="00637FE1"/>
    <w:rsid w:val="00641AA3"/>
    <w:rsid w:val="006421D3"/>
    <w:rsid w:val="006450C0"/>
    <w:rsid w:val="00646981"/>
    <w:rsid w:val="0065072A"/>
    <w:rsid w:val="00654978"/>
    <w:rsid w:val="006613CC"/>
    <w:rsid w:val="00663C35"/>
    <w:rsid w:val="006650D7"/>
    <w:rsid w:val="00666039"/>
    <w:rsid w:val="00667950"/>
    <w:rsid w:val="00667AA8"/>
    <w:rsid w:val="0067069E"/>
    <w:rsid w:val="0067294D"/>
    <w:rsid w:val="00680E41"/>
    <w:rsid w:val="00681208"/>
    <w:rsid w:val="006830C9"/>
    <w:rsid w:val="00684891"/>
    <w:rsid w:val="00684B1A"/>
    <w:rsid w:val="00694440"/>
    <w:rsid w:val="00694679"/>
    <w:rsid w:val="006957B2"/>
    <w:rsid w:val="006A2E97"/>
    <w:rsid w:val="006A394C"/>
    <w:rsid w:val="006A4A61"/>
    <w:rsid w:val="006A59E9"/>
    <w:rsid w:val="006A73CB"/>
    <w:rsid w:val="006B0005"/>
    <w:rsid w:val="006B3920"/>
    <w:rsid w:val="006C0F4D"/>
    <w:rsid w:val="006C3060"/>
    <w:rsid w:val="006C5BFA"/>
    <w:rsid w:val="006D15B8"/>
    <w:rsid w:val="006D683D"/>
    <w:rsid w:val="006E68F0"/>
    <w:rsid w:val="006F1C1B"/>
    <w:rsid w:val="006F2BDF"/>
    <w:rsid w:val="006F45B0"/>
    <w:rsid w:val="0070240C"/>
    <w:rsid w:val="00710E69"/>
    <w:rsid w:val="0071574A"/>
    <w:rsid w:val="00725500"/>
    <w:rsid w:val="00730F2B"/>
    <w:rsid w:val="00733D72"/>
    <w:rsid w:val="0074022D"/>
    <w:rsid w:val="00743DF8"/>
    <w:rsid w:val="00744D13"/>
    <w:rsid w:val="00750B33"/>
    <w:rsid w:val="00751713"/>
    <w:rsid w:val="00753585"/>
    <w:rsid w:val="00757722"/>
    <w:rsid w:val="007578C9"/>
    <w:rsid w:val="007602DE"/>
    <w:rsid w:val="007604BB"/>
    <w:rsid w:val="007642C8"/>
    <w:rsid w:val="00766B8A"/>
    <w:rsid w:val="007708E8"/>
    <w:rsid w:val="007718CD"/>
    <w:rsid w:val="007728EF"/>
    <w:rsid w:val="0078167E"/>
    <w:rsid w:val="00783104"/>
    <w:rsid w:val="00783EE8"/>
    <w:rsid w:val="00784808"/>
    <w:rsid w:val="007851CC"/>
    <w:rsid w:val="00790C5D"/>
    <w:rsid w:val="00793866"/>
    <w:rsid w:val="0079710B"/>
    <w:rsid w:val="007A6617"/>
    <w:rsid w:val="007A66EB"/>
    <w:rsid w:val="007B11B8"/>
    <w:rsid w:val="007B18DF"/>
    <w:rsid w:val="007B29C0"/>
    <w:rsid w:val="007B3D0E"/>
    <w:rsid w:val="007B4DAA"/>
    <w:rsid w:val="007B4ED7"/>
    <w:rsid w:val="007C28DC"/>
    <w:rsid w:val="007D4156"/>
    <w:rsid w:val="007D59B5"/>
    <w:rsid w:val="007D664D"/>
    <w:rsid w:val="007D7D5F"/>
    <w:rsid w:val="007E02F5"/>
    <w:rsid w:val="007E38CE"/>
    <w:rsid w:val="007E3C20"/>
    <w:rsid w:val="007E54D4"/>
    <w:rsid w:val="007E597C"/>
    <w:rsid w:val="007E6988"/>
    <w:rsid w:val="007F014F"/>
    <w:rsid w:val="007F2F70"/>
    <w:rsid w:val="007F3CB6"/>
    <w:rsid w:val="00804142"/>
    <w:rsid w:val="0081060A"/>
    <w:rsid w:val="00811FE8"/>
    <w:rsid w:val="00813C57"/>
    <w:rsid w:val="00813F8C"/>
    <w:rsid w:val="00822242"/>
    <w:rsid w:val="0083299A"/>
    <w:rsid w:val="00832E30"/>
    <w:rsid w:val="00834E1B"/>
    <w:rsid w:val="008403A6"/>
    <w:rsid w:val="0084362B"/>
    <w:rsid w:val="00845B2C"/>
    <w:rsid w:val="00845BD0"/>
    <w:rsid w:val="00846E08"/>
    <w:rsid w:val="008515A0"/>
    <w:rsid w:val="008539C4"/>
    <w:rsid w:val="00853B13"/>
    <w:rsid w:val="008557AF"/>
    <w:rsid w:val="00855A2C"/>
    <w:rsid w:val="00855F2D"/>
    <w:rsid w:val="00860064"/>
    <w:rsid w:val="00860F46"/>
    <w:rsid w:val="00862670"/>
    <w:rsid w:val="0086497E"/>
    <w:rsid w:val="00865FC3"/>
    <w:rsid w:val="00866DC9"/>
    <w:rsid w:val="008717B5"/>
    <w:rsid w:val="00874A80"/>
    <w:rsid w:val="00875DB8"/>
    <w:rsid w:val="008811D2"/>
    <w:rsid w:val="008814CB"/>
    <w:rsid w:val="0088168A"/>
    <w:rsid w:val="008826AE"/>
    <w:rsid w:val="008829C5"/>
    <w:rsid w:val="00885329"/>
    <w:rsid w:val="008874C0"/>
    <w:rsid w:val="00890B50"/>
    <w:rsid w:val="008A418F"/>
    <w:rsid w:val="008A5D87"/>
    <w:rsid w:val="008B06EA"/>
    <w:rsid w:val="008B28E8"/>
    <w:rsid w:val="008B2A1D"/>
    <w:rsid w:val="008B2A68"/>
    <w:rsid w:val="008B5BC6"/>
    <w:rsid w:val="008B6EA1"/>
    <w:rsid w:val="008C6E32"/>
    <w:rsid w:val="008C73EC"/>
    <w:rsid w:val="008D01F2"/>
    <w:rsid w:val="008D0ABC"/>
    <w:rsid w:val="008D24C1"/>
    <w:rsid w:val="008D2A78"/>
    <w:rsid w:val="008D334F"/>
    <w:rsid w:val="008D3FFA"/>
    <w:rsid w:val="008D5A80"/>
    <w:rsid w:val="008E15DB"/>
    <w:rsid w:val="008E2102"/>
    <w:rsid w:val="008F207A"/>
    <w:rsid w:val="008F423E"/>
    <w:rsid w:val="008F5131"/>
    <w:rsid w:val="008F5848"/>
    <w:rsid w:val="008F757E"/>
    <w:rsid w:val="008F76B7"/>
    <w:rsid w:val="0090586A"/>
    <w:rsid w:val="00907565"/>
    <w:rsid w:val="00907A15"/>
    <w:rsid w:val="0091054C"/>
    <w:rsid w:val="0091212E"/>
    <w:rsid w:val="00912D03"/>
    <w:rsid w:val="00913C32"/>
    <w:rsid w:val="00913C6F"/>
    <w:rsid w:val="00914623"/>
    <w:rsid w:val="0091667D"/>
    <w:rsid w:val="00917B09"/>
    <w:rsid w:val="00920084"/>
    <w:rsid w:val="00922E88"/>
    <w:rsid w:val="00931F5B"/>
    <w:rsid w:val="00932C81"/>
    <w:rsid w:val="00934337"/>
    <w:rsid w:val="00935155"/>
    <w:rsid w:val="00936507"/>
    <w:rsid w:val="0093685C"/>
    <w:rsid w:val="00945760"/>
    <w:rsid w:val="009523EC"/>
    <w:rsid w:val="00953809"/>
    <w:rsid w:val="00954DF7"/>
    <w:rsid w:val="00957117"/>
    <w:rsid w:val="00957E8E"/>
    <w:rsid w:val="00963D8F"/>
    <w:rsid w:val="00972E7C"/>
    <w:rsid w:val="00973F4E"/>
    <w:rsid w:val="0097607F"/>
    <w:rsid w:val="00981DC9"/>
    <w:rsid w:val="009856A7"/>
    <w:rsid w:val="0099267E"/>
    <w:rsid w:val="00992CD3"/>
    <w:rsid w:val="00994820"/>
    <w:rsid w:val="009958A3"/>
    <w:rsid w:val="00995E65"/>
    <w:rsid w:val="00996F3E"/>
    <w:rsid w:val="009A46D8"/>
    <w:rsid w:val="009A617C"/>
    <w:rsid w:val="009A7303"/>
    <w:rsid w:val="009B0E8F"/>
    <w:rsid w:val="009B2BD6"/>
    <w:rsid w:val="009C317B"/>
    <w:rsid w:val="009C4089"/>
    <w:rsid w:val="009C4EB0"/>
    <w:rsid w:val="009C4F17"/>
    <w:rsid w:val="009D2890"/>
    <w:rsid w:val="009D34E0"/>
    <w:rsid w:val="009D42C8"/>
    <w:rsid w:val="009E2457"/>
    <w:rsid w:val="009E4D67"/>
    <w:rsid w:val="009F3225"/>
    <w:rsid w:val="009F4799"/>
    <w:rsid w:val="009F549D"/>
    <w:rsid w:val="009F5BAE"/>
    <w:rsid w:val="009F63D8"/>
    <w:rsid w:val="009F6BF6"/>
    <w:rsid w:val="00A00742"/>
    <w:rsid w:val="00A14544"/>
    <w:rsid w:val="00A168E1"/>
    <w:rsid w:val="00A24A27"/>
    <w:rsid w:val="00A24EBD"/>
    <w:rsid w:val="00A24EE0"/>
    <w:rsid w:val="00A258FB"/>
    <w:rsid w:val="00A25DB1"/>
    <w:rsid w:val="00A35DB2"/>
    <w:rsid w:val="00A367FB"/>
    <w:rsid w:val="00A42B93"/>
    <w:rsid w:val="00A45A18"/>
    <w:rsid w:val="00A5286A"/>
    <w:rsid w:val="00A5526E"/>
    <w:rsid w:val="00A5617B"/>
    <w:rsid w:val="00A57047"/>
    <w:rsid w:val="00A642BD"/>
    <w:rsid w:val="00A709E4"/>
    <w:rsid w:val="00A77CD1"/>
    <w:rsid w:val="00A82EDD"/>
    <w:rsid w:val="00A84BAF"/>
    <w:rsid w:val="00A90B58"/>
    <w:rsid w:val="00A91802"/>
    <w:rsid w:val="00A91951"/>
    <w:rsid w:val="00AA0F55"/>
    <w:rsid w:val="00AA5117"/>
    <w:rsid w:val="00AB6C96"/>
    <w:rsid w:val="00AC2B6C"/>
    <w:rsid w:val="00AC3C37"/>
    <w:rsid w:val="00AC50AE"/>
    <w:rsid w:val="00AC785F"/>
    <w:rsid w:val="00AD6273"/>
    <w:rsid w:val="00AF12BF"/>
    <w:rsid w:val="00AF30B3"/>
    <w:rsid w:val="00AF7231"/>
    <w:rsid w:val="00B015E5"/>
    <w:rsid w:val="00B01920"/>
    <w:rsid w:val="00B0561F"/>
    <w:rsid w:val="00B1185B"/>
    <w:rsid w:val="00B12A09"/>
    <w:rsid w:val="00B22C10"/>
    <w:rsid w:val="00B24E11"/>
    <w:rsid w:val="00B25B71"/>
    <w:rsid w:val="00B3035C"/>
    <w:rsid w:val="00B32F59"/>
    <w:rsid w:val="00B35EE1"/>
    <w:rsid w:val="00B36494"/>
    <w:rsid w:val="00B375C0"/>
    <w:rsid w:val="00B40DEA"/>
    <w:rsid w:val="00B43956"/>
    <w:rsid w:val="00B43A66"/>
    <w:rsid w:val="00B51B4A"/>
    <w:rsid w:val="00B53E3A"/>
    <w:rsid w:val="00B55FF7"/>
    <w:rsid w:val="00B60947"/>
    <w:rsid w:val="00B613D0"/>
    <w:rsid w:val="00B65606"/>
    <w:rsid w:val="00B73A3D"/>
    <w:rsid w:val="00B7545B"/>
    <w:rsid w:val="00B75502"/>
    <w:rsid w:val="00B7749C"/>
    <w:rsid w:val="00B829B3"/>
    <w:rsid w:val="00B93E87"/>
    <w:rsid w:val="00BA02EC"/>
    <w:rsid w:val="00BA0527"/>
    <w:rsid w:val="00BA2E0F"/>
    <w:rsid w:val="00BA3801"/>
    <w:rsid w:val="00BA4325"/>
    <w:rsid w:val="00BA56C8"/>
    <w:rsid w:val="00BB1C5B"/>
    <w:rsid w:val="00BB2BAF"/>
    <w:rsid w:val="00BB5CA2"/>
    <w:rsid w:val="00BB5FEF"/>
    <w:rsid w:val="00BB67FB"/>
    <w:rsid w:val="00BB7862"/>
    <w:rsid w:val="00BC3F8C"/>
    <w:rsid w:val="00BC4EDB"/>
    <w:rsid w:val="00BC7A66"/>
    <w:rsid w:val="00BD035C"/>
    <w:rsid w:val="00BD3F0C"/>
    <w:rsid w:val="00BD6043"/>
    <w:rsid w:val="00BE0F18"/>
    <w:rsid w:val="00BE156D"/>
    <w:rsid w:val="00BE171B"/>
    <w:rsid w:val="00BE1B79"/>
    <w:rsid w:val="00BE3E59"/>
    <w:rsid w:val="00BE4599"/>
    <w:rsid w:val="00BE4C38"/>
    <w:rsid w:val="00BE75C1"/>
    <w:rsid w:val="00BE7D93"/>
    <w:rsid w:val="00BF0FAD"/>
    <w:rsid w:val="00BF20CE"/>
    <w:rsid w:val="00BF2CB9"/>
    <w:rsid w:val="00BF36BC"/>
    <w:rsid w:val="00BF3F3B"/>
    <w:rsid w:val="00C02AEB"/>
    <w:rsid w:val="00C15FA5"/>
    <w:rsid w:val="00C17650"/>
    <w:rsid w:val="00C21036"/>
    <w:rsid w:val="00C21E27"/>
    <w:rsid w:val="00C25508"/>
    <w:rsid w:val="00C26AFD"/>
    <w:rsid w:val="00C30590"/>
    <w:rsid w:val="00C311B2"/>
    <w:rsid w:val="00C34B11"/>
    <w:rsid w:val="00C376AA"/>
    <w:rsid w:val="00C3784D"/>
    <w:rsid w:val="00C37E9C"/>
    <w:rsid w:val="00C428E0"/>
    <w:rsid w:val="00C42F09"/>
    <w:rsid w:val="00C446A1"/>
    <w:rsid w:val="00C46A8E"/>
    <w:rsid w:val="00C4730D"/>
    <w:rsid w:val="00C5125D"/>
    <w:rsid w:val="00C5320A"/>
    <w:rsid w:val="00C535E6"/>
    <w:rsid w:val="00C53CBD"/>
    <w:rsid w:val="00C543E9"/>
    <w:rsid w:val="00C6165E"/>
    <w:rsid w:val="00C61CBE"/>
    <w:rsid w:val="00C73367"/>
    <w:rsid w:val="00C73546"/>
    <w:rsid w:val="00C76FB2"/>
    <w:rsid w:val="00C77763"/>
    <w:rsid w:val="00C90D7E"/>
    <w:rsid w:val="00C91658"/>
    <w:rsid w:val="00C91AE1"/>
    <w:rsid w:val="00C922AD"/>
    <w:rsid w:val="00C9566A"/>
    <w:rsid w:val="00CA2CA2"/>
    <w:rsid w:val="00CA3299"/>
    <w:rsid w:val="00CA3457"/>
    <w:rsid w:val="00CA3FDF"/>
    <w:rsid w:val="00CA624D"/>
    <w:rsid w:val="00CC7668"/>
    <w:rsid w:val="00CD058A"/>
    <w:rsid w:val="00CD5E20"/>
    <w:rsid w:val="00CD64C2"/>
    <w:rsid w:val="00CE0C1E"/>
    <w:rsid w:val="00CE0FC8"/>
    <w:rsid w:val="00CE2724"/>
    <w:rsid w:val="00CE35BB"/>
    <w:rsid w:val="00CE4E87"/>
    <w:rsid w:val="00CE5FCD"/>
    <w:rsid w:val="00CF199D"/>
    <w:rsid w:val="00CF4A2F"/>
    <w:rsid w:val="00D0543F"/>
    <w:rsid w:val="00D07870"/>
    <w:rsid w:val="00D119A9"/>
    <w:rsid w:val="00D14E65"/>
    <w:rsid w:val="00D17091"/>
    <w:rsid w:val="00D23A65"/>
    <w:rsid w:val="00D23F5F"/>
    <w:rsid w:val="00D2752F"/>
    <w:rsid w:val="00D328A3"/>
    <w:rsid w:val="00D3421D"/>
    <w:rsid w:val="00D34457"/>
    <w:rsid w:val="00D358E1"/>
    <w:rsid w:val="00D400BE"/>
    <w:rsid w:val="00D4085E"/>
    <w:rsid w:val="00D53C74"/>
    <w:rsid w:val="00D563DB"/>
    <w:rsid w:val="00D6305B"/>
    <w:rsid w:val="00D706D0"/>
    <w:rsid w:val="00D7194C"/>
    <w:rsid w:val="00D72618"/>
    <w:rsid w:val="00D76300"/>
    <w:rsid w:val="00D8021E"/>
    <w:rsid w:val="00D8099B"/>
    <w:rsid w:val="00D82E43"/>
    <w:rsid w:val="00D83220"/>
    <w:rsid w:val="00D860AD"/>
    <w:rsid w:val="00D9006C"/>
    <w:rsid w:val="00D9110E"/>
    <w:rsid w:val="00D911CD"/>
    <w:rsid w:val="00D940AD"/>
    <w:rsid w:val="00D9528D"/>
    <w:rsid w:val="00DA0104"/>
    <w:rsid w:val="00DA46DB"/>
    <w:rsid w:val="00DA73BF"/>
    <w:rsid w:val="00DB1C30"/>
    <w:rsid w:val="00DB3586"/>
    <w:rsid w:val="00DB61CA"/>
    <w:rsid w:val="00DB72C6"/>
    <w:rsid w:val="00DD1A62"/>
    <w:rsid w:val="00DD2884"/>
    <w:rsid w:val="00DD39DE"/>
    <w:rsid w:val="00DD4B04"/>
    <w:rsid w:val="00DE19CC"/>
    <w:rsid w:val="00DE6D01"/>
    <w:rsid w:val="00DF0827"/>
    <w:rsid w:val="00DF125F"/>
    <w:rsid w:val="00DF1E78"/>
    <w:rsid w:val="00DF2F20"/>
    <w:rsid w:val="00DF4285"/>
    <w:rsid w:val="00DF42A5"/>
    <w:rsid w:val="00DF67A6"/>
    <w:rsid w:val="00DF7FB6"/>
    <w:rsid w:val="00E035F2"/>
    <w:rsid w:val="00E04E73"/>
    <w:rsid w:val="00E0573E"/>
    <w:rsid w:val="00E078E0"/>
    <w:rsid w:val="00E0790B"/>
    <w:rsid w:val="00E07BC8"/>
    <w:rsid w:val="00E12746"/>
    <w:rsid w:val="00E21BE5"/>
    <w:rsid w:val="00E21C25"/>
    <w:rsid w:val="00E34BFD"/>
    <w:rsid w:val="00E354ED"/>
    <w:rsid w:val="00E359A3"/>
    <w:rsid w:val="00E37B61"/>
    <w:rsid w:val="00E41349"/>
    <w:rsid w:val="00E43E58"/>
    <w:rsid w:val="00E441E8"/>
    <w:rsid w:val="00E46A66"/>
    <w:rsid w:val="00E4740B"/>
    <w:rsid w:val="00E50540"/>
    <w:rsid w:val="00E5059D"/>
    <w:rsid w:val="00E54FD2"/>
    <w:rsid w:val="00E6249B"/>
    <w:rsid w:val="00E6429A"/>
    <w:rsid w:val="00E648DF"/>
    <w:rsid w:val="00E71875"/>
    <w:rsid w:val="00E74ED1"/>
    <w:rsid w:val="00E84C59"/>
    <w:rsid w:val="00E8505A"/>
    <w:rsid w:val="00E85A8A"/>
    <w:rsid w:val="00E90C5B"/>
    <w:rsid w:val="00E91611"/>
    <w:rsid w:val="00E95C6C"/>
    <w:rsid w:val="00E96024"/>
    <w:rsid w:val="00EA17B6"/>
    <w:rsid w:val="00EA1A61"/>
    <w:rsid w:val="00EA2441"/>
    <w:rsid w:val="00EA3A1B"/>
    <w:rsid w:val="00EB222A"/>
    <w:rsid w:val="00EB579D"/>
    <w:rsid w:val="00EC079A"/>
    <w:rsid w:val="00EC3706"/>
    <w:rsid w:val="00EC4458"/>
    <w:rsid w:val="00EC5593"/>
    <w:rsid w:val="00EC6959"/>
    <w:rsid w:val="00ED0910"/>
    <w:rsid w:val="00ED1841"/>
    <w:rsid w:val="00ED38E3"/>
    <w:rsid w:val="00ED4AEE"/>
    <w:rsid w:val="00ED7AB7"/>
    <w:rsid w:val="00EE1197"/>
    <w:rsid w:val="00EE2557"/>
    <w:rsid w:val="00EE5755"/>
    <w:rsid w:val="00EF1B6D"/>
    <w:rsid w:val="00F01F2D"/>
    <w:rsid w:val="00F0658E"/>
    <w:rsid w:val="00F07983"/>
    <w:rsid w:val="00F16393"/>
    <w:rsid w:val="00F22D64"/>
    <w:rsid w:val="00F231E8"/>
    <w:rsid w:val="00F23BC4"/>
    <w:rsid w:val="00F24A8B"/>
    <w:rsid w:val="00F24F94"/>
    <w:rsid w:val="00F4704C"/>
    <w:rsid w:val="00F519C2"/>
    <w:rsid w:val="00F71336"/>
    <w:rsid w:val="00F73462"/>
    <w:rsid w:val="00F76DCD"/>
    <w:rsid w:val="00F80A72"/>
    <w:rsid w:val="00F839BD"/>
    <w:rsid w:val="00F8422E"/>
    <w:rsid w:val="00F84C08"/>
    <w:rsid w:val="00F85FB2"/>
    <w:rsid w:val="00F87050"/>
    <w:rsid w:val="00F929EB"/>
    <w:rsid w:val="00F93A6E"/>
    <w:rsid w:val="00FA0B2A"/>
    <w:rsid w:val="00FA4149"/>
    <w:rsid w:val="00FA4841"/>
    <w:rsid w:val="00FB0247"/>
    <w:rsid w:val="00FB7544"/>
    <w:rsid w:val="00FC1EC1"/>
    <w:rsid w:val="00FC23CF"/>
    <w:rsid w:val="00FC58B7"/>
    <w:rsid w:val="00FD25B3"/>
    <w:rsid w:val="00FD2FD8"/>
    <w:rsid w:val="00FD378F"/>
    <w:rsid w:val="00FD7CF2"/>
    <w:rsid w:val="00FE0A0B"/>
    <w:rsid w:val="00FE3F8B"/>
    <w:rsid w:val="00FE5DCD"/>
    <w:rsid w:val="00FF7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BB8623"/>
  <w15:docId w15:val="{CBCFCE2F-9502-44AB-8B01-9913DD63F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5131"/>
    <w:pPr>
      <w:spacing w:before="120" w:after="120"/>
    </w:pPr>
    <w:rPr>
      <w:rFonts w:ascii="Calibri" w:hAnsi="Calibri" w:cs="Calibri"/>
      <w:sz w:val="22"/>
      <w:szCs w:val="22"/>
    </w:rPr>
  </w:style>
  <w:style w:type="paragraph" w:styleId="Heading1">
    <w:name w:val="heading 1"/>
    <w:next w:val="Normal"/>
    <w:link w:val="Heading1Char"/>
    <w:uiPriority w:val="9"/>
    <w:qFormat/>
    <w:rsid w:val="005701A3"/>
    <w:pPr>
      <w:keepNext/>
      <w:spacing w:after="120"/>
      <w:jc w:val="center"/>
      <w:outlineLvl w:val="0"/>
    </w:pPr>
    <w:rPr>
      <w:rFonts w:ascii="Arial" w:hAnsi="Arial" w:cs="Arial"/>
      <w:b/>
      <w:bCs/>
      <w:color w:val="004250" w:themeColor="accent1"/>
      <w:kern w:val="32"/>
      <w:sz w:val="32"/>
      <w:szCs w:val="26"/>
    </w:rPr>
  </w:style>
  <w:style w:type="paragraph" w:styleId="Heading2">
    <w:name w:val="heading 2"/>
    <w:basedOn w:val="Normal"/>
    <w:next w:val="Normal"/>
    <w:link w:val="Heading2Char"/>
    <w:uiPriority w:val="9"/>
    <w:qFormat/>
    <w:rsid w:val="00A642BD"/>
    <w:pPr>
      <w:keepNext/>
      <w:ind w:left="432" w:hanging="432"/>
      <w:outlineLvl w:val="1"/>
    </w:pPr>
    <w:rPr>
      <w:rFonts w:ascii="Arial" w:hAnsi="Arial" w:cs="Arial"/>
      <w:b/>
      <w:bCs/>
      <w:iCs/>
      <w:color w:val="00647A" w:themeColor="accent1" w:themeTint="E6"/>
      <w:sz w:val="26"/>
    </w:rPr>
  </w:style>
  <w:style w:type="paragraph" w:styleId="Heading3">
    <w:name w:val="heading 3"/>
    <w:basedOn w:val="Normal"/>
    <w:next w:val="Normal"/>
    <w:link w:val="Heading3Char"/>
    <w:uiPriority w:val="9"/>
    <w:qFormat/>
    <w:rsid w:val="006A4A61"/>
    <w:pPr>
      <w:keepNext/>
      <w:spacing w:after="180"/>
      <w:ind w:left="432" w:hanging="432"/>
      <w:outlineLvl w:val="2"/>
    </w:pPr>
    <w:rPr>
      <w:rFonts w:ascii="Arial" w:hAnsi="Arial" w:cs="Arial"/>
      <w:b/>
      <w:bCs/>
      <w:color w:val="004250" w:themeColor="accent1"/>
    </w:rPr>
  </w:style>
  <w:style w:type="paragraph" w:styleId="Heading4">
    <w:name w:val="heading 4"/>
    <w:basedOn w:val="Normal"/>
    <w:next w:val="Normal"/>
    <w:qFormat/>
    <w:rsid w:val="006A4A61"/>
    <w:pPr>
      <w:keepNext/>
      <w:ind w:left="864" w:hanging="432"/>
      <w:outlineLvl w:val="3"/>
    </w:pPr>
    <w:rPr>
      <w:rFonts w:ascii="Arial" w:hAnsi="Arial"/>
      <w:b/>
      <w:bCs/>
      <w:i/>
      <w:color w:val="004250" w:themeColor="accent1"/>
    </w:rPr>
  </w:style>
  <w:style w:type="paragraph" w:styleId="Heading5">
    <w:name w:val="heading 5"/>
    <w:basedOn w:val="Normal"/>
    <w:next w:val="Normal"/>
    <w:qFormat/>
    <w:rsid w:val="006A4A61"/>
    <w:pPr>
      <w:keepNext/>
      <w:ind w:left="1296" w:hanging="432"/>
      <w:outlineLvl w:val="4"/>
    </w:pPr>
    <w:rPr>
      <w:rFonts w:ascii="Arial" w:hAnsi="Arial"/>
      <w:bCs/>
      <w:i/>
      <w:iCs/>
      <w:color w:val="004250" w:themeColor="accent1"/>
    </w:rPr>
  </w:style>
  <w:style w:type="paragraph" w:styleId="Heading6">
    <w:name w:val="heading 6"/>
    <w:basedOn w:val="Normal"/>
    <w:next w:val="Normal"/>
    <w:link w:val="Heading6Char"/>
    <w:unhideWhenUsed/>
    <w:qFormat/>
    <w:rsid w:val="006A4A61"/>
    <w:pPr>
      <w:keepNext/>
      <w:keepLines/>
      <w:outlineLvl w:val="5"/>
    </w:pPr>
    <w:rPr>
      <w:rFonts w:cs="Times New Roman"/>
      <w:b/>
      <w:i/>
      <w:iCs/>
      <w:color w:val="004250" w:themeColor="accent1"/>
    </w:rPr>
  </w:style>
  <w:style w:type="paragraph" w:styleId="Heading7">
    <w:name w:val="heading 7"/>
    <w:basedOn w:val="Normal"/>
    <w:next w:val="Normal"/>
    <w:link w:val="Heading7Char"/>
    <w:semiHidden/>
    <w:unhideWhenUsed/>
    <w:qFormat/>
    <w:rsid w:val="00AC785F"/>
    <w:pPr>
      <w:keepNext/>
      <w:keepLines/>
      <w:spacing w:before="40" w:after="0"/>
      <w:outlineLvl w:val="6"/>
    </w:pPr>
    <w:rPr>
      <w:rFonts w:ascii="Times New Roman" w:hAnsi="Times New Roman" w:cs="Times New Roman"/>
      <w:i/>
      <w:iCs/>
      <w:color w:val="002027" w:themeColor="accent1" w:themeShade="7F"/>
    </w:rPr>
  </w:style>
  <w:style w:type="paragraph" w:styleId="Heading8">
    <w:name w:val="heading 8"/>
    <w:basedOn w:val="Normal"/>
    <w:next w:val="Normal"/>
    <w:link w:val="Heading8Char"/>
    <w:semiHidden/>
    <w:unhideWhenUsed/>
    <w:qFormat/>
    <w:rsid w:val="00AC785F"/>
    <w:pPr>
      <w:keepNext/>
      <w:keepLines/>
      <w:spacing w:before="40" w:after="0"/>
      <w:outlineLvl w:val="7"/>
    </w:pPr>
    <w:rPr>
      <w:rFonts w:ascii="Times New Roman" w:hAnsi="Times New Roman" w:cs="Times New Roman"/>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qFormat/>
    <w:rsid w:val="00AC785F"/>
    <w:pPr>
      <w:numPr>
        <w:numId w:val="2"/>
      </w:numPr>
    </w:pPr>
  </w:style>
  <w:style w:type="paragraph" w:styleId="Subtitle">
    <w:name w:val="Subtitle"/>
    <w:basedOn w:val="Normal"/>
    <w:next w:val="Normal"/>
    <w:link w:val="SubtitleChar"/>
    <w:qFormat/>
    <w:rsid w:val="005701A3"/>
    <w:pPr>
      <w:widowControl w:val="0"/>
      <w:spacing w:after="480"/>
      <w:ind w:left="2160" w:hanging="2160"/>
      <w:jc w:val="center"/>
    </w:pPr>
    <w:rPr>
      <w:rFonts w:ascii="Arial" w:eastAsia="Century Gothic" w:hAnsi="Arial" w:cs="Arial"/>
      <w:b/>
      <w:i/>
      <w:color w:val="004250" w:themeColor="accent1"/>
      <w:spacing w:val="-14"/>
      <w:sz w:val="28"/>
      <w:szCs w:val="28"/>
    </w:rPr>
  </w:style>
  <w:style w:type="character" w:customStyle="1" w:styleId="SubtitleChar">
    <w:name w:val="Subtitle Char"/>
    <w:basedOn w:val="DefaultParagraphFont"/>
    <w:link w:val="Subtitle"/>
    <w:rsid w:val="005701A3"/>
    <w:rPr>
      <w:rFonts w:ascii="Arial" w:eastAsia="Century Gothic" w:hAnsi="Arial" w:cs="Arial"/>
      <w:b/>
      <w:i/>
      <w:color w:val="004250" w:themeColor="accent1"/>
      <w:spacing w:val="-14"/>
      <w:sz w:val="28"/>
      <w:szCs w:val="28"/>
    </w:rPr>
  </w:style>
  <w:style w:type="paragraph" w:styleId="NormalIndent">
    <w:name w:val="Normal Indent"/>
    <w:basedOn w:val="Normal"/>
    <w:link w:val="NormalIndentChar"/>
    <w:unhideWhenUsed/>
    <w:qFormat/>
    <w:rsid w:val="009F549D"/>
    <w:pPr>
      <w:ind w:left="432"/>
    </w:pPr>
  </w:style>
  <w:style w:type="paragraph" w:customStyle="1" w:styleId="Note">
    <w:name w:val="Note"/>
    <w:basedOn w:val="Bullet"/>
    <w:next w:val="Normal"/>
    <w:rsid w:val="005D6860"/>
    <w:pPr>
      <w:numPr>
        <w:numId w:val="0"/>
      </w:numPr>
      <w:spacing w:after="240"/>
      <w:ind w:left="432" w:hanging="432"/>
    </w:pPr>
    <w:rPr>
      <w:rFonts w:ascii="Trebuchet MS" w:hAnsi="Trebuchet MS"/>
      <w:sz w:val="20"/>
      <w:szCs w:val="20"/>
    </w:rPr>
  </w:style>
  <w:style w:type="paragraph" w:customStyle="1" w:styleId="Source">
    <w:name w:val="Source"/>
    <w:basedOn w:val="Normal"/>
    <w:next w:val="Normal"/>
    <w:rsid w:val="005D6860"/>
    <w:rPr>
      <w:rFonts w:ascii="Trebuchet MS" w:hAnsi="Trebuchet MS"/>
      <w:sz w:val="20"/>
      <w:szCs w:val="20"/>
    </w:rPr>
  </w:style>
  <w:style w:type="paragraph" w:styleId="TOCHeading">
    <w:name w:val="TOC Heading"/>
    <w:next w:val="TOC1"/>
    <w:qFormat/>
    <w:rsid w:val="007D4156"/>
    <w:pPr>
      <w:spacing w:after="360"/>
      <w:jc w:val="center"/>
    </w:pPr>
    <w:rPr>
      <w:rFonts w:ascii="Arial" w:hAnsi="Arial"/>
      <w:b/>
      <w:sz w:val="28"/>
      <w:szCs w:val="28"/>
    </w:rPr>
  </w:style>
  <w:style w:type="paragraph" w:styleId="TOC1">
    <w:name w:val="toc 1"/>
    <w:next w:val="Normal"/>
    <w:uiPriority w:val="39"/>
    <w:rsid w:val="00E359A3"/>
    <w:pPr>
      <w:tabs>
        <w:tab w:val="left" w:pos="432"/>
        <w:tab w:val="right" w:leader="dot" w:pos="9360"/>
      </w:tabs>
      <w:spacing w:before="240" w:after="120"/>
      <w:ind w:left="432" w:hanging="432"/>
    </w:pPr>
    <w:rPr>
      <w:b/>
      <w:caps/>
      <w:sz w:val="24"/>
      <w:szCs w:val="22"/>
    </w:rPr>
  </w:style>
  <w:style w:type="paragraph" w:styleId="TOC5">
    <w:name w:val="toc 5"/>
    <w:basedOn w:val="Normal"/>
    <w:next w:val="Normal"/>
    <w:autoRedefine/>
    <w:semiHidden/>
    <w:rsid w:val="0090586A"/>
    <w:pPr>
      <w:ind w:left="1728" w:hanging="432"/>
    </w:pPr>
    <w:rPr>
      <w:sz w:val="20"/>
    </w:rPr>
  </w:style>
  <w:style w:type="paragraph" w:styleId="TOC2">
    <w:name w:val="toc 2"/>
    <w:basedOn w:val="Normal"/>
    <w:next w:val="Normal"/>
    <w:uiPriority w:val="39"/>
    <w:rsid w:val="008515A0"/>
    <w:pPr>
      <w:tabs>
        <w:tab w:val="left" w:pos="864"/>
        <w:tab w:val="right" w:leader="dot" w:pos="9360"/>
      </w:tabs>
      <w:ind w:left="864" w:hanging="432"/>
    </w:pPr>
  </w:style>
  <w:style w:type="paragraph" w:styleId="TOC3">
    <w:name w:val="toc 3"/>
    <w:basedOn w:val="Normal"/>
    <w:next w:val="Normal"/>
    <w:uiPriority w:val="39"/>
    <w:rsid w:val="008515A0"/>
    <w:pPr>
      <w:tabs>
        <w:tab w:val="left" w:pos="1296"/>
        <w:tab w:val="right" w:leader="dot" w:pos="9360"/>
      </w:tabs>
      <w:ind w:left="1296" w:hanging="432"/>
    </w:pPr>
    <w:rPr>
      <w:i/>
    </w:rPr>
  </w:style>
  <w:style w:type="paragraph" w:styleId="TOC4">
    <w:name w:val="toc 4"/>
    <w:basedOn w:val="Normal"/>
    <w:next w:val="Normal"/>
    <w:autoRedefine/>
    <w:semiHidden/>
    <w:rsid w:val="0090586A"/>
    <w:pPr>
      <w:ind w:left="1728" w:hanging="432"/>
    </w:pPr>
    <w:rPr>
      <w:sz w:val="20"/>
      <w:szCs w:val="20"/>
    </w:rPr>
  </w:style>
  <w:style w:type="paragraph" w:styleId="BodyText">
    <w:name w:val="Body Text"/>
    <w:basedOn w:val="Normal"/>
    <w:link w:val="BodyTextChar"/>
    <w:rsid w:val="00C5125D"/>
  </w:style>
  <w:style w:type="table" w:styleId="TableGrid">
    <w:name w:val="Table Grid"/>
    <w:basedOn w:val="TableNormal"/>
    <w:rsid w:val="00C46A8E"/>
    <w:pPr>
      <w:spacing w:before="40" w:after="40"/>
      <w:jc w:val="center"/>
    </w:pPr>
    <w:rPr>
      <w:rFonts w:ascii="Trebuchet MS" w:hAnsi="Trebuchet MS"/>
    </w:rPr>
    <w:tblPr>
      <w:tblBorders>
        <w:top w:val="single" w:sz="12" w:space="0" w:color="auto"/>
        <w:bottom w:val="single" w:sz="12" w:space="0" w:color="auto"/>
      </w:tblBorders>
    </w:tblPr>
    <w:tblStylePr w:type="firstRow">
      <w:pPr>
        <w:jc w:val="center"/>
      </w:pPr>
      <w:rPr>
        <w:rFonts w:ascii="Trebuchet MS" w:hAnsi="Trebuchet MS"/>
        <w:b/>
        <w:sz w:val="20"/>
      </w:rPr>
      <w:tblPr/>
      <w:tcPr>
        <w:tcBorders>
          <w:bottom w:val="single" w:sz="12" w:space="0" w:color="auto"/>
        </w:tcBorders>
      </w:tcPr>
    </w:tblStylePr>
    <w:tblStylePr w:type="lastRow">
      <w:pPr>
        <w:wordWrap/>
        <w:spacing w:beforeLines="0" w:before="40" w:beforeAutospacing="0" w:afterLines="0" w:after="40" w:afterAutospacing="0"/>
      </w:pPr>
      <w:rPr>
        <w:rFonts w:ascii="Trebuchet MS" w:hAnsi="Trebuchet MS"/>
        <w:sz w:val="20"/>
      </w:rPr>
      <w:tblPr/>
      <w:tcPr>
        <w:tcBorders>
          <w:bottom w:val="single" w:sz="12" w:space="0" w:color="auto"/>
        </w:tcBorders>
      </w:tcPr>
    </w:tblStylePr>
  </w:style>
  <w:style w:type="paragraph" w:styleId="Header">
    <w:name w:val="header"/>
    <w:basedOn w:val="Normal"/>
    <w:link w:val="HeaderChar"/>
    <w:uiPriority w:val="99"/>
    <w:rsid w:val="001E02D2"/>
    <w:pPr>
      <w:pBdr>
        <w:bottom w:val="single" w:sz="4" w:space="1" w:color="auto"/>
      </w:pBdr>
      <w:tabs>
        <w:tab w:val="right" w:pos="9360"/>
      </w:tabs>
    </w:pPr>
    <w:rPr>
      <w:i/>
      <w:sz w:val="20"/>
    </w:rPr>
  </w:style>
  <w:style w:type="paragraph" w:styleId="Footer">
    <w:name w:val="footer"/>
    <w:link w:val="FooterChar"/>
    <w:rsid w:val="00FB0247"/>
    <w:pPr>
      <w:tabs>
        <w:tab w:val="center" w:pos="5040"/>
        <w:tab w:val="right" w:pos="9360"/>
      </w:tabs>
    </w:pPr>
    <w:rPr>
      <w:sz w:val="16"/>
      <w:szCs w:val="24"/>
    </w:rPr>
  </w:style>
  <w:style w:type="character" w:styleId="PageNumber">
    <w:name w:val="page number"/>
    <w:rsid w:val="00FB0247"/>
    <w:rPr>
      <w:rFonts w:ascii="Times New Roman" w:hAnsi="Times New Roman"/>
      <w:sz w:val="20"/>
      <w:szCs w:val="22"/>
    </w:rPr>
  </w:style>
  <w:style w:type="paragraph" w:customStyle="1" w:styleId="PCDocs">
    <w:name w:val="PCDocs#"/>
    <w:basedOn w:val="Normal"/>
    <w:rsid w:val="00EE1197"/>
    <w:pPr>
      <w:spacing w:after="0"/>
      <w:ind w:left="634"/>
    </w:pPr>
    <w:rPr>
      <w:sz w:val="16"/>
      <w:szCs w:val="16"/>
    </w:rPr>
  </w:style>
  <w:style w:type="paragraph" w:customStyle="1" w:styleId="PageHeader">
    <w:name w:val="Page Header"/>
    <w:rsid w:val="00FB0247"/>
    <w:rPr>
      <w:i/>
      <w:szCs w:val="24"/>
    </w:rPr>
  </w:style>
  <w:style w:type="paragraph" w:customStyle="1" w:styleId="Numberedlist">
    <w:name w:val="Numbered list"/>
    <w:basedOn w:val="Normal"/>
    <w:qFormat/>
    <w:rsid w:val="008515A0"/>
    <w:pPr>
      <w:numPr>
        <w:numId w:val="7"/>
      </w:numPr>
    </w:pPr>
  </w:style>
  <w:style w:type="character" w:customStyle="1" w:styleId="FooterChar">
    <w:name w:val="Footer Char"/>
    <w:link w:val="Footer"/>
    <w:rsid w:val="00FB0247"/>
    <w:rPr>
      <w:sz w:val="16"/>
      <w:szCs w:val="24"/>
    </w:rPr>
  </w:style>
  <w:style w:type="table" w:styleId="TableColumns3">
    <w:name w:val="Table Columns 3"/>
    <w:basedOn w:val="TableNormal"/>
    <w:rsid w:val="001A428C"/>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qFormat/>
    <w:rsid w:val="00405010"/>
    <w:pPr>
      <w:spacing w:before="40" w:after="40" w:line="220" w:lineRule="exact"/>
    </w:pPr>
    <w:rPr>
      <w:sz w:val="20"/>
    </w:rPr>
  </w:style>
  <w:style w:type="character" w:styleId="Hyperlink">
    <w:name w:val="Hyperlink"/>
    <w:uiPriority w:val="99"/>
    <w:rsid w:val="00D860AD"/>
    <w:rPr>
      <w:color w:val="0000FF"/>
      <w:u w:val="single"/>
    </w:rPr>
  </w:style>
  <w:style w:type="paragraph" w:customStyle="1" w:styleId="NormalDoubleIndent">
    <w:name w:val="Normal Double Indent"/>
    <w:basedOn w:val="NormalIndent"/>
    <w:next w:val="Normal"/>
    <w:link w:val="NormalDoubleIndentChar"/>
    <w:qFormat/>
    <w:rsid w:val="00115187"/>
    <w:pPr>
      <w:ind w:left="864"/>
    </w:pPr>
  </w:style>
  <w:style w:type="paragraph" w:customStyle="1" w:styleId="Disclaimer1">
    <w:name w:val="Disclaimer 1"/>
    <w:basedOn w:val="Normal"/>
    <w:rsid w:val="00FB0247"/>
    <w:pPr>
      <w:autoSpaceDE w:val="0"/>
      <w:autoSpaceDN w:val="0"/>
      <w:adjustRightInd w:val="0"/>
      <w:spacing w:before="3480" w:after="0"/>
    </w:pPr>
    <w:rPr>
      <w:rFonts w:cs="Cambria"/>
      <w:color w:val="00267F"/>
      <w:sz w:val="18"/>
      <w:szCs w:val="18"/>
    </w:rPr>
  </w:style>
  <w:style w:type="paragraph" w:customStyle="1" w:styleId="ALogo">
    <w:name w:val="A Logo"/>
    <w:basedOn w:val="Normal"/>
    <w:uiPriority w:val="1"/>
    <w:rsid w:val="00BF36BC"/>
    <w:pPr>
      <w:widowControl w:val="0"/>
      <w:spacing w:after="480"/>
    </w:pPr>
    <w:rPr>
      <w:sz w:val="20"/>
      <w:szCs w:val="20"/>
    </w:rPr>
  </w:style>
  <w:style w:type="character" w:customStyle="1" w:styleId="HeaderChar">
    <w:name w:val="Header Char"/>
    <w:link w:val="Header"/>
    <w:uiPriority w:val="99"/>
    <w:rsid w:val="001E02D2"/>
    <w:rPr>
      <w:i/>
      <w:spacing w:val="-2"/>
      <w:szCs w:val="24"/>
    </w:rPr>
  </w:style>
  <w:style w:type="paragraph" w:styleId="Title">
    <w:name w:val="Title"/>
    <w:next w:val="Normal"/>
    <w:link w:val="TitleChar"/>
    <w:rsid w:val="00FB0247"/>
    <w:pPr>
      <w:widowControl w:val="0"/>
      <w:spacing w:after="240"/>
      <w:jc w:val="right"/>
    </w:pPr>
    <w:rPr>
      <w:rFonts w:ascii="Tahoma" w:eastAsia="Century Gothic" w:hAnsi="Tahoma" w:cs="Arial"/>
      <w:color w:val="00267F"/>
      <w:spacing w:val="-14"/>
      <w:sz w:val="36"/>
      <w:szCs w:val="36"/>
    </w:rPr>
  </w:style>
  <w:style w:type="character" w:customStyle="1" w:styleId="TitleChar">
    <w:name w:val="Title Char"/>
    <w:link w:val="Title"/>
    <w:rsid w:val="00FB0247"/>
    <w:rPr>
      <w:rFonts w:ascii="Tahoma" w:eastAsia="Century Gothic" w:hAnsi="Tahoma" w:cs="Arial"/>
      <w:color w:val="00267F"/>
      <w:spacing w:val="-14"/>
      <w:sz w:val="36"/>
      <w:szCs w:val="36"/>
    </w:rPr>
  </w:style>
  <w:style w:type="character" w:customStyle="1" w:styleId="NormalIndentChar">
    <w:name w:val="Normal Indent Char"/>
    <w:basedOn w:val="DefaultParagraphFont"/>
    <w:link w:val="NormalIndent"/>
    <w:rsid w:val="009F549D"/>
    <w:rPr>
      <w:spacing w:val="-2"/>
      <w:sz w:val="24"/>
      <w:szCs w:val="24"/>
    </w:rPr>
  </w:style>
  <w:style w:type="character" w:customStyle="1" w:styleId="NormalDoubleIndentChar">
    <w:name w:val="Normal Double Indent Char"/>
    <w:basedOn w:val="NormalIndentChar"/>
    <w:link w:val="NormalDoubleIndent"/>
    <w:rsid w:val="00115187"/>
    <w:rPr>
      <w:spacing w:val="-2"/>
      <w:sz w:val="24"/>
      <w:szCs w:val="24"/>
    </w:rPr>
  </w:style>
  <w:style w:type="paragraph" w:customStyle="1" w:styleId="BasicParagraph">
    <w:name w:val="[Basic Paragraph]"/>
    <w:basedOn w:val="Normal"/>
    <w:uiPriority w:val="99"/>
    <w:rsid w:val="001273D0"/>
    <w:pPr>
      <w:widowControl w:val="0"/>
      <w:autoSpaceDE w:val="0"/>
      <w:autoSpaceDN w:val="0"/>
      <w:adjustRightInd w:val="0"/>
      <w:spacing w:after="0" w:line="288" w:lineRule="auto"/>
      <w:textAlignment w:val="center"/>
    </w:pPr>
    <w:rPr>
      <w:rFonts w:ascii="Times New Roman" w:eastAsia="MS PGothic" w:hAnsi="Times New Roman" w:cs="Times New Roman"/>
      <w:color w:val="000000"/>
    </w:rPr>
  </w:style>
  <w:style w:type="character" w:styleId="CommentReference">
    <w:name w:val="annotation reference"/>
    <w:rsid w:val="00405010"/>
    <w:rPr>
      <w:sz w:val="16"/>
      <w:szCs w:val="16"/>
    </w:rPr>
  </w:style>
  <w:style w:type="paragraph" w:styleId="CommentText">
    <w:name w:val="annotation text"/>
    <w:basedOn w:val="Normal"/>
    <w:link w:val="CommentTextChar"/>
    <w:rsid w:val="00405010"/>
    <w:rPr>
      <w:sz w:val="20"/>
      <w:szCs w:val="20"/>
    </w:rPr>
  </w:style>
  <w:style w:type="character" w:customStyle="1" w:styleId="CommentTextChar">
    <w:name w:val="Comment Text Char"/>
    <w:link w:val="CommentText"/>
    <w:rsid w:val="00405010"/>
    <w:rPr>
      <w:rFonts w:ascii="Book Antiqua" w:hAnsi="Book Antiqua"/>
    </w:rPr>
  </w:style>
  <w:style w:type="paragraph" w:styleId="CommentSubject">
    <w:name w:val="annotation subject"/>
    <w:basedOn w:val="CommentText"/>
    <w:next w:val="CommentText"/>
    <w:link w:val="CommentSubjectChar"/>
    <w:rsid w:val="00405010"/>
    <w:rPr>
      <w:b/>
      <w:bCs/>
    </w:rPr>
  </w:style>
  <w:style w:type="character" w:customStyle="1" w:styleId="CommentSubjectChar">
    <w:name w:val="Comment Subject Char"/>
    <w:link w:val="CommentSubject"/>
    <w:rsid w:val="00405010"/>
    <w:rPr>
      <w:rFonts w:ascii="Book Antiqua" w:hAnsi="Book Antiqua"/>
      <w:b/>
      <w:bCs/>
    </w:rPr>
  </w:style>
  <w:style w:type="paragraph" w:styleId="BalloonText">
    <w:name w:val="Balloon Text"/>
    <w:basedOn w:val="Normal"/>
    <w:link w:val="BalloonTextChar"/>
    <w:rsid w:val="00405010"/>
    <w:pPr>
      <w:spacing w:after="0"/>
    </w:pPr>
    <w:rPr>
      <w:rFonts w:ascii="Tahoma" w:hAnsi="Tahoma" w:cs="Tahoma"/>
      <w:sz w:val="16"/>
      <w:szCs w:val="16"/>
    </w:rPr>
  </w:style>
  <w:style w:type="character" w:customStyle="1" w:styleId="BalloonTextChar">
    <w:name w:val="Balloon Text Char"/>
    <w:link w:val="BalloonText"/>
    <w:rsid w:val="00405010"/>
    <w:rPr>
      <w:rFonts w:ascii="Tahoma" w:hAnsi="Tahoma" w:cs="Tahoma"/>
      <w:sz w:val="16"/>
      <w:szCs w:val="16"/>
    </w:rPr>
  </w:style>
  <w:style w:type="paragraph" w:styleId="Revision">
    <w:name w:val="Revision"/>
    <w:hidden/>
    <w:uiPriority w:val="99"/>
    <w:semiHidden/>
    <w:rsid w:val="00405010"/>
    <w:rPr>
      <w:rFonts w:ascii="Book Antiqua" w:hAnsi="Book Antiqua"/>
      <w:sz w:val="22"/>
      <w:szCs w:val="24"/>
    </w:rPr>
  </w:style>
  <w:style w:type="paragraph" w:styleId="NoSpacing">
    <w:name w:val="No Spacing"/>
    <w:link w:val="NoSpacingChar"/>
    <w:uiPriority w:val="1"/>
    <w:qFormat/>
    <w:rsid w:val="007D4156"/>
    <w:rPr>
      <w:spacing w:val="-2"/>
      <w:sz w:val="24"/>
      <w:szCs w:val="24"/>
    </w:rPr>
  </w:style>
  <w:style w:type="character" w:customStyle="1" w:styleId="BodyTextChar">
    <w:name w:val="Body Text Char"/>
    <w:link w:val="BodyText"/>
    <w:rsid w:val="00405010"/>
    <w:rPr>
      <w:rFonts w:ascii="Book Antiqua" w:hAnsi="Book Antiqua"/>
      <w:spacing w:val="-2"/>
      <w:sz w:val="22"/>
      <w:szCs w:val="22"/>
    </w:rPr>
  </w:style>
  <w:style w:type="paragraph" w:customStyle="1" w:styleId="Call-outBoxHeader">
    <w:name w:val="Call-out Box Header"/>
    <w:basedOn w:val="Normal"/>
    <w:qFormat/>
    <w:rsid w:val="006A4A61"/>
    <w:pPr>
      <w:spacing w:before="60" w:line="260" w:lineRule="exact"/>
      <w:jc w:val="center"/>
    </w:pPr>
    <w:rPr>
      <w:b/>
      <w:color w:val="004250" w:themeColor="accent1"/>
    </w:rPr>
  </w:style>
  <w:style w:type="paragraph" w:customStyle="1" w:styleId="Call-outBoxText">
    <w:name w:val="Call-out Box Text"/>
    <w:basedOn w:val="Normal"/>
    <w:qFormat/>
    <w:rsid w:val="006A4A61"/>
    <w:pPr>
      <w:spacing w:before="40" w:after="40" w:line="240" w:lineRule="exact"/>
    </w:pPr>
    <w:rPr>
      <w:color w:val="004250" w:themeColor="accent1"/>
    </w:rPr>
  </w:style>
  <w:style w:type="paragraph" w:customStyle="1" w:styleId="TableSubheaderRow">
    <w:name w:val="Table Subheader Row"/>
    <w:basedOn w:val="Normal"/>
    <w:qFormat/>
    <w:rsid w:val="006A4A61"/>
    <w:pPr>
      <w:spacing w:before="40" w:after="40" w:line="220" w:lineRule="exact"/>
    </w:pPr>
    <w:rPr>
      <w:b/>
      <w:i/>
      <w:color w:val="004250" w:themeColor="accent1"/>
      <w:sz w:val="20"/>
    </w:rPr>
  </w:style>
  <w:style w:type="paragraph" w:customStyle="1" w:styleId="Call-outBoxBullet">
    <w:name w:val="Call-out Box Bullet"/>
    <w:basedOn w:val="Call-outBoxText"/>
    <w:qFormat/>
    <w:rsid w:val="003A06A7"/>
    <w:pPr>
      <w:numPr>
        <w:numId w:val="4"/>
      </w:numPr>
      <w:tabs>
        <w:tab w:val="left" w:pos="288"/>
      </w:tabs>
    </w:pPr>
  </w:style>
  <w:style w:type="paragraph" w:customStyle="1" w:styleId="Normal6ptafter">
    <w:name w:val="Normal (6 pt after)"/>
    <w:basedOn w:val="Normal"/>
    <w:qFormat/>
    <w:rsid w:val="000F0F13"/>
  </w:style>
  <w:style w:type="character" w:customStyle="1" w:styleId="Heading6Char">
    <w:name w:val="Heading 6 Char"/>
    <w:basedOn w:val="DefaultParagraphFont"/>
    <w:link w:val="Heading6"/>
    <w:rsid w:val="006A4A61"/>
    <w:rPr>
      <w:rFonts w:eastAsia="Times New Roman" w:cs="Times New Roman"/>
      <w:b/>
      <w:i/>
      <w:iCs/>
      <w:color w:val="004250" w:themeColor="accent1"/>
      <w:spacing w:val="-2"/>
      <w:sz w:val="24"/>
      <w:szCs w:val="24"/>
    </w:rPr>
  </w:style>
  <w:style w:type="table" w:customStyle="1" w:styleId="Lewin508">
    <w:name w:val="Lewin508"/>
    <w:basedOn w:val="TableNormal"/>
    <w:uiPriority w:val="99"/>
    <w:rsid w:val="000A5B17"/>
    <w:rPr>
      <w:rFonts w:ascii="Calibri" w:hAnsi="Calibri"/>
    </w:rPr>
    <w:tblPr>
      <w:tblStyleRowBandSize w:val="1"/>
      <w:tblStyleColBandSize w:val="1"/>
      <w:jc w:val="center"/>
      <w:tblBorders>
        <w:top w:val="single" w:sz="4" w:space="0" w:color="004250" w:themeColor="accent1"/>
        <w:left w:val="single" w:sz="4" w:space="0" w:color="004250" w:themeColor="accent1"/>
        <w:bottom w:val="single" w:sz="4" w:space="0" w:color="004250" w:themeColor="accent1"/>
        <w:right w:val="single" w:sz="4" w:space="0" w:color="004250" w:themeColor="accent1"/>
        <w:insideH w:val="single" w:sz="4" w:space="0" w:color="004250" w:themeColor="accent1"/>
        <w:insideV w:val="single" w:sz="4" w:space="0" w:color="004250" w:themeColor="accent1"/>
      </w:tblBorders>
      <w:tblCellMar>
        <w:left w:w="86" w:type="dxa"/>
        <w:right w:w="86" w:type="dxa"/>
      </w:tblCellMar>
    </w:tblPr>
    <w:trPr>
      <w:jc w:val="center"/>
    </w:trPr>
    <w:tcPr>
      <w:vAlign w:val="center"/>
    </w:tcPr>
    <w:tblStylePr w:type="firstRow">
      <w:pPr>
        <w:jc w:val="center"/>
      </w:pPr>
      <w:rPr>
        <w:rFonts w:ascii="Calibri" w:hAnsi="Calibri"/>
        <w:b/>
        <w:color w:val="FFFFFF" w:themeColor="background1"/>
        <w:sz w:val="22"/>
      </w:rPr>
      <w:tblPr/>
      <w:tcPr>
        <w:tcBorders>
          <w:top w:val="nil"/>
          <w:left w:val="single" w:sz="4" w:space="0" w:color="004250" w:themeColor="accent1"/>
          <w:bottom w:val="nil"/>
          <w:right w:val="nil"/>
          <w:insideH w:val="single" w:sz="4" w:space="0" w:color="FFFFFF" w:themeColor="background1"/>
          <w:insideV w:val="single" w:sz="4" w:space="0" w:color="FFFFFF" w:themeColor="background1"/>
          <w:tl2br w:val="nil"/>
          <w:tr2bl w:val="nil"/>
        </w:tcBorders>
        <w:shd w:val="clear" w:color="auto" w:fill="004250"/>
      </w:tcPr>
    </w:tblStylePr>
    <w:tblStylePr w:type="lastRow">
      <w:tblPr/>
      <w:tcPr>
        <w:shd w:val="clear" w:color="auto" w:fill="B3D1DB" w:themeFill="accent2" w:themeFillTint="66"/>
      </w:tcPr>
    </w:tblStylePr>
    <w:tblStylePr w:type="firstCol">
      <w:rPr>
        <w:b/>
      </w:rPr>
      <w:tblPr/>
      <w:tcPr>
        <w:tcBorders>
          <w:top w:val="single" w:sz="4" w:space="0" w:color="004250"/>
          <w:left w:val="single" w:sz="4" w:space="0" w:color="004250"/>
          <w:bottom w:val="single" w:sz="4" w:space="0" w:color="004250"/>
          <w:right w:val="single" w:sz="4" w:space="0" w:color="004250"/>
          <w:insideH w:val="single" w:sz="4" w:space="0" w:color="004250"/>
          <w:insideV w:val="single" w:sz="4" w:space="0" w:color="004250"/>
        </w:tcBorders>
      </w:tcPr>
    </w:tblStylePr>
    <w:tblStylePr w:type="lastCol">
      <w:tblPr/>
      <w:tcPr>
        <w:tcBorders>
          <w:top w:val="single" w:sz="4" w:space="0" w:color="004250"/>
          <w:left w:val="single" w:sz="4" w:space="0" w:color="004250"/>
          <w:bottom w:val="single" w:sz="4" w:space="0" w:color="004250"/>
          <w:right w:val="single" w:sz="4" w:space="0" w:color="004250"/>
          <w:insideH w:val="single" w:sz="4" w:space="0" w:color="004250"/>
          <w:insideV w:val="single" w:sz="4" w:space="0" w:color="004250"/>
        </w:tcBorders>
      </w:tcPr>
    </w:tblStylePr>
    <w:tblStylePr w:type="band1Vert">
      <w:tblPr/>
      <w:tcPr>
        <w:tcBorders>
          <w:top w:val="single" w:sz="4" w:space="0" w:color="004250"/>
          <w:left w:val="single" w:sz="4" w:space="0" w:color="004250"/>
          <w:bottom w:val="single" w:sz="4" w:space="0" w:color="004250"/>
          <w:right w:val="single" w:sz="4" w:space="0" w:color="004250"/>
          <w:insideH w:val="single" w:sz="4" w:space="0" w:color="004250"/>
          <w:insideV w:val="single" w:sz="4" w:space="0" w:color="004250"/>
        </w:tcBorders>
      </w:tcPr>
    </w:tblStylePr>
    <w:tblStylePr w:type="band2Vert">
      <w:tblPr/>
      <w:tcPr>
        <w:tcBorders>
          <w:top w:val="single" w:sz="4" w:space="0" w:color="004250"/>
          <w:left w:val="single" w:sz="4" w:space="0" w:color="004250"/>
          <w:bottom w:val="single" w:sz="4" w:space="0" w:color="004250"/>
          <w:right w:val="single" w:sz="4" w:space="0" w:color="004250"/>
          <w:insideH w:val="single" w:sz="4" w:space="0" w:color="004250"/>
          <w:insideV w:val="single" w:sz="4" w:space="0" w:color="004250"/>
        </w:tcBorders>
      </w:tcPr>
    </w:tblStylePr>
    <w:tblStylePr w:type="band1Horz">
      <w:pPr>
        <w:jc w:val="left"/>
      </w:pPr>
      <w:rPr>
        <w:rFonts w:ascii="Calibri" w:hAnsi="Calibri"/>
        <w:sz w:val="20"/>
      </w:rPr>
      <w:tblPr/>
      <w:tcPr>
        <w:tcBorders>
          <w:top w:val="single" w:sz="4" w:space="0" w:color="004250"/>
          <w:left w:val="single" w:sz="4" w:space="0" w:color="004250"/>
          <w:bottom w:val="single" w:sz="4" w:space="0" w:color="004250"/>
          <w:right w:val="single" w:sz="4" w:space="0" w:color="004250"/>
          <w:insideH w:val="single" w:sz="4" w:space="0" w:color="004250"/>
          <w:insideV w:val="single" w:sz="4" w:space="0" w:color="004250"/>
        </w:tcBorders>
      </w:tcPr>
    </w:tblStylePr>
    <w:tblStylePr w:type="band2Horz">
      <w:pPr>
        <w:jc w:val="left"/>
      </w:pPr>
      <w:rPr>
        <w:rFonts w:ascii="Calibri" w:hAnsi="Calibri"/>
        <w:sz w:val="20"/>
      </w:rPr>
      <w:tblPr/>
      <w:tcPr>
        <w:shd w:val="clear" w:color="auto" w:fill="B3D1DB" w:themeFill="accent2" w:themeFillTint="66"/>
      </w:tcPr>
    </w:tblStylePr>
    <w:tblStylePr w:type="nwCell">
      <w:tblPr/>
      <w:tcPr>
        <w:tcBorders>
          <w:top w:val="single" w:sz="4" w:space="0" w:color="004250" w:themeColor="accent1"/>
          <w:left w:val="single" w:sz="4" w:space="0" w:color="004250" w:themeColor="accent1"/>
          <w:bottom w:val="nil"/>
          <w:right w:val="nil"/>
          <w:insideH w:val="nil"/>
          <w:insideV w:val="nil"/>
          <w:tl2br w:val="nil"/>
          <w:tr2bl w:val="nil"/>
        </w:tcBorders>
      </w:tcPr>
    </w:tblStylePr>
    <w:tblStylePr w:type="swCell">
      <w:tblPr/>
      <w:tcPr>
        <w:tcBorders>
          <w:top w:val="single" w:sz="4" w:space="0" w:color="004250"/>
          <w:left w:val="single" w:sz="4" w:space="0" w:color="004250"/>
          <w:bottom w:val="single" w:sz="4" w:space="0" w:color="004250"/>
          <w:right w:val="single" w:sz="4" w:space="0" w:color="004250"/>
          <w:insideH w:val="single" w:sz="4" w:space="0" w:color="004250"/>
          <w:insideV w:val="single" w:sz="4" w:space="0" w:color="004250"/>
        </w:tcBorders>
      </w:tcPr>
    </w:tblStylePr>
  </w:style>
  <w:style w:type="paragraph" w:customStyle="1" w:styleId="TableBullet">
    <w:name w:val="Table Bullet"/>
    <w:basedOn w:val="TableText"/>
    <w:qFormat/>
    <w:rsid w:val="009958A3"/>
    <w:pPr>
      <w:numPr>
        <w:numId w:val="5"/>
      </w:numPr>
      <w:tabs>
        <w:tab w:val="left" w:pos="216"/>
      </w:tabs>
    </w:pPr>
    <w:rPr>
      <w:bCs/>
    </w:rPr>
  </w:style>
  <w:style w:type="paragraph" w:styleId="ListParagraph">
    <w:name w:val="List Paragraph"/>
    <w:basedOn w:val="Normal"/>
    <w:uiPriority w:val="34"/>
    <w:qFormat/>
    <w:rsid w:val="00E6249B"/>
    <w:pPr>
      <w:ind w:left="720"/>
      <w:contextualSpacing/>
    </w:pPr>
  </w:style>
  <w:style w:type="paragraph" w:customStyle="1" w:styleId="TableColumnHeader">
    <w:name w:val="Table Column Header"/>
    <w:basedOn w:val="Normal"/>
    <w:qFormat/>
    <w:rsid w:val="002B08F6"/>
    <w:pPr>
      <w:keepNext/>
      <w:spacing w:before="40" w:after="40" w:line="240" w:lineRule="exact"/>
      <w:jc w:val="center"/>
    </w:pPr>
  </w:style>
  <w:style w:type="paragraph" w:customStyle="1" w:styleId="TableRowHeader">
    <w:name w:val="Table Row Header"/>
    <w:basedOn w:val="Normal"/>
    <w:qFormat/>
    <w:rsid w:val="006A4A61"/>
    <w:pPr>
      <w:spacing w:before="40" w:after="40" w:line="240" w:lineRule="exact"/>
    </w:pPr>
    <w:rPr>
      <w:b/>
      <w:color w:val="004250" w:themeColor="accent1"/>
    </w:rPr>
  </w:style>
  <w:style w:type="paragraph" w:styleId="Caption">
    <w:name w:val="caption"/>
    <w:basedOn w:val="Normal"/>
    <w:next w:val="Normal"/>
    <w:uiPriority w:val="35"/>
    <w:unhideWhenUsed/>
    <w:qFormat/>
    <w:rsid w:val="005A51D9"/>
    <w:pPr>
      <w:keepNext/>
      <w:spacing w:after="80"/>
      <w:jc w:val="center"/>
    </w:pPr>
    <w:rPr>
      <w:rFonts w:ascii="Arial" w:hAnsi="Arial"/>
      <w:b/>
      <w:color w:val="000000"/>
    </w:rPr>
  </w:style>
  <w:style w:type="character" w:customStyle="1" w:styleId="Heading7Char">
    <w:name w:val="Heading 7 Char"/>
    <w:basedOn w:val="DefaultParagraphFont"/>
    <w:link w:val="Heading7"/>
    <w:semiHidden/>
    <w:rsid w:val="00AC785F"/>
    <w:rPr>
      <w:rFonts w:ascii="Times New Roman" w:eastAsia="Times New Roman" w:hAnsi="Times New Roman" w:cs="Times New Roman"/>
      <w:i/>
      <w:iCs/>
      <w:color w:val="002027" w:themeColor="accent1" w:themeShade="7F"/>
      <w:spacing w:val="-2"/>
      <w:sz w:val="24"/>
      <w:szCs w:val="24"/>
    </w:rPr>
  </w:style>
  <w:style w:type="character" w:customStyle="1" w:styleId="Heading8Char">
    <w:name w:val="Heading 8 Char"/>
    <w:basedOn w:val="DefaultParagraphFont"/>
    <w:link w:val="Heading8"/>
    <w:semiHidden/>
    <w:rsid w:val="00AC785F"/>
    <w:rPr>
      <w:rFonts w:ascii="Times New Roman" w:eastAsia="Times New Roman" w:hAnsi="Times New Roman" w:cs="Times New Roman"/>
      <w:color w:val="272727" w:themeColor="text1" w:themeTint="D8"/>
      <w:spacing w:val="-2"/>
      <w:sz w:val="21"/>
      <w:szCs w:val="21"/>
    </w:rPr>
  </w:style>
  <w:style w:type="paragraph" w:customStyle="1" w:styleId="Header-Name">
    <w:name w:val="Header-Name"/>
    <w:basedOn w:val="Header"/>
    <w:link w:val="Header-NameChar"/>
    <w:qFormat/>
    <w:rsid w:val="00DB72C6"/>
  </w:style>
  <w:style w:type="character" w:customStyle="1" w:styleId="Header-NameChar">
    <w:name w:val="Header-Name Char"/>
    <w:basedOn w:val="HeaderChar"/>
    <w:link w:val="Header-Name"/>
    <w:rsid w:val="00DB72C6"/>
    <w:rPr>
      <w:i/>
      <w:spacing w:val="-2"/>
      <w:szCs w:val="24"/>
    </w:rPr>
  </w:style>
  <w:style w:type="character" w:styleId="Emphasis">
    <w:name w:val="Emphasis"/>
    <w:basedOn w:val="DefaultParagraphFont"/>
    <w:uiPriority w:val="20"/>
    <w:qFormat/>
    <w:rsid w:val="008F5131"/>
    <w:rPr>
      <w:i/>
      <w:iCs/>
    </w:rPr>
  </w:style>
  <w:style w:type="character" w:customStyle="1" w:styleId="Heading2Char">
    <w:name w:val="Heading 2 Char"/>
    <w:basedOn w:val="DefaultParagraphFont"/>
    <w:link w:val="Heading2"/>
    <w:uiPriority w:val="9"/>
    <w:rsid w:val="008F5131"/>
    <w:rPr>
      <w:rFonts w:ascii="Arial" w:hAnsi="Arial" w:cs="Arial"/>
      <w:b/>
      <w:bCs/>
      <w:iCs/>
      <w:color w:val="00647A" w:themeColor="accent1" w:themeTint="E6"/>
      <w:spacing w:val="-2"/>
      <w:sz w:val="26"/>
      <w:szCs w:val="24"/>
    </w:rPr>
  </w:style>
  <w:style w:type="character" w:customStyle="1" w:styleId="Heading3Char">
    <w:name w:val="Heading 3 Char"/>
    <w:basedOn w:val="DefaultParagraphFont"/>
    <w:link w:val="Heading3"/>
    <w:uiPriority w:val="9"/>
    <w:rsid w:val="008F5131"/>
    <w:rPr>
      <w:rFonts w:ascii="Arial" w:hAnsi="Arial" w:cs="Arial"/>
      <w:b/>
      <w:bCs/>
      <w:color w:val="004250" w:themeColor="accent1"/>
      <w:spacing w:val="-2"/>
      <w:sz w:val="24"/>
      <w:szCs w:val="24"/>
    </w:rPr>
  </w:style>
  <w:style w:type="character" w:customStyle="1" w:styleId="Heading1Char">
    <w:name w:val="Heading 1 Char"/>
    <w:basedOn w:val="DefaultParagraphFont"/>
    <w:link w:val="Heading1"/>
    <w:uiPriority w:val="9"/>
    <w:rsid w:val="008F5131"/>
    <w:rPr>
      <w:rFonts w:ascii="Arial" w:hAnsi="Arial" w:cs="Arial"/>
      <w:b/>
      <w:bCs/>
      <w:color w:val="004250" w:themeColor="accent1"/>
      <w:kern w:val="32"/>
      <w:sz w:val="32"/>
      <w:szCs w:val="26"/>
    </w:rPr>
  </w:style>
  <w:style w:type="character" w:customStyle="1" w:styleId="sr-only">
    <w:name w:val="sr-only"/>
    <w:basedOn w:val="DefaultParagraphFont"/>
    <w:rsid w:val="008F5131"/>
  </w:style>
  <w:style w:type="character" w:customStyle="1" w:styleId="period">
    <w:name w:val="period"/>
    <w:basedOn w:val="DefaultParagraphFont"/>
    <w:rsid w:val="008F5131"/>
  </w:style>
  <w:style w:type="character" w:customStyle="1" w:styleId="cit">
    <w:name w:val="cit"/>
    <w:basedOn w:val="DefaultParagraphFont"/>
    <w:rsid w:val="008F5131"/>
  </w:style>
  <w:style w:type="character" w:customStyle="1" w:styleId="authors-list-item">
    <w:name w:val="authors-list-item"/>
    <w:basedOn w:val="DefaultParagraphFont"/>
    <w:rsid w:val="008F5131"/>
  </w:style>
  <w:style w:type="character" w:customStyle="1" w:styleId="author-sup-separator">
    <w:name w:val="author-sup-separator"/>
    <w:basedOn w:val="DefaultParagraphFont"/>
    <w:rsid w:val="008F5131"/>
  </w:style>
  <w:style w:type="character" w:customStyle="1" w:styleId="comma">
    <w:name w:val="comma"/>
    <w:basedOn w:val="DefaultParagraphFont"/>
    <w:rsid w:val="008F5131"/>
  </w:style>
  <w:style w:type="character" w:customStyle="1" w:styleId="mixed-citation">
    <w:name w:val="mixed-citation"/>
    <w:basedOn w:val="DefaultParagraphFont"/>
    <w:rsid w:val="008F5131"/>
  </w:style>
  <w:style w:type="character" w:customStyle="1" w:styleId="Items">
    <w:name w:val="Items"/>
    <w:basedOn w:val="DefaultParagraphFont"/>
    <w:uiPriority w:val="1"/>
    <w:qFormat/>
    <w:rsid w:val="008F5131"/>
    <w:rPr>
      <w:b/>
      <w:bCs/>
      <w:sz w:val="24"/>
      <w:szCs w:val="24"/>
      <w:u w:val="single"/>
      <w:lang w:val="en"/>
    </w:rPr>
  </w:style>
  <w:style w:type="paragraph" w:customStyle="1" w:styleId="item">
    <w:name w:val="item"/>
    <w:basedOn w:val="ListParagraph"/>
    <w:qFormat/>
    <w:rsid w:val="008F5131"/>
    <w:pPr>
      <w:numPr>
        <w:numId w:val="23"/>
      </w:numPr>
      <w:tabs>
        <w:tab w:val="left" w:pos="5580"/>
      </w:tabs>
      <w:contextualSpacing w:val="0"/>
    </w:pPr>
    <w:rPr>
      <w:rFonts w:ascii="Times New Roman" w:hAnsi="Times New Roman" w:cs="Times New Roman"/>
      <w:lang w:val="en"/>
    </w:rPr>
  </w:style>
  <w:style w:type="character" w:styleId="FollowedHyperlink">
    <w:name w:val="FollowedHyperlink"/>
    <w:basedOn w:val="DefaultParagraphFont"/>
    <w:semiHidden/>
    <w:unhideWhenUsed/>
    <w:rsid w:val="003D443F"/>
    <w:rPr>
      <w:color w:val="800080" w:themeColor="followedHyperlink"/>
      <w:u w:val="single"/>
    </w:rPr>
  </w:style>
  <w:style w:type="character" w:customStyle="1" w:styleId="UnresolvedMention1">
    <w:name w:val="Unresolved Mention1"/>
    <w:basedOn w:val="DefaultParagraphFont"/>
    <w:uiPriority w:val="99"/>
    <w:semiHidden/>
    <w:unhideWhenUsed/>
    <w:rsid w:val="004916F3"/>
    <w:rPr>
      <w:color w:val="605E5C"/>
      <w:shd w:val="clear" w:color="auto" w:fill="E1DFDD"/>
    </w:rPr>
  </w:style>
  <w:style w:type="character" w:customStyle="1" w:styleId="NoSpacingChar">
    <w:name w:val="No Spacing Char"/>
    <w:basedOn w:val="DefaultParagraphFont"/>
    <w:link w:val="NoSpacing"/>
    <w:uiPriority w:val="1"/>
    <w:rsid w:val="007B11B8"/>
    <w:rPr>
      <w:spacing w:val="-2"/>
      <w:sz w:val="24"/>
      <w:szCs w:val="24"/>
    </w:rPr>
  </w:style>
  <w:style w:type="character" w:styleId="UnresolvedMention">
    <w:name w:val="Unresolved Mention"/>
    <w:basedOn w:val="DefaultParagraphFont"/>
    <w:uiPriority w:val="99"/>
    <w:semiHidden/>
    <w:unhideWhenUsed/>
    <w:rsid w:val="00733D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4355028">
      <w:bodyDiv w:val="1"/>
      <w:marLeft w:val="0"/>
      <w:marRight w:val="0"/>
      <w:marTop w:val="0"/>
      <w:marBottom w:val="0"/>
      <w:divBdr>
        <w:top w:val="none" w:sz="0" w:space="0" w:color="auto"/>
        <w:left w:val="none" w:sz="0" w:space="0" w:color="auto"/>
        <w:bottom w:val="none" w:sz="0" w:space="0" w:color="auto"/>
        <w:right w:val="none" w:sz="0" w:space="0" w:color="auto"/>
      </w:divBdr>
    </w:div>
    <w:div w:id="191635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cl.gov/programs/assistive-technology/assistive-technology" TargetMode="External"/><Relationship Id="rId13" Type="http://schemas.openxmlformats.org/officeDocument/2006/relationships/image" Target="media/image1.png"/><Relationship Id="rId18" Type="http://schemas.openxmlformats.org/officeDocument/2006/relationships/hyperlink" Target="https://acl.gov/CommitToConnect" TargetMode="External"/><Relationship Id="rId26" Type="http://schemas.openxmlformats.org/officeDocument/2006/relationships/hyperlink" Target="https://www.ncbi.nlm.nih.gov/pmc/articles/PMC7255345/" TargetMode="External"/><Relationship Id="rId3" Type="http://schemas.openxmlformats.org/officeDocument/2006/relationships/styles" Target="styles.xml"/><Relationship Id="rId21" Type="http://schemas.openxmlformats.org/officeDocument/2006/relationships/hyperlink" Target="https://doi.org/10.1080/10400435.2021.1930282"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2.illinois.gov/aging/programs/Pages/Illinois-Care-Connections.aspx" TargetMode="External"/><Relationship Id="rId17" Type="http://schemas.openxmlformats.org/officeDocument/2006/relationships/hyperlink" Target="https://iltech.org/services/icc-aging/" TargetMode="External"/><Relationship Id="rId25" Type="http://schemas.openxmlformats.org/officeDocument/2006/relationships/hyperlink" Target="https://www2.illinois.gov/aging/programs/Pages/Illinois-Care-Connections.aspx" TargetMode="External"/><Relationship Id="rId33" Type="http://schemas.openxmlformats.org/officeDocument/2006/relationships/hyperlink" Target="https://doi.org/10.1186/s13643-021-01775-6"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ltech.org/services/icc-aging/" TargetMode="External"/><Relationship Id="rId20" Type="http://schemas.openxmlformats.org/officeDocument/2006/relationships/image" Target="media/image4.emf"/><Relationship Id="rId29" Type="http://schemas.openxmlformats.org/officeDocument/2006/relationships/hyperlink" Target="https://doi.org/10.2105/AJPH.2013.3012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l.gov/about-acl/authorizing-statutes/older-americans-act" TargetMode="External"/><Relationship Id="rId24" Type="http://schemas.openxmlformats.org/officeDocument/2006/relationships/hyperlink" Target="https://www.ncbi.nlm.nih.gov/pmc/articles/PMC2394670/" TargetMode="External"/><Relationship Id="rId32" Type="http://schemas.openxmlformats.org/officeDocument/2006/relationships/hyperlink" Target="https://www.engagingolderadult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pubmed.ncbi.nlm.nih.gov/20652462/" TargetMode="External"/><Relationship Id="rId28" Type="http://schemas.openxmlformats.org/officeDocument/2006/relationships/hyperlink" Target="https://www.nap.edu/catalog/25663/social-isolation-and-loneliness-in-older-adults-opportunities-for-the" TargetMode="External"/><Relationship Id="rId36" Type="http://schemas.openxmlformats.org/officeDocument/2006/relationships/footer" Target="footer2.xml"/><Relationship Id="rId10" Type="http://schemas.openxmlformats.org/officeDocument/2006/relationships/hyperlink" Target="https://acl.gov/programs/connecting-people-services/aging-and-disability-resource-centers-programno-wrong-door" TargetMode="External"/><Relationship Id="rId19" Type="http://schemas.openxmlformats.org/officeDocument/2006/relationships/hyperlink" Target="https://acl.gov/about-acl/about-national-institute-disability-independent-living-and-rehabilitation-research" TargetMode="External"/><Relationship Id="rId31" Type="http://schemas.openxmlformats.org/officeDocument/2006/relationships/hyperlink" Target="https://www.cdc.gov/mmwr/volumes/69/wr/mm6912e2.htm?s_cid=mm6912e2_w" TargetMode="External"/><Relationship Id="rId4" Type="http://schemas.openxmlformats.org/officeDocument/2006/relationships/settings" Target="settings.xml"/><Relationship Id="rId9" Type="http://schemas.openxmlformats.org/officeDocument/2006/relationships/hyperlink" Target="https://acl.gov/programs/aging-and-disability-networks/aging-and-disability-resource-centers" TargetMode="External"/><Relationship Id="rId14" Type="http://schemas.openxmlformats.org/officeDocument/2006/relationships/image" Target="media/image2.png"/><Relationship Id="rId22" Type="http://schemas.openxmlformats.org/officeDocument/2006/relationships/hyperlink" Target="https://doi.org/10.1177/01626434211004133" TargetMode="External"/><Relationship Id="rId27" Type="http://schemas.openxmlformats.org/officeDocument/2006/relationships/hyperlink" Target="https://doi.org/10.1097/HTR.0000000000000572" TargetMode="External"/><Relationship Id="rId30" Type="http://schemas.openxmlformats.org/officeDocument/2006/relationships/hyperlink" Target="https://chrt.org/wp-content/uploads/2021/07/SocialIsolationLoneliness_Accessibility.pdf"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ACL">
      <a:dk1>
        <a:sysClr val="windowText" lastClr="000000"/>
      </a:dk1>
      <a:lt1>
        <a:srgbClr val="FFFFFF"/>
      </a:lt1>
      <a:dk2>
        <a:srgbClr val="595959"/>
      </a:dk2>
      <a:lt2>
        <a:srgbClr val="F0E8D4"/>
      </a:lt2>
      <a:accent1>
        <a:srgbClr val="004250"/>
      </a:accent1>
      <a:accent2>
        <a:srgbClr val="4A8A9F"/>
      </a:accent2>
      <a:accent3>
        <a:srgbClr val="DDD3AF"/>
      </a:accent3>
      <a:accent4>
        <a:srgbClr val="4D4F53"/>
      </a:accent4>
      <a:accent5>
        <a:srgbClr val="ADAFAF"/>
      </a:accent5>
      <a:accent6>
        <a:srgbClr val="E0003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693C9-5D99-492C-ADD4-ECA05765F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5315</Words>
  <Characters>30302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Leveraging Innovation, Collaboration, and Data with Assistive Technology to Reduce Social Isolation and Loneliness: Success Story from Illinois</vt:lpstr>
    </vt:vector>
  </TitlesOfParts>
  <Company>The Lewin Group</Company>
  <LinksUpToDate>false</LinksUpToDate>
  <CharactersWithSpaces>35546</CharactersWithSpaces>
  <SharedDoc>false</SharedDoc>
  <HLinks>
    <vt:vector size="12" baseType="variant">
      <vt:variant>
        <vt:i4>5242909</vt:i4>
      </vt:variant>
      <vt:variant>
        <vt:i4>6</vt:i4>
      </vt:variant>
      <vt:variant>
        <vt:i4>0</vt:i4>
      </vt:variant>
      <vt:variant>
        <vt:i4>5</vt:i4>
      </vt:variant>
      <vt:variant>
        <vt:lpwstr>http://www.lewin.com/</vt:lpwstr>
      </vt:variant>
      <vt:variant>
        <vt:lpwstr/>
      </vt:variant>
      <vt:variant>
        <vt:i4>5242909</vt:i4>
      </vt:variant>
      <vt:variant>
        <vt:i4>0</vt:i4>
      </vt:variant>
      <vt:variant>
        <vt:i4>0</vt:i4>
      </vt:variant>
      <vt:variant>
        <vt:i4>5</vt:i4>
      </vt:variant>
      <vt:variant>
        <vt:lpwstr>http://www.lewin.com/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Leveraging Innovation, Collaboration, and Data with Assistive Technology to Reduce Social Isolation and Loneliness: Success Story from Illinois</dc:title>
  <dc:subject>Assistive technology and social isolation</dc:subject>
  <dc:creator>Schutz, William;Groenedaal, Robert;House, Laura</dc:creator>
  <cp:keywords>assistive technology; social isolation; aging; disabilities; loneliness; COVID-19; Illinois Care Connections; CARES Act; ACL</cp:keywords>
  <dc:description/>
  <cp:lastModifiedBy>Lan</cp:lastModifiedBy>
  <cp:revision>2</cp:revision>
  <cp:lastPrinted>2016-02-17T19:32:00Z</cp:lastPrinted>
  <dcterms:created xsi:type="dcterms:W3CDTF">2022-05-11T17:24:00Z</dcterms:created>
  <dcterms:modified xsi:type="dcterms:W3CDTF">2022-05-11T17:24:00Z</dcterms:modified>
</cp:coreProperties>
</file>