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930D" w14:textId="77777777" w:rsidR="00FF0AC9" w:rsidRDefault="00FF0AC9" w:rsidP="00C30024">
      <w:pPr>
        <w:spacing w:after="0" w:line="240" w:lineRule="auto"/>
        <w:jc w:val="center"/>
        <w:rPr>
          <w:b/>
          <w:sz w:val="28"/>
          <w:szCs w:val="36"/>
        </w:rPr>
      </w:pPr>
    </w:p>
    <w:p w14:paraId="41B68689" w14:textId="0FEED133" w:rsidR="005E355E" w:rsidRPr="008F587D" w:rsidRDefault="005E355E" w:rsidP="00C30024">
      <w:pPr>
        <w:spacing w:after="0" w:line="240" w:lineRule="auto"/>
        <w:jc w:val="center"/>
        <w:rPr>
          <w:b/>
          <w:sz w:val="28"/>
          <w:szCs w:val="36"/>
        </w:rPr>
      </w:pPr>
      <w:r w:rsidRPr="008F587D">
        <w:rPr>
          <w:b/>
          <w:sz w:val="28"/>
          <w:szCs w:val="36"/>
        </w:rPr>
        <w:t xml:space="preserve">Wheelchair-Accessible Medical </w:t>
      </w:r>
      <w:r w:rsidR="007317DA" w:rsidRPr="008F587D">
        <w:rPr>
          <w:b/>
          <w:sz w:val="28"/>
          <w:szCs w:val="36"/>
        </w:rPr>
        <w:t>Diagnostic</w:t>
      </w:r>
      <w:r w:rsidRPr="008F587D">
        <w:rPr>
          <w:b/>
          <w:sz w:val="28"/>
          <w:szCs w:val="36"/>
        </w:rPr>
        <w:t xml:space="preserve"> Equipment: Cutting Edge</w:t>
      </w:r>
      <w:r w:rsidR="00C30024" w:rsidRPr="008F587D">
        <w:rPr>
          <w:b/>
          <w:sz w:val="28"/>
          <w:szCs w:val="36"/>
        </w:rPr>
        <w:t xml:space="preserve"> Technology, Cost-</w:t>
      </w:r>
      <w:r w:rsidRPr="008F587D">
        <w:rPr>
          <w:b/>
          <w:sz w:val="28"/>
          <w:szCs w:val="36"/>
        </w:rPr>
        <w:t>Effective</w:t>
      </w:r>
      <w:r w:rsidR="00C30024" w:rsidRPr="008F587D">
        <w:rPr>
          <w:b/>
          <w:sz w:val="28"/>
          <w:szCs w:val="36"/>
        </w:rPr>
        <w:t xml:space="preserve"> </w:t>
      </w:r>
      <w:r w:rsidRPr="008F587D">
        <w:rPr>
          <w:b/>
          <w:sz w:val="28"/>
          <w:szCs w:val="36"/>
        </w:rPr>
        <w:t xml:space="preserve">for </w:t>
      </w:r>
      <w:r w:rsidR="00D815AB">
        <w:rPr>
          <w:b/>
          <w:sz w:val="28"/>
          <w:szCs w:val="36"/>
        </w:rPr>
        <w:t>Health Care Providers</w:t>
      </w:r>
      <w:r w:rsidRPr="008F587D">
        <w:rPr>
          <w:b/>
          <w:sz w:val="28"/>
          <w:szCs w:val="36"/>
        </w:rPr>
        <w:t xml:space="preserve">, </w:t>
      </w:r>
      <w:r w:rsidR="00885ABF" w:rsidRPr="008F587D">
        <w:rPr>
          <w:b/>
          <w:sz w:val="28"/>
          <w:szCs w:val="36"/>
        </w:rPr>
        <w:t xml:space="preserve">and </w:t>
      </w:r>
      <w:r w:rsidRPr="008F587D">
        <w:rPr>
          <w:b/>
          <w:sz w:val="28"/>
          <w:szCs w:val="36"/>
        </w:rPr>
        <w:t>Consumer-Friendly</w:t>
      </w:r>
      <w:r w:rsidR="00C30024" w:rsidRPr="008F587D">
        <w:rPr>
          <w:b/>
          <w:sz w:val="28"/>
          <w:szCs w:val="36"/>
        </w:rPr>
        <w:t xml:space="preserve"> </w:t>
      </w:r>
    </w:p>
    <w:p w14:paraId="125406EC" w14:textId="77777777" w:rsidR="00C30024" w:rsidRPr="008F587D" w:rsidRDefault="00C30024" w:rsidP="001A7F96">
      <w:pPr>
        <w:spacing w:after="0" w:line="240" w:lineRule="auto"/>
        <w:jc w:val="center"/>
        <w:rPr>
          <w:sz w:val="20"/>
          <w:szCs w:val="20"/>
        </w:rPr>
      </w:pPr>
    </w:p>
    <w:p w14:paraId="745A29C8" w14:textId="73C3C280" w:rsidR="00722ABD" w:rsidRPr="008F587D" w:rsidRDefault="00C30024" w:rsidP="00B00FED">
      <w:pPr>
        <w:spacing w:after="0" w:line="240" w:lineRule="auto"/>
        <w:rPr>
          <w:rFonts w:cstheme="minorHAnsi"/>
          <w:sz w:val="24"/>
        </w:rPr>
      </w:pPr>
      <w:r w:rsidRPr="008F587D">
        <w:rPr>
          <w:rFonts w:cstheme="minorHAnsi"/>
          <w:sz w:val="24"/>
        </w:rPr>
        <w:t>In January 2017, the U</w:t>
      </w:r>
      <w:r w:rsidR="00D815AB">
        <w:rPr>
          <w:rFonts w:cstheme="minorHAnsi"/>
          <w:sz w:val="24"/>
        </w:rPr>
        <w:t>.</w:t>
      </w:r>
      <w:r w:rsidRPr="008F587D">
        <w:rPr>
          <w:rFonts w:cstheme="minorHAnsi"/>
          <w:sz w:val="24"/>
        </w:rPr>
        <w:t>S</w:t>
      </w:r>
      <w:r w:rsidR="00D815AB">
        <w:rPr>
          <w:rFonts w:cstheme="minorHAnsi"/>
          <w:sz w:val="24"/>
        </w:rPr>
        <w:t>.</w:t>
      </w:r>
      <w:r w:rsidRPr="008F587D">
        <w:rPr>
          <w:rFonts w:cstheme="minorHAnsi"/>
          <w:sz w:val="24"/>
        </w:rPr>
        <w:t xml:space="preserve"> Access Board </w:t>
      </w:r>
      <w:r w:rsidR="00CE4DC9" w:rsidRPr="008F587D">
        <w:rPr>
          <w:rFonts w:cstheme="minorHAnsi"/>
          <w:sz w:val="24"/>
        </w:rPr>
        <w:t xml:space="preserve">finalized </w:t>
      </w:r>
      <w:hyperlink r:id="rId8" w:history="1">
        <w:r w:rsidRPr="000C54CA">
          <w:rPr>
            <w:rStyle w:val="Hyperlink"/>
            <w:rFonts w:cstheme="minorHAnsi"/>
            <w:color w:val="1F497D" w:themeColor="text2"/>
            <w:sz w:val="24"/>
          </w:rPr>
          <w:t>voluntary standards for Accessible Medical Diagnostic Equipment</w:t>
        </w:r>
      </w:hyperlink>
      <w:r w:rsidR="00D159F8" w:rsidRPr="008F587D">
        <w:rPr>
          <w:rFonts w:cstheme="minorHAnsi"/>
          <w:sz w:val="24"/>
        </w:rPr>
        <w:t>.</w:t>
      </w:r>
      <w:r w:rsidR="00CE4DC9" w:rsidRPr="008F587D">
        <w:rPr>
          <w:rFonts w:cstheme="minorHAnsi"/>
          <w:sz w:val="24"/>
        </w:rPr>
        <w:t xml:space="preserve"> </w:t>
      </w:r>
      <w:r w:rsidR="00D159F8" w:rsidRPr="008F587D">
        <w:rPr>
          <w:rFonts w:cstheme="minorHAnsi"/>
          <w:sz w:val="24"/>
        </w:rPr>
        <w:t xml:space="preserve">These standards </w:t>
      </w:r>
      <w:r w:rsidRPr="008F587D">
        <w:rPr>
          <w:rFonts w:cstheme="minorHAnsi"/>
          <w:sz w:val="24"/>
        </w:rPr>
        <w:t>promise considerable benefits for providers and patients alike</w:t>
      </w:r>
      <w:r w:rsidR="00D159F8" w:rsidRPr="008F587D">
        <w:rPr>
          <w:rFonts w:cstheme="minorHAnsi"/>
          <w:sz w:val="24"/>
        </w:rPr>
        <w:t>,</w:t>
      </w:r>
      <w:r w:rsidR="00E839CC">
        <w:rPr>
          <w:rStyle w:val="EndnoteReference"/>
          <w:rFonts w:cstheme="minorHAnsi"/>
          <w:sz w:val="24"/>
        </w:rPr>
        <w:endnoteReference w:id="1"/>
      </w:r>
      <w:r w:rsidR="00722ABD" w:rsidRPr="008F587D">
        <w:rPr>
          <w:rFonts w:cstheme="minorHAnsi"/>
          <w:sz w:val="24"/>
        </w:rPr>
        <w:t xml:space="preserve"> including:  </w:t>
      </w:r>
    </w:p>
    <w:p w14:paraId="283307A7" w14:textId="77FE6483" w:rsidR="00722ABD" w:rsidRPr="008F587D" w:rsidRDefault="005E6A3E" w:rsidP="00D50448">
      <w:pPr>
        <w:pStyle w:val="ListParagraph"/>
        <w:numPr>
          <w:ilvl w:val="0"/>
          <w:numId w:val="1"/>
        </w:numPr>
        <w:spacing w:after="0" w:line="240" w:lineRule="auto"/>
        <w:rPr>
          <w:rFonts w:cstheme="minorHAnsi"/>
          <w:sz w:val="24"/>
        </w:rPr>
      </w:pPr>
      <w:r>
        <w:rPr>
          <w:rFonts w:cstheme="minorHAnsi"/>
          <w:sz w:val="24"/>
        </w:rPr>
        <w:t>Reducing</w:t>
      </w:r>
      <w:r w:rsidRPr="008F587D">
        <w:rPr>
          <w:rFonts w:cstheme="minorHAnsi"/>
          <w:sz w:val="24"/>
        </w:rPr>
        <w:t xml:space="preserve"> </w:t>
      </w:r>
      <w:r w:rsidR="00722ABD" w:rsidRPr="008F587D">
        <w:rPr>
          <w:rFonts w:cstheme="minorHAnsi"/>
          <w:sz w:val="24"/>
        </w:rPr>
        <w:t>disparities in access to preventive health care for</w:t>
      </w:r>
      <w:r w:rsidR="00DA131B">
        <w:rPr>
          <w:rFonts w:cstheme="minorHAnsi"/>
          <w:sz w:val="24"/>
        </w:rPr>
        <w:t xml:space="preserve"> people with disabilities and</w:t>
      </w:r>
      <w:r w:rsidR="00722ABD" w:rsidRPr="008F587D">
        <w:rPr>
          <w:rFonts w:cstheme="minorHAnsi"/>
          <w:sz w:val="24"/>
        </w:rPr>
        <w:t xml:space="preserve"> older adults</w:t>
      </w:r>
      <w:r w:rsidR="00DA131B">
        <w:rPr>
          <w:rFonts w:cstheme="minorHAnsi"/>
          <w:sz w:val="24"/>
        </w:rPr>
        <w:t xml:space="preserve">  who have limited mobility</w:t>
      </w:r>
      <w:r>
        <w:rPr>
          <w:rFonts w:cstheme="minorHAnsi"/>
          <w:sz w:val="24"/>
        </w:rPr>
        <w:t xml:space="preserve"> compared to people </w:t>
      </w:r>
      <w:r w:rsidR="0025048A">
        <w:rPr>
          <w:rFonts w:cstheme="minorHAnsi"/>
          <w:sz w:val="24"/>
        </w:rPr>
        <w:t xml:space="preserve">without </w:t>
      </w:r>
      <w:r>
        <w:rPr>
          <w:rFonts w:cstheme="minorHAnsi"/>
          <w:sz w:val="24"/>
        </w:rPr>
        <w:t>disabilities</w:t>
      </w:r>
      <w:r w:rsidR="00722ABD" w:rsidRPr="008F587D">
        <w:rPr>
          <w:rFonts w:cstheme="minorHAnsi"/>
          <w:sz w:val="24"/>
        </w:rPr>
        <w:t>;</w:t>
      </w:r>
    </w:p>
    <w:p w14:paraId="6D37F5A6" w14:textId="2ECFFE2D" w:rsidR="00722ABD" w:rsidRDefault="00722ABD" w:rsidP="00D50448">
      <w:pPr>
        <w:pStyle w:val="ListParagraph"/>
        <w:numPr>
          <w:ilvl w:val="0"/>
          <w:numId w:val="1"/>
        </w:numPr>
        <w:spacing w:after="0" w:line="240" w:lineRule="auto"/>
        <w:rPr>
          <w:rFonts w:cstheme="minorHAnsi"/>
          <w:sz w:val="24"/>
        </w:rPr>
      </w:pPr>
      <w:r w:rsidRPr="008F587D">
        <w:rPr>
          <w:rFonts w:cstheme="minorHAnsi"/>
          <w:sz w:val="24"/>
        </w:rPr>
        <w:t>Providing opportunities to dramatically reduce workplace injuries, liability, and attrition by curtailing the need for nurses and</w:t>
      </w:r>
      <w:r w:rsidR="00DA131B">
        <w:rPr>
          <w:rFonts w:cstheme="minorHAnsi"/>
          <w:sz w:val="24"/>
        </w:rPr>
        <w:t xml:space="preserve"> nursing assistant</w:t>
      </w:r>
      <w:r w:rsidRPr="008F587D">
        <w:rPr>
          <w:rFonts w:cstheme="minorHAnsi"/>
          <w:sz w:val="24"/>
        </w:rPr>
        <w:t>s to physically transfer patients to and from inaccessible examination equipment with a cost-effective alternative</w:t>
      </w:r>
      <w:r w:rsidR="0025048A">
        <w:rPr>
          <w:rFonts w:cstheme="minorHAnsi"/>
          <w:sz w:val="24"/>
        </w:rPr>
        <w:t>;</w:t>
      </w:r>
      <w:r w:rsidR="00E839CC">
        <w:rPr>
          <w:rStyle w:val="EndnoteReference"/>
          <w:rFonts w:cstheme="minorHAnsi"/>
          <w:sz w:val="24"/>
        </w:rPr>
        <w:endnoteReference w:id="2"/>
      </w:r>
    </w:p>
    <w:p w14:paraId="37DB9AE0" w14:textId="033D7BE5" w:rsidR="0063798F" w:rsidRPr="00FB42D7" w:rsidRDefault="00F97FD3" w:rsidP="00D50448">
      <w:pPr>
        <w:pStyle w:val="ListParagraph"/>
        <w:numPr>
          <w:ilvl w:val="0"/>
          <w:numId w:val="1"/>
        </w:numPr>
        <w:spacing w:after="0" w:line="240" w:lineRule="auto"/>
        <w:rPr>
          <w:rFonts w:cstheme="minorHAnsi"/>
          <w:sz w:val="24"/>
        </w:rPr>
      </w:pPr>
      <w:r>
        <w:rPr>
          <w:rFonts w:cstheme="minorHAnsi"/>
          <w:sz w:val="24"/>
        </w:rPr>
        <w:t>Addressing the needs of the 13% and growing share of the US population with mobility disabilities</w:t>
      </w:r>
      <w:r w:rsidR="0025048A">
        <w:rPr>
          <w:rFonts w:cstheme="minorHAnsi"/>
          <w:sz w:val="24"/>
        </w:rPr>
        <w:t>.</w:t>
      </w:r>
      <w:r>
        <w:rPr>
          <w:rFonts w:cstheme="minorHAnsi"/>
          <w:sz w:val="24"/>
        </w:rPr>
        <w:t xml:space="preserve"> </w:t>
      </w:r>
      <w:r w:rsidR="00E839CC">
        <w:rPr>
          <w:rStyle w:val="EndnoteReference"/>
          <w:rFonts w:cstheme="minorHAnsi"/>
          <w:sz w:val="24"/>
        </w:rPr>
        <w:endnoteReference w:id="3"/>
      </w:r>
    </w:p>
    <w:p w14:paraId="2B7363F8" w14:textId="7ED16155" w:rsidR="00722ABD" w:rsidRDefault="00722ABD" w:rsidP="00B00FED">
      <w:pPr>
        <w:spacing w:after="0" w:line="240" w:lineRule="auto"/>
        <w:rPr>
          <w:rFonts w:cstheme="minorHAnsi"/>
          <w:b/>
          <w:sz w:val="24"/>
        </w:rPr>
      </w:pPr>
    </w:p>
    <w:p w14:paraId="5D5C9812" w14:textId="5098C216" w:rsidR="0063798F" w:rsidRPr="008F587D" w:rsidRDefault="007B48CA" w:rsidP="0063798F">
      <w:pPr>
        <w:spacing w:after="0" w:line="240" w:lineRule="auto"/>
        <w:rPr>
          <w:rFonts w:cstheme="minorHAnsi"/>
          <w:b/>
          <w:sz w:val="24"/>
        </w:rPr>
      </w:pPr>
      <w:r>
        <w:rPr>
          <w:rFonts w:cstheme="minorHAnsi"/>
          <w:b/>
          <w:sz w:val="24"/>
        </w:rPr>
        <w:t xml:space="preserve">Many Health Care Settings </w:t>
      </w:r>
      <w:r w:rsidR="005636D0">
        <w:rPr>
          <w:rFonts w:cstheme="minorHAnsi"/>
          <w:b/>
          <w:sz w:val="24"/>
        </w:rPr>
        <w:t>Lack</w:t>
      </w:r>
      <w:r w:rsidR="0063798F" w:rsidRPr="008F587D">
        <w:rPr>
          <w:rFonts w:cstheme="minorHAnsi"/>
          <w:b/>
          <w:sz w:val="24"/>
        </w:rPr>
        <w:t xml:space="preserve"> Accessible Medical </w:t>
      </w:r>
      <w:r>
        <w:rPr>
          <w:rFonts w:cstheme="minorHAnsi"/>
          <w:b/>
          <w:sz w:val="24"/>
        </w:rPr>
        <w:t xml:space="preserve">Diagnostic </w:t>
      </w:r>
      <w:r w:rsidR="0063798F" w:rsidRPr="008F587D">
        <w:rPr>
          <w:rFonts w:cstheme="minorHAnsi"/>
          <w:b/>
          <w:sz w:val="24"/>
        </w:rPr>
        <w:t xml:space="preserve">Equipment: </w:t>
      </w:r>
    </w:p>
    <w:p w14:paraId="1EFC740A" w14:textId="77777777" w:rsidR="002E0A07" w:rsidRDefault="00725FB3" w:rsidP="00D50448">
      <w:pPr>
        <w:pStyle w:val="ListParagraph"/>
        <w:numPr>
          <w:ilvl w:val="0"/>
          <w:numId w:val="3"/>
        </w:numPr>
        <w:spacing w:after="0" w:line="240" w:lineRule="auto"/>
        <w:rPr>
          <w:rFonts w:cstheme="minorHAnsi"/>
          <w:sz w:val="24"/>
        </w:rPr>
      </w:pPr>
      <w:r w:rsidRPr="00F64056">
        <w:rPr>
          <w:rFonts w:cstheme="minorHAnsi"/>
          <w:b/>
          <w:i/>
          <w:sz w:val="24"/>
        </w:rPr>
        <w:t>What is Accessible Medical</w:t>
      </w:r>
      <w:r w:rsidR="00F64056" w:rsidRPr="00F64056">
        <w:rPr>
          <w:rFonts w:cstheme="minorHAnsi"/>
          <w:b/>
          <w:i/>
          <w:sz w:val="24"/>
        </w:rPr>
        <w:t xml:space="preserve"> Diagnostic</w:t>
      </w:r>
      <w:r w:rsidRPr="00F64056">
        <w:rPr>
          <w:rFonts w:cstheme="minorHAnsi"/>
          <w:b/>
          <w:i/>
          <w:sz w:val="24"/>
        </w:rPr>
        <w:t xml:space="preserve"> Equipment?</w:t>
      </w:r>
      <w:r>
        <w:rPr>
          <w:rFonts w:cstheme="minorHAnsi"/>
          <w:sz w:val="24"/>
        </w:rPr>
        <w:t xml:space="preserve"> </w:t>
      </w:r>
      <w:r w:rsidR="00F64056">
        <w:rPr>
          <w:rFonts w:cstheme="minorHAnsi"/>
          <w:sz w:val="24"/>
        </w:rPr>
        <w:t xml:space="preserve"> </w:t>
      </w:r>
      <w:r>
        <w:rPr>
          <w:rFonts w:cstheme="minorHAnsi"/>
          <w:sz w:val="24"/>
        </w:rPr>
        <w:t>Medical</w:t>
      </w:r>
      <w:r w:rsidR="00F64056">
        <w:rPr>
          <w:rFonts w:cstheme="minorHAnsi"/>
          <w:sz w:val="24"/>
        </w:rPr>
        <w:t xml:space="preserve"> Diagnostic Equipment</w:t>
      </w:r>
      <w:r>
        <w:rPr>
          <w:rFonts w:cstheme="minorHAnsi"/>
          <w:sz w:val="24"/>
        </w:rPr>
        <w:t xml:space="preserve"> </w:t>
      </w:r>
      <w:r w:rsidR="00F64056">
        <w:rPr>
          <w:rFonts w:cstheme="minorHAnsi"/>
          <w:sz w:val="24"/>
        </w:rPr>
        <w:t>includes tables, c</w:t>
      </w:r>
      <w:r>
        <w:rPr>
          <w:rFonts w:cstheme="minorHAnsi"/>
          <w:sz w:val="24"/>
        </w:rPr>
        <w:t>hai</w:t>
      </w:r>
      <w:r w:rsidR="00F64056">
        <w:rPr>
          <w:rFonts w:cstheme="minorHAnsi"/>
          <w:sz w:val="24"/>
        </w:rPr>
        <w:t>rs and diagnostic imaging equipment used for medical diagnosis and treatment purposes, as well as weight scales.</w:t>
      </w:r>
    </w:p>
    <w:p w14:paraId="7C3829B0" w14:textId="1022B813" w:rsidR="00725FB3" w:rsidRDefault="00F64056" w:rsidP="00912A94">
      <w:pPr>
        <w:pStyle w:val="ListParagraph"/>
        <w:numPr>
          <w:ilvl w:val="1"/>
          <w:numId w:val="3"/>
        </w:numPr>
        <w:spacing w:after="0" w:line="240" w:lineRule="auto"/>
        <w:rPr>
          <w:rFonts w:cstheme="minorHAnsi"/>
          <w:sz w:val="24"/>
        </w:rPr>
      </w:pPr>
      <w:r>
        <w:rPr>
          <w:rFonts w:cstheme="minorHAnsi"/>
          <w:sz w:val="24"/>
        </w:rPr>
        <w:t xml:space="preserve"> Accessible Medical Diagnostic Equipment means Medical Diagnostic E</w:t>
      </w:r>
      <w:r w:rsidR="00D720B1">
        <w:rPr>
          <w:rFonts w:cstheme="minorHAnsi"/>
          <w:sz w:val="24"/>
        </w:rPr>
        <w:t>quipment designed pursuant to the US Access Board’s voluntary standards to accommodate the needs of</w:t>
      </w:r>
      <w:r>
        <w:rPr>
          <w:rFonts w:cstheme="minorHAnsi"/>
          <w:sz w:val="24"/>
        </w:rPr>
        <w:t xml:space="preserve"> people with disabilities and</w:t>
      </w:r>
      <w:r w:rsidR="00D720B1">
        <w:rPr>
          <w:rFonts w:cstheme="minorHAnsi"/>
          <w:sz w:val="24"/>
        </w:rPr>
        <w:t xml:space="preserve"> older adults with mobility limitations.</w:t>
      </w:r>
      <w:r w:rsidR="00E02941">
        <w:rPr>
          <w:rStyle w:val="EndnoteReference"/>
          <w:rFonts w:cstheme="minorHAnsi"/>
          <w:sz w:val="24"/>
        </w:rPr>
        <w:endnoteReference w:id="4"/>
      </w:r>
      <w:r w:rsidR="00D720B1">
        <w:rPr>
          <w:rFonts w:cstheme="minorHAnsi"/>
          <w:sz w:val="24"/>
        </w:rPr>
        <w:t xml:space="preserve"> </w:t>
      </w:r>
      <w:r w:rsidR="00E02941">
        <w:rPr>
          <w:rFonts w:cstheme="minorHAnsi"/>
          <w:sz w:val="24"/>
        </w:rPr>
        <w:t>Note that b</w:t>
      </w:r>
      <w:r>
        <w:rPr>
          <w:rFonts w:cstheme="minorHAnsi"/>
          <w:sz w:val="24"/>
        </w:rPr>
        <w:t>arrier-free access to the medical offices</w:t>
      </w:r>
      <w:r w:rsidR="00E02941">
        <w:rPr>
          <w:rFonts w:cstheme="minorHAnsi"/>
          <w:sz w:val="24"/>
        </w:rPr>
        <w:t xml:space="preserve">/ facilities </w:t>
      </w:r>
      <w:r w:rsidR="00D720B1">
        <w:rPr>
          <w:rFonts w:cstheme="minorHAnsi"/>
          <w:sz w:val="24"/>
        </w:rPr>
        <w:t xml:space="preserve">in which this equipment is utilized </w:t>
      </w:r>
      <w:r w:rsidR="00E02941">
        <w:rPr>
          <w:rFonts w:cstheme="minorHAnsi"/>
          <w:sz w:val="24"/>
        </w:rPr>
        <w:t>is necessary for Medical Diagnostic Equipment to be truly accessible</w:t>
      </w:r>
      <w:r>
        <w:rPr>
          <w:rFonts w:cstheme="minorHAnsi"/>
          <w:sz w:val="24"/>
        </w:rPr>
        <w:t xml:space="preserve">. </w:t>
      </w:r>
    </w:p>
    <w:p w14:paraId="4442C79A" w14:textId="284BBA55" w:rsidR="0063798F" w:rsidRPr="008F587D" w:rsidRDefault="0063798F" w:rsidP="00D50448">
      <w:pPr>
        <w:pStyle w:val="ListParagraph"/>
        <w:numPr>
          <w:ilvl w:val="0"/>
          <w:numId w:val="3"/>
        </w:numPr>
        <w:spacing w:after="0" w:line="240" w:lineRule="auto"/>
        <w:rPr>
          <w:rFonts w:cstheme="minorHAnsi"/>
          <w:sz w:val="24"/>
        </w:rPr>
      </w:pPr>
      <w:r w:rsidRPr="008F587D">
        <w:rPr>
          <w:rFonts w:cstheme="minorHAnsi"/>
          <w:sz w:val="24"/>
        </w:rPr>
        <w:t>A 2014 study of 256 specialty providers asked if th</w:t>
      </w:r>
      <w:r w:rsidR="000C54CA">
        <w:rPr>
          <w:rFonts w:cstheme="minorHAnsi"/>
          <w:sz w:val="24"/>
        </w:rPr>
        <w:t xml:space="preserve">ey would accept a referral of an obese female </w:t>
      </w:r>
      <w:r w:rsidRPr="008F587D">
        <w:rPr>
          <w:rFonts w:cstheme="minorHAnsi"/>
          <w:sz w:val="24"/>
        </w:rPr>
        <w:t>patient who used a wheelchair and required transfer assistance revealed that:</w:t>
      </w:r>
    </w:p>
    <w:p w14:paraId="50F034D0" w14:textId="4D9D5CA6" w:rsidR="0063798F" w:rsidRPr="008F587D" w:rsidRDefault="0063798F" w:rsidP="00D50448">
      <w:pPr>
        <w:pStyle w:val="ListParagraph"/>
        <w:numPr>
          <w:ilvl w:val="1"/>
          <w:numId w:val="3"/>
        </w:numPr>
        <w:spacing w:after="0" w:line="240" w:lineRule="auto"/>
        <w:rPr>
          <w:rFonts w:cstheme="minorHAnsi"/>
          <w:sz w:val="24"/>
        </w:rPr>
      </w:pPr>
      <w:r w:rsidRPr="008F587D">
        <w:rPr>
          <w:rFonts w:cstheme="minorHAnsi"/>
          <w:sz w:val="24"/>
        </w:rPr>
        <w:t>22% of sp</w:t>
      </w:r>
      <w:r w:rsidR="007B48CA">
        <w:rPr>
          <w:rFonts w:cstheme="minorHAnsi"/>
          <w:sz w:val="24"/>
        </w:rPr>
        <w:t>ecialty provider offices could no</w:t>
      </w:r>
      <w:r w:rsidR="000C54CA">
        <w:rPr>
          <w:rFonts w:cstheme="minorHAnsi"/>
          <w:sz w:val="24"/>
        </w:rPr>
        <w:t>t accommodate her</w:t>
      </w:r>
      <w:r w:rsidRPr="008F587D">
        <w:rPr>
          <w:rFonts w:cstheme="minorHAnsi"/>
          <w:sz w:val="24"/>
        </w:rPr>
        <w:t xml:space="preserve">. Of these, 18% </w:t>
      </w:r>
      <w:r w:rsidR="000C54CA">
        <w:rPr>
          <w:rFonts w:cstheme="minorHAnsi"/>
          <w:sz w:val="24"/>
        </w:rPr>
        <w:t xml:space="preserve">also </w:t>
      </w:r>
      <w:r w:rsidRPr="008F587D">
        <w:rPr>
          <w:rFonts w:cstheme="minorHAnsi"/>
          <w:sz w:val="24"/>
        </w:rPr>
        <w:t>could</w:t>
      </w:r>
      <w:r w:rsidR="007B48CA">
        <w:rPr>
          <w:rFonts w:cstheme="minorHAnsi"/>
          <w:sz w:val="24"/>
        </w:rPr>
        <w:t xml:space="preserve"> no</w:t>
      </w:r>
      <w:r w:rsidRPr="008F587D">
        <w:rPr>
          <w:rFonts w:cstheme="minorHAnsi"/>
          <w:sz w:val="24"/>
        </w:rPr>
        <w:t xml:space="preserve">t help the </w:t>
      </w:r>
      <w:r w:rsidR="000C54CA">
        <w:rPr>
          <w:rFonts w:cstheme="minorHAnsi"/>
          <w:sz w:val="24"/>
        </w:rPr>
        <w:t xml:space="preserve">her </w:t>
      </w:r>
      <w:r w:rsidRPr="008F587D">
        <w:rPr>
          <w:rFonts w:cstheme="minorHAnsi"/>
          <w:sz w:val="24"/>
        </w:rPr>
        <w:t>transfer onto an exam table</w:t>
      </w:r>
      <w:r w:rsidR="000C54CA">
        <w:rPr>
          <w:rFonts w:cstheme="minorHAnsi"/>
          <w:sz w:val="24"/>
        </w:rPr>
        <w:t>, preventing access to an appropriate physical exam</w:t>
      </w:r>
      <w:r w:rsidR="0025048A">
        <w:rPr>
          <w:rFonts w:cstheme="minorHAnsi"/>
          <w:sz w:val="24"/>
        </w:rPr>
        <w:t>;</w:t>
      </w:r>
    </w:p>
    <w:p w14:paraId="2A26EF8C" w14:textId="64C297AB" w:rsidR="0063798F" w:rsidRPr="008F587D" w:rsidRDefault="007B48CA" w:rsidP="00D50448">
      <w:pPr>
        <w:pStyle w:val="ListParagraph"/>
        <w:numPr>
          <w:ilvl w:val="1"/>
          <w:numId w:val="3"/>
        </w:numPr>
        <w:spacing w:after="0" w:line="240" w:lineRule="auto"/>
        <w:rPr>
          <w:rFonts w:cstheme="minorHAnsi"/>
          <w:sz w:val="24"/>
        </w:rPr>
      </w:pPr>
      <w:r>
        <w:rPr>
          <w:rFonts w:cstheme="minorHAnsi"/>
          <w:sz w:val="24"/>
        </w:rPr>
        <w:t>T</w:t>
      </w:r>
      <w:r w:rsidR="0063798F" w:rsidRPr="008F587D">
        <w:rPr>
          <w:rFonts w:cstheme="minorHAnsi"/>
          <w:sz w:val="24"/>
        </w:rPr>
        <w:t>he subspecialty</w:t>
      </w:r>
      <w:r>
        <w:rPr>
          <w:rFonts w:cstheme="minorHAnsi"/>
          <w:sz w:val="24"/>
        </w:rPr>
        <w:t xml:space="preserve"> of gynecology had</w:t>
      </w:r>
      <w:r w:rsidR="0063798F" w:rsidRPr="008F587D">
        <w:rPr>
          <w:rFonts w:cstheme="minorHAnsi"/>
          <w:sz w:val="24"/>
        </w:rPr>
        <w:t xml:space="preserve"> the highest rate of practices</w:t>
      </w:r>
      <w:r w:rsidR="000C54CA">
        <w:rPr>
          <w:rFonts w:cstheme="minorHAnsi"/>
          <w:sz w:val="24"/>
        </w:rPr>
        <w:t xml:space="preserve"> inaccessible to people with disabilities</w:t>
      </w:r>
      <w:r w:rsidR="0063798F" w:rsidRPr="008F587D">
        <w:rPr>
          <w:rFonts w:cstheme="minorHAnsi"/>
          <w:sz w:val="24"/>
        </w:rPr>
        <w:t xml:space="preserve"> </w:t>
      </w:r>
      <w:r w:rsidR="00677E4A">
        <w:rPr>
          <w:rFonts w:cstheme="minorHAnsi"/>
          <w:sz w:val="24"/>
        </w:rPr>
        <w:t>(</w:t>
      </w:r>
      <w:r w:rsidR="0063798F" w:rsidRPr="008F587D">
        <w:rPr>
          <w:rFonts w:cstheme="minorHAnsi"/>
          <w:sz w:val="24"/>
        </w:rPr>
        <w:t>44</w:t>
      </w:r>
      <w:r w:rsidR="00DA131B">
        <w:rPr>
          <w:rFonts w:cstheme="minorHAnsi"/>
          <w:sz w:val="24"/>
        </w:rPr>
        <w:t>%</w:t>
      </w:r>
      <w:r w:rsidR="00677E4A">
        <w:rPr>
          <w:rFonts w:cstheme="minorHAnsi"/>
          <w:sz w:val="24"/>
        </w:rPr>
        <w:t>)</w:t>
      </w:r>
      <w:r w:rsidR="00DA131B">
        <w:rPr>
          <w:rFonts w:cstheme="minorHAnsi"/>
          <w:sz w:val="24"/>
        </w:rPr>
        <w:t>.</w:t>
      </w:r>
      <w:r w:rsidR="0059126C">
        <w:rPr>
          <w:rStyle w:val="EndnoteReference"/>
          <w:rFonts w:cstheme="minorHAnsi"/>
          <w:sz w:val="24"/>
        </w:rPr>
        <w:endnoteReference w:id="5"/>
      </w:r>
    </w:p>
    <w:p w14:paraId="7BD5C383" w14:textId="0DAD9C42" w:rsidR="001F758B" w:rsidRPr="007B48CA" w:rsidRDefault="0063798F" w:rsidP="00D50448">
      <w:pPr>
        <w:pStyle w:val="ListParagraph"/>
        <w:numPr>
          <w:ilvl w:val="0"/>
          <w:numId w:val="3"/>
        </w:numPr>
        <w:spacing w:after="0" w:line="240" w:lineRule="auto"/>
        <w:rPr>
          <w:rFonts w:cstheme="minorHAnsi"/>
          <w:b/>
          <w:sz w:val="24"/>
        </w:rPr>
      </w:pPr>
      <w:r w:rsidRPr="007B48CA">
        <w:rPr>
          <w:rFonts w:cstheme="minorHAnsi"/>
          <w:sz w:val="24"/>
        </w:rPr>
        <w:t>A 2010 study of primary care offices in California found that only 3.6 % had an accessible weight scale, and only 8.4 % had height-adjustable tables.</w:t>
      </w:r>
      <w:r w:rsidR="0059126C">
        <w:rPr>
          <w:rStyle w:val="EndnoteReference"/>
          <w:rFonts w:cstheme="minorHAnsi"/>
          <w:sz w:val="24"/>
        </w:rPr>
        <w:endnoteReference w:id="6"/>
      </w:r>
      <w:r w:rsidR="007B48CA">
        <w:rPr>
          <w:rFonts w:cstheme="minorHAnsi"/>
          <w:sz w:val="24"/>
        </w:rPr>
        <w:t xml:space="preserve"> </w:t>
      </w:r>
      <w:r w:rsidRPr="007B48CA">
        <w:rPr>
          <w:rFonts w:cstheme="minorHAnsi"/>
          <w:sz w:val="24"/>
        </w:rPr>
        <w:t xml:space="preserve">The 2017 follow-up </w:t>
      </w:r>
      <w:r w:rsidR="00AD315A">
        <w:rPr>
          <w:rFonts w:cstheme="minorHAnsi"/>
          <w:sz w:val="24"/>
        </w:rPr>
        <w:t xml:space="preserve">to this </w:t>
      </w:r>
      <w:r w:rsidRPr="007B48CA">
        <w:rPr>
          <w:rFonts w:cstheme="minorHAnsi"/>
          <w:sz w:val="24"/>
        </w:rPr>
        <w:t xml:space="preserve">study </w:t>
      </w:r>
      <w:r w:rsidR="00AD6D3F">
        <w:rPr>
          <w:rFonts w:cstheme="minorHAnsi"/>
          <w:sz w:val="24"/>
        </w:rPr>
        <w:t xml:space="preserve">showed </w:t>
      </w:r>
      <w:r w:rsidR="00AD315A">
        <w:rPr>
          <w:rFonts w:cstheme="minorHAnsi"/>
          <w:sz w:val="24"/>
        </w:rPr>
        <w:t xml:space="preserve">only </w:t>
      </w:r>
      <w:r w:rsidR="00AD6D3F">
        <w:rPr>
          <w:rFonts w:cstheme="minorHAnsi"/>
          <w:sz w:val="24"/>
        </w:rPr>
        <w:t xml:space="preserve">a modest increase to </w:t>
      </w:r>
      <w:r w:rsidRPr="007B48CA">
        <w:rPr>
          <w:rFonts w:cstheme="minorHAnsi"/>
          <w:sz w:val="24"/>
        </w:rPr>
        <w:t xml:space="preserve">10.9% </w:t>
      </w:r>
      <w:r w:rsidR="00AD6D3F">
        <w:rPr>
          <w:rFonts w:cstheme="minorHAnsi"/>
          <w:sz w:val="24"/>
        </w:rPr>
        <w:t xml:space="preserve">with </w:t>
      </w:r>
      <w:r w:rsidRPr="007B48CA">
        <w:rPr>
          <w:rFonts w:cstheme="minorHAnsi"/>
          <w:sz w:val="24"/>
        </w:rPr>
        <w:t xml:space="preserve">an accessible weight scale and 19.1% </w:t>
      </w:r>
      <w:r w:rsidR="00AD6D3F">
        <w:rPr>
          <w:rFonts w:cstheme="minorHAnsi"/>
          <w:sz w:val="24"/>
        </w:rPr>
        <w:t xml:space="preserve">with </w:t>
      </w:r>
      <w:r w:rsidRPr="007B48CA">
        <w:rPr>
          <w:rFonts w:cstheme="minorHAnsi"/>
          <w:sz w:val="24"/>
        </w:rPr>
        <w:t>height adjustable tables.</w:t>
      </w:r>
      <w:r w:rsidR="007B48CA">
        <w:rPr>
          <w:rStyle w:val="EndnoteReference"/>
          <w:rFonts w:cstheme="minorHAnsi"/>
          <w:sz w:val="24"/>
        </w:rPr>
        <w:endnoteReference w:id="7"/>
      </w:r>
    </w:p>
    <w:p w14:paraId="213FB0BC" w14:textId="77777777" w:rsidR="007B48CA" w:rsidRDefault="007B48CA" w:rsidP="00B00FED">
      <w:pPr>
        <w:spacing w:after="0" w:line="240" w:lineRule="auto"/>
        <w:rPr>
          <w:rFonts w:cstheme="minorHAnsi"/>
          <w:b/>
          <w:sz w:val="24"/>
        </w:rPr>
      </w:pPr>
    </w:p>
    <w:p w14:paraId="6CCE58D8" w14:textId="32FF9D57" w:rsidR="00722ABD" w:rsidRPr="008F587D" w:rsidRDefault="003D009C" w:rsidP="00B00FED">
      <w:pPr>
        <w:spacing w:after="0" w:line="240" w:lineRule="auto"/>
        <w:rPr>
          <w:rFonts w:cstheme="minorHAnsi"/>
          <w:b/>
          <w:sz w:val="24"/>
        </w:rPr>
      </w:pPr>
      <w:r>
        <w:rPr>
          <w:rFonts w:cstheme="minorHAnsi"/>
          <w:b/>
          <w:sz w:val="24"/>
        </w:rPr>
        <w:t>Accessible Medical Diagnostic Equipment (MDE) Addresses Health Care Disparities, Barriers to Health Care and Compliance with Disability Rights Laws:</w:t>
      </w:r>
      <w:r w:rsidR="0063798F">
        <w:rPr>
          <w:rFonts w:cstheme="minorHAnsi"/>
          <w:b/>
          <w:sz w:val="24"/>
        </w:rPr>
        <w:t xml:space="preserve"> </w:t>
      </w:r>
    </w:p>
    <w:p w14:paraId="6089C4AF" w14:textId="204B6550" w:rsidR="008603FA" w:rsidRPr="008F587D" w:rsidRDefault="008603FA" w:rsidP="00B00FED">
      <w:pPr>
        <w:spacing w:after="0" w:line="240" w:lineRule="auto"/>
        <w:rPr>
          <w:rFonts w:cstheme="minorHAnsi"/>
          <w:b/>
          <w:sz w:val="24"/>
        </w:rPr>
      </w:pPr>
    </w:p>
    <w:p w14:paraId="16A266F9" w14:textId="44C2C361" w:rsidR="00023D5B" w:rsidRPr="00BB4E15" w:rsidRDefault="00621E72" w:rsidP="00B00FED">
      <w:pPr>
        <w:spacing w:after="0" w:line="240" w:lineRule="auto"/>
        <w:rPr>
          <w:rFonts w:cstheme="minorHAnsi"/>
          <w:noProof/>
          <w:sz w:val="24"/>
          <w:vertAlign w:val="superscript"/>
        </w:rPr>
      </w:pPr>
      <w:r>
        <w:rPr>
          <w:rFonts w:cstheme="minorHAnsi"/>
          <w:sz w:val="24"/>
        </w:rPr>
        <w:t>Compared to people without disabilities, p</w:t>
      </w:r>
      <w:r w:rsidR="00721A5A">
        <w:rPr>
          <w:rFonts w:cstheme="minorHAnsi"/>
          <w:sz w:val="24"/>
        </w:rPr>
        <w:t>eople</w:t>
      </w:r>
      <w:r w:rsidR="00721A5A" w:rsidRPr="008F587D">
        <w:rPr>
          <w:rFonts w:cstheme="minorHAnsi"/>
          <w:sz w:val="24"/>
        </w:rPr>
        <w:t xml:space="preserve"> </w:t>
      </w:r>
      <w:r>
        <w:rPr>
          <w:rFonts w:cstheme="minorHAnsi"/>
          <w:sz w:val="24"/>
        </w:rPr>
        <w:t>with disabilities face</w:t>
      </w:r>
      <w:r w:rsidR="008603FA" w:rsidRPr="008F587D">
        <w:rPr>
          <w:rFonts w:cstheme="minorHAnsi"/>
          <w:sz w:val="24"/>
        </w:rPr>
        <w:t xml:space="preserve"> </w:t>
      </w:r>
      <w:r>
        <w:rPr>
          <w:rFonts w:cstheme="minorHAnsi"/>
          <w:sz w:val="24"/>
        </w:rPr>
        <w:t>disparities across-the-</w:t>
      </w:r>
      <w:r w:rsidR="008603FA" w:rsidRPr="008F587D">
        <w:rPr>
          <w:rFonts w:cstheme="minorHAnsi"/>
          <w:sz w:val="24"/>
        </w:rPr>
        <w:t xml:space="preserve">board in </w:t>
      </w:r>
      <w:r w:rsidR="00721A5A">
        <w:rPr>
          <w:rFonts w:cstheme="minorHAnsi"/>
          <w:sz w:val="24"/>
        </w:rPr>
        <w:t xml:space="preserve">receipt of </w:t>
      </w:r>
      <w:r w:rsidR="008603FA" w:rsidRPr="008F587D">
        <w:rPr>
          <w:rFonts w:cstheme="minorHAnsi"/>
          <w:sz w:val="24"/>
        </w:rPr>
        <w:t>can</w:t>
      </w:r>
      <w:r>
        <w:rPr>
          <w:rFonts w:cstheme="minorHAnsi"/>
          <w:sz w:val="24"/>
        </w:rPr>
        <w:t>cer screenings</w:t>
      </w:r>
      <w:r w:rsidR="008434A3">
        <w:rPr>
          <w:rStyle w:val="EndnoteReference"/>
          <w:rFonts w:cstheme="minorHAnsi"/>
          <w:sz w:val="24"/>
        </w:rPr>
        <w:endnoteReference w:id="8"/>
      </w:r>
      <w:r w:rsidR="00964940">
        <w:rPr>
          <w:rFonts w:cstheme="minorHAnsi"/>
          <w:sz w:val="24"/>
        </w:rPr>
        <w:t>, as well as other forms of preventative care</w:t>
      </w:r>
      <w:r w:rsidR="00352C28">
        <w:rPr>
          <w:rFonts w:cstheme="minorHAnsi"/>
          <w:sz w:val="24"/>
        </w:rPr>
        <w:t>;</w:t>
      </w:r>
      <w:r>
        <w:rPr>
          <w:rFonts w:cstheme="minorHAnsi"/>
          <w:sz w:val="24"/>
        </w:rPr>
        <w:t xml:space="preserve"> </w:t>
      </w:r>
      <w:r w:rsidR="00D7145F">
        <w:rPr>
          <w:rFonts w:cstheme="minorHAnsi"/>
          <w:sz w:val="24"/>
        </w:rPr>
        <w:t xml:space="preserve">higher rates </w:t>
      </w:r>
      <w:r w:rsidR="00D7145F">
        <w:rPr>
          <w:rFonts w:cstheme="minorHAnsi"/>
          <w:sz w:val="24"/>
        </w:rPr>
        <w:lastRenderedPageBreak/>
        <w:t>of obesity and cardiovascular disease</w:t>
      </w:r>
      <w:r w:rsidR="00352C28">
        <w:rPr>
          <w:rFonts w:cstheme="minorHAnsi"/>
          <w:sz w:val="24"/>
        </w:rPr>
        <w:t>;</w:t>
      </w:r>
      <w:r w:rsidR="008434A3">
        <w:rPr>
          <w:rStyle w:val="EndnoteReference"/>
          <w:rFonts w:cstheme="minorHAnsi"/>
          <w:sz w:val="24"/>
        </w:rPr>
        <w:endnoteReference w:id="9"/>
      </w:r>
      <w:r w:rsidR="00D7145F">
        <w:rPr>
          <w:rFonts w:cstheme="minorHAnsi"/>
          <w:sz w:val="24"/>
        </w:rPr>
        <w:t xml:space="preserve"> </w:t>
      </w:r>
      <w:r>
        <w:rPr>
          <w:rFonts w:cstheme="minorHAnsi"/>
          <w:sz w:val="24"/>
        </w:rPr>
        <w:t xml:space="preserve">and </w:t>
      </w:r>
      <w:r w:rsidR="00352C28">
        <w:rPr>
          <w:rFonts w:cstheme="minorHAnsi"/>
          <w:sz w:val="24"/>
        </w:rPr>
        <w:t xml:space="preserve">greater difficulty </w:t>
      </w:r>
      <w:r>
        <w:rPr>
          <w:rFonts w:cstheme="minorHAnsi"/>
          <w:sz w:val="24"/>
        </w:rPr>
        <w:t xml:space="preserve">in finding </w:t>
      </w:r>
      <w:r w:rsidR="008603FA" w:rsidRPr="008F587D">
        <w:rPr>
          <w:rFonts w:cstheme="minorHAnsi"/>
          <w:sz w:val="24"/>
        </w:rPr>
        <w:t>doctor</w:t>
      </w:r>
      <w:r>
        <w:rPr>
          <w:rFonts w:cstheme="minorHAnsi"/>
          <w:sz w:val="24"/>
        </w:rPr>
        <w:t xml:space="preserve">s, securing </w:t>
      </w:r>
      <w:r w:rsidR="008603FA" w:rsidRPr="008F587D">
        <w:rPr>
          <w:rFonts w:cstheme="minorHAnsi"/>
          <w:sz w:val="24"/>
        </w:rPr>
        <w:t>appointment</w:t>
      </w:r>
      <w:r>
        <w:rPr>
          <w:rFonts w:cstheme="minorHAnsi"/>
          <w:sz w:val="24"/>
        </w:rPr>
        <w:t>s</w:t>
      </w:r>
      <w:r w:rsidR="00352C28">
        <w:rPr>
          <w:rFonts w:cstheme="minorHAnsi"/>
          <w:sz w:val="24"/>
        </w:rPr>
        <w:t>;</w:t>
      </w:r>
      <w:r w:rsidR="008603FA" w:rsidRPr="008F587D">
        <w:rPr>
          <w:rFonts w:cstheme="minorHAnsi"/>
          <w:sz w:val="24"/>
        </w:rPr>
        <w:t xml:space="preserve"> and </w:t>
      </w:r>
      <w:r>
        <w:rPr>
          <w:rFonts w:cstheme="minorHAnsi"/>
          <w:sz w:val="24"/>
        </w:rPr>
        <w:t>general unmet needs</w:t>
      </w:r>
      <w:r w:rsidR="008603FA" w:rsidRPr="008F587D">
        <w:rPr>
          <w:rFonts w:cstheme="minorHAnsi"/>
          <w:sz w:val="24"/>
        </w:rPr>
        <w:t xml:space="preserve">. </w:t>
      </w:r>
    </w:p>
    <w:p w14:paraId="3C35D18D" w14:textId="544977ED" w:rsidR="00731BB4" w:rsidRPr="008F587D" w:rsidRDefault="00621E72" w:rsidP="00AD315A">
      <w:pPr>
        <w:spacing w:after="0" w:line="240" w:lineRule="auto"/>
        <w:jc w:val="center"/>
        <w:rPr>
          <w:rFonts w:cstheme="minorHAnsi"/>
          <w:sz w:val="24"/>
        </w:rPr>
      </w:pPr>
      <w:r>
        <w:rPr>
          <w:noProof/>
        </w:rPr>
        <w:drawing>
          <wp:inline distT="0" distB="0" distL="0" distR="0" wp14:anchorId="6A18DE40" wp14:editId="1BE178F4">
            <wp:extent cx="4238625" cy="2752725"/>
            <wp:effectExtent l="0" t="0" r="9525" b="9525"/>
            <wp:docPr id="2" name="Chart 2" descr="Results varying from 90% to 0% for Pap Tests, Colorectals Screenings, and Mammograms" title="Chart on Disparities in Preventative Health Screenings for People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7817BD" w14:textId="46ABB4AA" w:rsidR="00722ABD" w:rsidRDefault="00621E72" w:rsidP="00BC7068">
      <w:pPr>
        <w:spacing w:after="0" w:line="240" w:lineRule="auto"/>
        <w:jc w:val="center"/>
        <w:rPr>
          <w:rStyle w:val="CommentReference"/>
        </w:rPr>
      </w:pPr>
      <w:r w:rsidRPr="008F587D">
        <w:rPr>
          <w:rFonts w:cstheme="minorHAnsi"/>
          <w:sz w:val="24"/>
        </w:rPr>
        <w:t xml:space="preserve"> </w:t>
      </w:r>
    </w:p>
    <w:p w14:paraId="0A746893" w14:textId="77777777" w:rsidR="00621E72" w:rsidRPr="008F587D" w:rsidRDefault="00621E72" w:rsidP="00BC7068">
      <w:pPr>
        <w:spacing w:after="0" w:line="240" w:lineRule="auto"/>
        <w:jc w:val="center"/>
        <w:rPr>
          <w:rFonts w:cstheme="minorHAnsi"/>
          <w:noProof/>
          <w:sz w:val="24"/>
        </w:rPr>
      </w:pPr>
    </w:p>
    <w:p w14:paraId="703B9DD1" w14:textId="5A2210ED" w:rsidR="00BC7068" w:rsidRPr="008F587D" w:rsidRDefault="00103809" w:rsidP="00AD315A">
      <w:pPr>
        <w:spacing w:after="0" w:line="240" w:lineRule="auto"/>
        <w:jc w:val="center"/>
        <w:rPr>
          <w:rFonts w:cstheme="minorHAnsi"/>
          <w:noProof/>
          <w:sz w:val="24"/>
        </w:rPr>
      </w:pPr>
      <w:r>
        <w:rPr>
          <w:noProof/>
        </w:rPr>
        <w:drawing>
          <wp:inline distT="0" distB="0" distL="0" distR="0" wp14:anchorId="68381CAA" wp14:editId="7AB21673">
            <wp:extent cx="4267200" cy="2247265"/>
            <wp:effectExtent l="0" t="0" r="0" b="635"/>
            <wp:docPr id="1" name="Chart 1" descr="Results ranging from 25% to 0% for Difficulty Finiding A Doctor, Difficulty Getting an Appointment When Needed, and Unmet Needs" title="Chart for Barrieers to health Care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F50396" w14:textId="2D2F0368" w:rsidR="00BC7068" w:rsidRPr="00BA1CB6" w:rsidRDefault="00E8754D" w:rsidP="00AD315A">
      <w:pPr>
        <w:spacing w:after="0" w:line="240" w:lineRule="auto"/>
        <w:rPr>
          <w:rFonts w:cstheme="minorHAnsi"/>
          <w:noProof/>
          <w:sz w:val="24"/>
        </w:rPr>
      </w:pPr>
      <w:r>
        <w:rPr>
          <w:rStyle w:val="EndnoteReference"/>
          <w:rFonts w:cstheme="minorHAnsi"/>
          <w:noProof/>
          <w:sz w:val="24"/>
        </w:rPr>
        <w:endnoteReference w:id="10"/>
      </w:r>
    </w:p>
    <w:p w14:paraId="352668D2" w14:textId="333B4622" w:rsidR="0063798F" w:rsidRDefault="00EB3782" w:rsidP="00D50448">
      <w:pPr>
        <w:pStyle w:val="ListParagraph"/>
        <w:numPr>
          <w:ilvl w:val="0"/>
          <w:numId w:val="12"/>
        </w:numPr>
        <w:spacing w:after="0" w:line="240" w:lineRule="auto"/>
        <w:rPr>
          <w:rFonts w:cstheme="minorHAnsi"/>
          <w:noProof/>
          <w:sz w:val="24"/>
        </w:rPr>
      </w:pPr>
      <w:r>
        <w:rPr>
          <w:rFonts w:cstheme="minorHAnsi"/>
          <w:noProof/>
          <w:sz w:val="24"/>
        </w:rPr>
        <w:t>Further</w:t>
      </w:r>
      <w:r w:rsidR="0063798F">
        <w:rPr>
          <w:rFonts w:cstheme="minorHAnsi"/>
          <w:noProof/>
          <w:sz w:val="24"/>
        </w:rPr>
        <w:t xml:space="preserve"> research has found</w:t>
      </w:r>
      <w:r w:rsidR="00621E72">
        <w:rPr>
          <w:rFonts w:cstheme="minorHAnsi"/>
          <w:noProof/>
          <w:sz w:val="24"/>
        </w:rPr>
        <w:t xml:space="preserve"> that</w:t>
      </w:r>
      <w:r>
        <w:rPr>
          <w:rFonts w:cstheme="minorHAnsi"/>
          <w:noProof/>
          <w:sz w:val="24"/>
        </w:rPr>
        <w:t xml:space="preserve"> people </w:t>
      </w:r>
      <w:r w:rsidR="0063798F">
        <w:rPr>
          <w:rFonts w:cstheme="minorHAnsi"/>
          <w:noProof/>
          <w:sz w:val="24"/>
        </w:rPr>
        <w:t>with a disability who encounter a structural barrier are 2.5 times more lik</w:t>
      </w:r>
      <w:r>
        <w:rPr>
          <w:rFonts w:cstheme="minorHAnsi"/>
          <w:noProof/>
          <w:sz w:val="24"/>
        </w:rPr>
        <w:t xml:space="preserve">ely to experience delayed or not to receive necessary </w:t>
      </w:r>
      <w:r w:rsidR="0063798F">
        <w:rPr>
          <w:rFonts w:cstheme="minorHAnsi"/>
          <w:noProof/>
          <w:sz w:val="24"/>
        </w:rPr>
        <w:t xml:space="preserve">medical care than </w:t>
      </w:r>
      <w:r>
        <w:rPr>
          <w:rFonts w:cstheme="minorHAnsi"/>
          <w:noProof/>
          <w:sz w:val="24"/>
        </w:rPr>
        <w:t>people</w:t>
      </w:r>
      <w:r w:rsidR="001616D7">
        <w:rPr>
          <w:rFonts w:cstheme="minorHAnsi"/>
          <w:noProof/>
          <w:sz w:val="24"/>
        </w:rPr>
        <w:t xml:space="preserve"> without a disability</w:t>
      </w:r>
      <w:r w:rsidR="0063798F">
        <w:rPr>
          <w:rFonts w:cstheme="minorHAnsi"/>
          <w:noProof/>
          <w:sz w:val="24"/>
        </w:rPr>
        <w:t xml:space="preserve">. </w:t>
      </w:r>
      <w:r w:rsidR="00E8754D">
        <w:rPr>
          <w:rStyle w:val="EndnoteReference"/>
          <w:rFonts w:cstheme="minorHAnsi"/>
          <w:noProof/>
          <w:sz w:val="24"/>
        </w:rPr>
        <w:endnoteReference w:id="11"/>
      </w:r>
    </w:p>
    <w:p w14:paraId="0E4953C0" w14:textId="4247FB80" w:rsidR="00244525" w:rsidRPr="00244525" w:rsidRDefault="009D4265" w:rsidP="00D50448">
      <w:pPr>
        <w:pStyle w:val="ListParagraph"/>
        <w:numPr>
          <w:ilvl w:val="0"/>
          <w:numId w:val="12"/>
        </w:numPr>
        <w:spacing w:after="0" w:line="240" w:lineRule="auto"/>
        <w:rPr>
          <w:rFonts w:cstheme="minorHAnsi"/>
          <w:b/>
          <w:sz w:val="24"/>
        </w:rPr>
      </w:pPr>
      <w:r>
        <w:rPr>
          <w:rFonts w:cstheme="minorHAnsi"/>
          <w:noProof/>
          <w:sz w:val="24"/>
        </w:rPr>
        <w:t>Better prevent</w:t>
      </w:r>
      <w:r w:rsidR="00BA1CB6">
        <w:rPr>
          <w:rFonts w:cstheme="minorHAnsi"/>
          <w:noProof/>
          <w:sz w:val="24"/>
        </w:rPr>
        <w:t>ive c</w:t>
      </w:r>
      <w:r w:rsidR="00BB4E15">
        <w:rPr>
          <w:rFonts w:cstheme="minorHAnsi"/>
          <w:noProof/>
          <w:sz w:val="24"/>
        </w:rPr>
        <w:t>are through</w:t>
      </w:r>
      <w:r w:rsidR="005A3A0F">
        <w:rPr>
          <w:rFonts w:cstheme="minorHAnsi"/>
          <w:noProof/>
          <w:sz w:val="24"/>
        </w:rPr>
        <w:t xml:space="preserve"> increased</w:t>
      </w:r>
      <w:r w:rsidR="00BB4E15">
        <w:rPr>
          <w:rFonts w:cstheme="minorHAnsi"/>
          <w:noProof/>
          <w:sz w:val="24"/>
        </w:rPr>
        <w:t xml:space="preserve"> use of accessible MDE results in earlier detection</w:t>
      </w:r>
      <w:r w:rsidR="00BA1CB6">
        <w:rPr>
          <w:rFonts w:cstheme="minorHAnsi"/>
          <w:noProof/>
          <w:sz w:val="24"/>
        </w:rPr>
        <w:t xml:space="preserve"> of life-threatening conditions</w:t>
      </w:r>
      <w:r w:rsidR="00BB4E15">
        <w:rPr>
          <w:rFonts w:cstheme="minorHAnsi"/>
          <w:noProof/>
          <w:sz w:val="24"/>
        </w:rPr>
        <w:t xml:space="preserve">, </w:t>
      </w:r>
      <w:r>
        <w:rPr>
          <w:rFonts w:cstheme="minorHAnsi"/>
          <w:noProof/>
          <w:sz w:val="24"/>
        </w:rPr>
        <w:t>better prognoses, quality of life and</w:t>
      </w:r>
      <w:r w:rsidR="005A3A0F">
        <w:rPr>
          <w:rFonts w:cstheme="minorHAnsi"/>
          <w:noProof/>
          <w:sz w:val="24"/>
        </w:rPr>
        <w:t xml:space="preserve"> </w:t>
      </w:r>
      <w:r w:rsidR="00EB3782">
        <w:rPr>
          <w:rFonts w:cstheme="minorHAnsi"/>
          <w:noProof/>
          <w:sz w:val="24"/>
        </w:rPr>
        <w:t>health outcomes. These improvements</w:t>
      </w:r>
      <w:r w:rsidR="00BA1CB6">
        <w:rPr>
          <w:rFonts w:cstheme="minorHAnsi"/>
          <w:noProof/>
          <w:sz w:val="24"/>
        </w:rPr>
        <w:t>,</w:t>
      </w:r>
      <w:r w:rsidR="005A3A0F">
        <w:rPr>
          <w:rFonts w:cstheme="minorHAnsi"/>
          <w:noProof/>
          <w:sz w:val="24"/>
        </w:rPr>
        <w:t xml:space="preserve"> i</w:t>
      </w:r>
      <w:r w:rsidR="00BA1CB6">
        <w:rPr>
          <w:rFonts w:cstheme="minorHAnsi"/>
          <w:noProof/>
          <w:sz w:val="24"/>
        </w:rPr>
        <w:t xml:space="preserve">n turn, </w:t>
      </w:r>
      <w:r w:rsidR="00EB3782">
        <w:rPr>
          <w:rFonts w:cstheme="minorHAnsi"/>
          <w:noProof/>
          <w:sz w:val="24"/>
        </w:rPr>
        <w:t>make</w:t>
      </w:r>
      <w:r>
        <w:rPr>
          <w:rFonts w:cstheme="minorHAnsi"/>
          <w:noProof/>
          <w:sz w:val="24"/>
        </w:rPr>
        <w:t xml:space="preserve"> </w:t>
      </w:r>
      <w:r w:rsidR="00195F1E">
        <w:rPr>
          <w:rFonts w:cstheme="minorHAnsi"/>
          <w:noProof/>
          <w:sz w:val="24"/>
        </w:rPr>
        <w:t>health-care more cost-effective</w:t>
      </w:r>
      <w:r w:rsidR="00BB4E15">
        <w:rPr>
          <w:rFonts w:cstheme="minorHAnsi"/>
          <w:noProof/>
          <w:sz w:val="24"/>
        </w:rPr>
        <w:t>.</w:t>
      </w:r>
      <w:r>
        <w:rPr>
          <w:rStyle w:val="EndnoteReference"/>
          <w:rFonts w:cstheme="minorHAnsi"/>
          <w:noProof/>
          <w:sz w:val="24"/>
        </w:rPr>
        <w:endnoteReference w:id="12"/>
      </w:r>
    </w:p>
    <w:p w14:paraId="21A27D4B" w14:textId="2FA4C121" w:rsidR="008F1310" w:rsidRPr="008F1310" w:rsidRDefault="0093067B" w:rsidP="00D50448">
      <w:pPr>
        <w:pStyle w:val="ListParagraph"/>
        <w:numPr>
          <w:ilvl w:val="0"/>
          <w:numId w:val="12"/>
        </w:numPr>
        <w:spacing w:after="0" w:line="240" w:lineRule="auto"/>
        <w:rPr>
          <w:rFonts w:cstheme="minorHAnsi"/>
          <w:b/>
          <w:sz w:val="24"/>
        </w:rPr>
      </w:pPr>
      <w:r>
        <w:rPr>
          <w:rFonts w:cstheme="minorHAnsi"/>
          <w:noProof/>
          <w:sz w:val="24"/>
        </w:rPr>
        <w:t>Large in</w:t>
      </w:r>
      <w:r w:rsidR="00EB3782">
        <w:rPr>
          <w:rFonts w:cstheme="minorHAnsi"/>
          <w:noProof/>
          <w:sz w:val="24"/>
        </w:rPr>
        <w:t xml:space="preserve">creases in the number of health </w:t>
      </w:r>
      <w:r>
        <w:rPr>
          <w:rFonts w:cstheme="minorHAnsi"/>
          <w:noProof/>
          <w:sz w:val="24"/>
        </w:rPr>
        <w:t xml:space="preserve">settings </w:t>
      </w:r>
      <w:r w:rsidR="00EB3782">
        <w:rPr>
          <w:rFonts w:cstheme="minorHAnsi"/>
          <w:noProof/>
          <w:sz w:val="24"/>
        </w:rPr>
        <w:t xml:space="preserve">with </w:t>
      </w:r>
      <w:r w:rsidR="00BA1CB6" w:rsidRPr="00244525">
        <w:rPr>
          <w:rFonts w:cstheme="minorHAnsi"/>
          <w:noProof/>
          <w:sz w:val="24"/>
        </w:rPr>
        <w:t>a</w:t>
      </w:r>
      <w:r>
        <w:rPr>
          <w:rFonts w:cstheme="minorHAnsi"/>
          <w:noProof/>
          <w:sz w:val="24"/>
        </w:rPr>
        <w:t>ccessible medical equipment</w:t>
      </w:r>
      <w:r w:rsidR="005A3A0F" w:rsidRPr="00244525">
        <w:rPr>
          <w:rFonts w:cstheme="minorHAnsi"/>
          <w:noProof/>
          <w:sz w:val="24"/>
        </w:rPr>
        <w:t xml:space="preserve">, paired </w:t>
      </w:r>
      <w:r w:rsidR="00BA1CB6" w:rsidRPr="00244525">
        <w:rPr>
          <w:rFonts w:cstheme="minorHAnsi"/>
          <w:noProof/>
          <w:sz w:val="24"/>
        </w:rPr>
        <w:t xml:space="preserve">with </w:t>
      </w:r>
      <w:r w:rsidR="00EB3782">
        <w:rPr>
          <w:rFonts w:cstheme="minorHAnsi"/>
          <w:noProof/>
          <w:sz w:val="24"/>
        </w:rPr>
        <w:t>major improvements</w:t>
      </w:r>
      <w:r w:rsidR="00BA1CB6" w:rsidRPr="00244525">
        <w:rPr>
          <w:rFonts w:cstheme="minorHAnsi"/>
          <w:noProof/>
          <w:sz w:val="24"/>
        </w:rPr>
        <w:t xml:space="preserve"> </w:t>
      </w:r>
      <w:r w:rsidR="00EB3782">
        <w:rPr>
          <w:rFonts w:cstheme="minorHAnsi"/>
          <w:noProof/>
          <w:sz w:val="24"/>
        </w:rPr>
        <w:t xml:space="preserve">in the accessibility of </w:t>
      </w:r>
      <w:r w:rsidR="005A3A0F" w:rsidRPr="00244525">
        <w:rPr>
          <w:rFonts w:cstheme="minorHAnsi"/>
          <w:noProof/>
          <w:sz w:val="24"/>
        </w:rPr>
        <w:t>health care programs</w:t>
      </w:r>
      <w:r w:rsidR="00BA1CB6" w:rsidRPr="00244525">
        <w:rPr>
          <w:rFonts w:cstheme="minorHAnsi"/>
          <w:noProof/>
          <w:sz w:val="24"/>
        </w:rPr>
        <w:t xml:space="preserve"> and services</w:t>
      </w:r>
      <w:r>
        <w:rPr>
          <w:rFonts w:cstheme="minorHAnsi"/>
          <w:noProof/>
          <w:sz w:val="24"/>
        </w:rPr>
        <w:t>,</w:t>
      </w:r>
      <w:r w:rsidR="00BA1CB6" w:rsidRPr="00244525">
        <w:rPr>
          <w:rFonts w:cstheme="minorHAnsi"/>
          <w:noProof/>
          <w:sz w:val="24"/>
        </w:rPr>
        <w:t xml:space="preserve"> will</w:t>
      </w:r>
      <w:r>
        <w:rPr>
          <w:rFonts w:cstheme="minorHAnsi"/>
          <w:noProof/>
          <w:sz w:val="24"/>
        </w:rPr>
        <w:t xml:space="preserve"> help</w:t>
      </w:r>
      <w:r w:rsidR="00BA1CB6" w:rsidRPr="00244525">
        <w:rPr>
          <w:rFonts w:cstheme="minorHAnsi"/>
          <w:noProof/>
          <w:sz w:val="24"/>
        </w:rPr>
        <w:t xml:space="preserve"> reduce risk</w:t>
      </w:r>
      <w:r w:rsidR="005A3A0F" w:rsidRPr="00244525">
        <w:rPr>
          <w:rFonts w:cstheme="minorHAnsi"/>
          <w:noProof/>
          <w:sz w:val="24"/>
        </w:rPr>
        <w:t xml:space="preserve"> of federal enforcement actions or private lawsuits</w:t>
      </w:r>
      <w:r w:rsidR="0063798F" w:rsidRPr="00244525">
        <w:rPr>
          <w:rFonts w:cstheme="minorHAnsi"/>
          <w:noProof/>
          <w:sz w:val="24"/>
        </w:rPr>
        <w:t xml:space="preserve"> under Title III of the Americans with Disabilities Act, Section 504 of the Rehabilitation Act and </w:t>
      </w:r>
      <w:r>
        <w:rPr>
          <w:rFonts w:cstheme="minorHAnsi"/>
          <w:noProof/>
          <w:sz w:val="24"/>
        </w:rPr>
        <w:t>o</w:t>
      </w:r>
      <w:r w:rsidR="007F7374">
        <w:rPr>
          <w:rFonts w:cstheme="minorHAnsi"/>
          <w:noProof/>
          <w:sz w:val="24"/>
        </w:rPr>
        <w:t>ther legal, insurance and staffing expenses</w:t>
      </w:r>
      <w:r w:rsidR="00244525" w:rsidRPr="00244525">
        <w:rPr>
          <w:rFonts w:cstheme="minorHAnsi"/>
          <w:noProof/>
          <w:sz w:val="24"/>
        </w:rPr>
        <w:t>.</w:t>
      </w:r>
      <w:r>
        <w:rPr>
          <w:rFonts w:cstheme="minorHAnsi"/>
          <w:noProof/>
          <w:sz w:val="24"/>
        </w:rPr>
        <w:t xml:space="preserve"> </w:t>
      </w:r>
    </w:p>
    <w:p w14:paraId="516D9A4A" w14:textId="77777777" w:rsidR="00CD55E8" w:rsidRDefault="00CD55E8" w:rsidP="006C1F61">
      <w:pPr>
        <w:spacing w:after="0" w:line="240" w:lineRule="auto"/>
        <w:ind w:left="360"/>
        <w:rPr>
          <w:rFonts w:cstheme="minorHAnsi"/>
          <w:b/>
          <w:sz w:val="24"/>
        </w:rPr>
      </w:pPr>
    </w:p>
    <w:p w14:paraId="35B44382" w14:textId="77777777" w:rsidR="00A46E1B" w:rsidRDefault="00A46E1B" w:rsidP="00A46E1B">
      <w:pPr>
        <w:spacing w:after="0" w:line="240" w:lineRule="auto"/>
        <w:rPr>
          <w:rFonts w:cstheme="minorHAnsi"/>
          <w:b/>
          <w:sz w:val="24"/>
        </w:rPr>
      </w:pPr>
    </w:p>
    <w:p w14:paraId="78866FBE" w14:textId="5E91ECF2" w:rsidR="00A46E1B" w:rsidRDefault="00C15F99" w:rsidP="00A46E1B">
      <w:pPr>
        <w:spacing w:after="0" w:line="240" w:lineRule="auto"/>
        <w:rPr>
          <w:rFonts w:cstheme="minorHAnsi"/>
          <w:b/>
          <w:sz w:val="24"/>
        </w:rPr>
      </w:pPr>
      <w:r w:rsidRPr="006C1F61">
        <w:rPr>
          <w:rFonts w:cstheme="minorHAnsi"/>
          <w:b/>
          <w:sz w:val="24"/>
        </w:rPr>
        <w:t>U</w:t>
      </w:r>
      <w:r w:rsidR="00202BBE">
        <w:rPr>
          <w:rFonts w:cstheme="minorHAnsi"/>
          <w:b/>
          <w:sz w:val="24"/>
        </w:rPr>
        <w:t>se o</w:t>
      </w:r>
      <w:r w:rsidR="00255395">
        <w:rPr>
          <w:rFonts w:cstheme="minorHAnsi"/>
          <w:b/>
          <w:sz w:val="24"/>
        </w:rPr>
        <w:t>f Accessible Medical Diagnostic Equipment</w:t>
      </w:r>
      <w:r w:rsidRPr="006C1F61">
        <w:rPr>
          <w:rFonts w:cstheme="minorHAnsi"/>
          <w:b/>
          <w:sz w:val="24"/>
        </w:rPr>
        <w:t xml:space="preserve"> </w:t>
      </w:r>
      <w:r w:rsidR="00255395">
        <w:rPr>
          <w:rFonts w:cstheme="minorHAnsi"/>
          <w:b/>
          <w:sz w:val="24"/>
        </w:rPr>
        <w:t>as a Solution for Reducing</w:t>
      </w:r>
      <w:r w:rsidR="00533457">
        <w:rPr>
          <w:rFonts w:cstheme="minorHAnsi"/>
          <w:b/>
          <w:sz w:val="24"/>
        </w:rPr>
        <w:t xml:space="preserve"> Health Care Worker </w:t>
      </w:r>
      <w:r w:rsidR="00255395">
        <w:rPr>
          <w:rFonts w:cstheme="minorHAnsi"/>
          <w:b/>
          <w:sz w:val="24"/>
        </w:rPr>
        <w:t xml:space="preserve">and </w:t>
      </w:r>
      <w:r w:rsidR="00533457">
        <w:rPr>
          <w:rFonts w:cstheme="minorHAnsi"/>
          <w:b/>
          <w:sz w:val="24"/>
        </w:rPr>
        <w:t xml:space="preserve">Patient Injuries as well as </w:t>
      </w:r>
      <w:r w:rsidR="00255395">
        <w:rPr>
          <w:rFonts w:cstheme="minorHAnsi"/>
          <w:b/>
          <w:sz w:val="24"/>
        </w:rPr>
        <w:t>Related Costs</w:t>
      </w:r>
    </w:p>
    <w:p w14:paraId="1F3BF794" w14:textId="77777777" w:rsidR="00EB3782" w:rsidRPr="00EB3782" w:rsidRDefault="00EB3782" w:rsidP="00A46E1B">
      <w:pPr>
        <w:spacing w:after="0" w:line="240" w:lineRule="auto"/>
        <w:rPr>
          <w:rFonts w:cstheme="minorHAnsi"/>
          <w:b/>
          <w:sz w:val="12"/>
          <w:szCs w:val="12"/>
        </w:rPr>
      </w:pPr>
    </w:p>
    <w:p w14:paraId="419C0739" w14:textId="7CDBC74E" w:rsidR="004C039B" w:rsidRPr="00533457" w:rsidRDefault="004C039B" w:rsidP="00D50448">
      <w:pPr>
        <w:pStyle w:val="ListParagraph"/>
        <w:numPr>
          <w:ilvl w:val="0"/>
          <w:numId w:val="15"/>
        </w:numPr>
        <w:spacing w:after="0" w:line="240" w:lineRule="auto"/>
        <w:rPr>
          <w:rFonts w:cstheme="minorHAnsi"/>
          <w:b/>
          <w:sz w:val="24"/>
        </w:rPr>
      </w:pPr>
      <w:r w:rsidRPr="004C039B">
        <w:rPr>
          <w:rFonts w:cstheme="minorHAnsi"/>
          <w:sz w:val="24"/>
          <w:shd w:val="clear" w:color="auto" w:fill="FFFFFF"/>
        </w:rPr>
        <w:t>Accessible MDE significantly reduces risk in health-care workers’ most difficult, high-risk activities including transferring patients on</w:t>
      </w:r>
      <w:r w:rsidR="00EB3782">
        <w:rPr>
          <w:rFonts w:cstheme="minorHAnsi"/>
          <w:sz w:val="24"/>
          <w:shd w:val="clear" w:color="auto" w:fill="FFFFFF"/>
        </w:rPr>
        <w:t>to</w:t>
      </w:r>
      <w:r w:rsidRPr="004C039B">
        <w:rPr>
          <w:rFonts w:cstheme="minorHAnsi"/>
          <w:sz w:val="24"/>
          <w:shd w:val="clear" w:color="auto" w:fill="FFFFFF"/>
        </w:rPr>
        <w:t xml:space="preserve"> and </w:t>
      </w:r>
      <w:r w:rsidR="00EB3782" w:rsidRPr="004C039B">
        <w:rPr>
          <w:rFonts w:cstheme="minorHAnsi"/>
          <w:sz w:val="24"/>
          <w:shd w:val="clear" w:color="auto" w:fill="FFFFFF"/>
        </w:rPr>
        <w:t>off</w:t>
      </w:r>
      <w:r w:rsidRPr="004C039B">
        <w:rPr>
          <w:rFonts w:cstheme="minorHAnsi"/>
          <w:sz w:val="24"/>
          <w:shd w:val="clear" w:color="auto" w:fill="FFFFFF"/>
        </w:rPr>
        <w:t xml:space="preserve"> exam tables</w:t>
      </w:r>
      <w:r>
        <w:rPr>
          <w:rFonts w:cstheme="minorHAnsi"/>
          <w:sz w:val="24"/>
          <w:shd w:val="clear" w:color="auto" w:fill="FFFFFF"/>
        </w:rPr>
        <w:t>.</w:t>
      </w:r>
      <w:r>
        <w:rPr>
          <w:rStyle w:val="EndnoteReference"/>
          <w:rFonts w:cstheme="minorHAnsi"/>
          <w:sz w:val="24"/>
          <w:shd w:val="clear" w:color="auto" w:fill="FFFFFF"/>
        </w:rPr>
        <w:endnoteReference w:id="13"/>
      </w:r>
      <w:r w:rsidR="00533457">
        <w:rPr>
          <w:rFonts w:cstheme="minorHAnsi"/>
          <w:sz w:val="24"/>
          <w:shd w:val="clear" w:color="auto" w:fill="FFFFFF"/>
        </w:rPr>
        <w:t xml:space="preserve"> </w:t>
      </w:r>
      <w:r w:rsidR="00EB3782">
        <w:rPr>
          <w:rFonts w:cstheme="minorHAnsi"/>
          <w:sz w:val="24"/>
          <w:shd w:val="clear" w:color="auto" w:fill="FFFFFF"/>
        </w:rPr>
        <w:t xml:space="preserve"> </w:t>
      </w:r>
    </w:p>
    <w:p w14:paraId="50440F54" w14:textId="299EC279" w:rsidR="00533457" w:rsidRPr="004C039B" w:rsidRDefault="00533457" w:rsidP="00D50448">
      <w:pPr>
        <w:pStyle w:val="ListParagraph"/>
        <w:numPr>
          <w:ilvl w:val="1"/>
          <w:numId w:val="15"/>
        </w:numPr>
        <w:spacing w:after="0" w:line="240" w:lineRule="auto"/>
        <w:rPr>
          <w:rFonts w:cstheme="minorHAnsi"/>
          <w:b/>
          <w:sz w:val="24"/>
        </w:rPr>
      </w:pPr>
      <w:r>
        <w:rPr>
          <w:rFonts w:cstheme="minorHAnsi"/>
          <w:sz w:val="24"/>
          <w:shd w:val="clear" w:color="auto" w:fill="FFFFFF"/>
        </w:rPr>
        <w:t>This benefits providers by making patient lawsuits for mishandling or dropping individuals as they are transferred between medical equipment largely obsolete, while also minim</w:t>
      </w:r>
      <w:r w:rsidR="0019041B">
        <w:rPr>
          <w:rFonts w:cstheme="minorHAnsi"/>
          <w:sz w:val="24"/>
          <w:shd w:val="clear" w:color="auto" w:fill="FFFFFF"/>
        </w:rPr>
        <w:t>izing the costs of occupational injuries and lost work time.</w:t>
      </w:r>
      <w:r w:rsidR="0019041B" w:rsidRPr="008F587D">
        <w:rPr>
          <w:rStyle w:val="EndnoteReference"/>
          <w:rFonts w:cstheme="minorHAnsi"/>
          <w:sz w:val="24"/>
        </w:rPr>
        <w:t xml:space="preserve"> </w:t>
      </w:r>
      <w:r w:rsidR="0000085C">
        <w:rPr>
          <w:rStyle w:val="EndnoteReference"/>
          <w:rFonts w:cstheme="minorHAnsi"/>
          <w:sz w:val="24"/>
        </w:rPr>
        <w:endnoteReference w:id="14"/>
      </w:r>
    </w:p>
    <w:p w14:paraId="379FCA60" w14:textId="5C8E3D62" w:rsidR="0006685B" w:rsidRPr="00533457" w:rsidRDefault="00D229D1" w:rsidP="00D50448">
      <w:pPr>
        <w:pStyle w:val="ListParagraph"/>
        <w:numPr>
          <w:ilvl w:val="1"/>
          <w:numId w:val="15"/>
        </w:numPr>
        <w:spacing w:after="0" w:line="240" w:lineRule="auto"/>
        <w:rPr>
          <w:rFonts w:cstheme="minorHAnsi"/>
          <w:b/>
          <w:sz w:val="24"/>
        </w:rPr>
      </w:pPr>
      <w:r>
        <w:rPr>
          <w:rFonts w:cstheme="minorHAnsi"/>
          <w:sz w:val="24"/>
        </w:rPr>
        <w:t xml:space="preserve">In addition to </w:t>
      </w:r>
      <w:r w:rsidR="0006685B" w:rsidRPr="00533457">
        <w:rPr>
          <w:rFonts w:cstheme="minorHAnsi"/>
          <w:sz w:val="24"/>
        </w:rPr>
        <w:t xml:space="preserve">reducing </w:t>
      </w:r>
      <w:r w:rsidR="00A46E1B" w:rsidRPr="00533457">
        <w:rPr>
          <w:rFonts w:cstheme="minorHAnsi"/>
          <w:sz w:val="24"/>
        </w:rPr>
        <w:t>exertion required to transfer patients, as well as</w:t>
      </w:r>
      <w:r>
        <w:rPr>
          <w:rFonts w:cstheme="minorHAnsi"/>
          <w:sz w:val="24"/>
        </w:rPr>
        <w:t xml:space="preserve"> minimizing</w:t>
      </w:r>
      <w:r w:rsidR="00A46E1B" w:rsidRPr="00533457">
        <w:rPr>
          <w:rFonts w:cstheme="minorHAnsi"/>
          <w:sz w:val="24"/>
        </w:rPr>
        <w:t xml:space="preserve"> </w:t>
      </w:r>
      <w:r w:rsidR="0006685B" w:rsidRPr="00533457">
        <w:rPr>
          <w:rFonts w:cstheme="minorHAnsi"/>
          <w:sz w:val="24"/>
        </w:rPr>
        <w:t>injuries to nurses, orderlies and related health professionals,</w:t>
      </w:r>
      <w:r w:rsidR="0006685B" w:rsidRPr="00533457">
        <w:rPr>
          <w:rFonts w:cstheme="minorHAnsi"/>
          <w:b/>
          <w:sz w:val="24"/>
        </w:rPr>
        <w:t xml:space="preserve"> </w:t>
      </w:r>
      <w:r>
        <w:rPr>
          <w:rFonts w:cstheme="minorHAnsi"/>
          <w:sz w:val="24"/>
        </w:rPr>
        <w:t xml:space="preserve">utilizing accessible MDE has </w:t>
      </w:r>
      <w:r w:rsidR="00EB3782">
        <w:rPr>
          <w:rFonts w:cstheme="minorHAnsi"/>
          <w:sz w:val="24"/>
        </w:rPr>
        <w:t>also lowers</w:t>
      </w:r>
      <w:r w:rsidR="0006685B" w:rsidRPr="00533457">
        <w:rPr>
          <w:rFonts w:cstheme="minorHAnsi"/>
          <w:sz w:val="24"/>
        </w:rPr>
        <w:t xml:space="preserve"> workers</w:t>
      </w:r>
      <w:r w:rsidR="00A46E1B" w:rsidRPr="00533457">
        <w:rPr>
          <w:rFonts w:cstheme="minorHAnsi"/>
          <w:sz w:val="24"/>
        </w:rPr>
        <w:t>’ compensation and</w:t>
      </w:r>
      <w:r w:rsidR="0006685B" w:rsidRPr="00533457">
        <w:rPr>
          <w:rFonts w:cstheme="minorHAnsi"/>
          <w:sz w:val="24"/>
        </w:rPr>
        <w:t xml:space="preserve"> medical malpractic</w:t>
      </w:r>
      <w:r w:rsidR="00A46E1B" w:rsidRPr="00533457">
        <w:rPr>
          <w:rFonts w:cstheme="minorHAnsi"/>
          <w:sz w:val="24"/>
        </w:rPr>
        <w:t>e insurance</w:t>
      </w:r>
      <w:r w:rsidR="00EB3782">
        <w:rPr>
          <w:rFonts w:cstheme="minorHAnsi"/>
          <w:sz w:val="24"/>
        </w:rPr>
        <w:t xml:space="preserve"> claims</w:t>
      </w:r>
      <w:r w:rsidR="00A46E1B" w:rsidRPr="00533457">
        <w:rPr>
          <w:rFonts w:cstheme="minorHAnsi"/>
          <w:sz w:val="24"/>
        </w:rPr>
        <w:t>.</w:t>
      </w:r>
      <w:r w:rsidR="00EB3782">
        <w:rPr>
          <w:rFonts w:cstheme="minorHAnsi"/>
          <w:sz w:val="24"/>
        </w:rPr>
        <w:t xml:space="preserve"> This lowers cost</w:t>
      </w:r>
      <w:r w:rsidR="0006685B" w:rsidRPr="00533457">
        <w:rPr>
          <w:rFonts w:cstheme="minorHAnsi"/>
          <w:sz w:val="24"/>
        </w:rPr>
        <w:t xml:space="preserve"> because insurance companies will </w:t>
      </w:r>
      <w:r w:rsidR="00EB3782">
        <w:rPr>
          <w:rFonts w:cstheme="minorHAnsi"/>
          <w:sz w:val="24"/>
        </w:rPr>
        <w:t>reduce</w:t>
      </w:r>
      <w:r w:rsidR="0006685B" w:rsidRPr="00533457">
        <w:rPr>
          <w:rFonts w:cstheme="minorHAnsi"/>
          <w:sz w:val="24"/>
        </w:rPr>
        <w:t xml:space="preserve"> rates if there is a r</w:t>
      </w:r>
      <w:r w:rsidR="00195F1E" w:rsidRPr="00533457">
        <w:rPr>
          <w:rFonts w:cstheme="minorHAnsi"/>
          <w:sz w:val="24"/>
        </w:rPr>
        <w:t>eduction in injuries and injury-</w:t>
      </w:r>
      <w:r w:rsidR="0006685B" w:rsidRPr="00533457">
        <w:rPr>
          <w:rFonts w:cstheme="minorHAnsi"/>
          <w:sz w:val="24"/>
        </w:rPr>
        <w:t>inducing activities.</w:t>
      </w:r>
      <w:r w:rsidR="00195F1E">
        <w:rPr>
          <w:rStyle w:val="EndnoteReference"/>
          <w:rFonts w:cstheme="minorHAnsi"/>
          <w:sz w:val="24"/>
        </w:rPr>
        <w:endnoteReference w:id="15"/>
      </w:r>
    </w:p>
    <w:p w14:paraId="18954680" w14:textId="403B039F" w:rsidR="000004E1" w:rsidRPr="0019041B" w:rsidRDefault="000004E1" w:rsidP="00D50448">
      <w:pPr>
        <w:pStyle w:val="ListParagraph"/>
        <w:numPr>
          <w:ilvl w:val="0"/>
          <w:numId w:val="2"/>
        </w:numPr>
        <w:spacing w:after="0" w:line="240" w:lineRule="auto"/>
        <w:textAlignment w:val="baseline"/>
        <w:rPr>
          <w:rFonts w:cstheme="minorHAnsi"/>
          <w:spacing w:val="6"/>
          <w:sz w:val="24"/>
        </w:rPr>
      </w:pPr>
      <w:r w:rsidRPr="0019041B">
        <w:rPr>
          <w:rFonts w:cstheme="minorHAnsi"/>
          <w:sz w:val="24"/>
        </w:rPr>
        <w:t xml:space="preserve">Due to multiple occupational health </w:t>
      </w:r>
      <w:r w:rsidR="00B65B1C">
        <w:rPr>
          <w:rFonts w:cstheme="minorHAnsi"/>
          <w:sz w:val="24"/>
        </w:rPr>
        <w:t xml:space="preserve">findings </w:t>
      </w:r>
      <w:r w:rsidRPr="0019041B">
        <w:rPr>
          <w:rFonts w:cstheme="minorHAnsi"/>
          <w:sz w:val="24"/>
        </w:rPr>
        <w:t>and surveys of its own membership, the American Nursing Association (ANA) has considered</w:t>
      </w:r>
      <w:r w:rsidR="00EB3782">
        <w:rPr>
          <w:rFonts w:cstheme="minorHAnsi"/>
          <w:sz w:val="24"/>
        </w:rPr>
        <w:t xml:space="preserve"> manual</w:t>
      </w:r>
      <w:r w:rsidRPr="0019041B">
        <w:rPr>
          <w:rFonts w:cstheme="minorHAnsi"/>
          <w:sz w:val="24"/>
        </w:rPr>
        <w:t xml:space="preserve"> lifting</w:t>
      </w:r>
      <w:r w:rsidR="00EB3782">
        <w:rPr>
          <w:rFonts w:cstheme="minorHAnsi"/>
          <w:sz w:val="24"/>
        </w:rPr>
        <w:t xml:space="preserve"> and moving</w:t>
      </w:r>
      <w:r w:rsidRPr="0019041B">
        <w:rPr>
          <w:rFonts w:cstheme="minorHAnsi"/>
          <w:sz w:val="24"/>
        </w:rPr>
        <w:t xml:space="preserve"> patients unsafe since 2003</w:t>
      </w:r>
      <w:r w:rsidR="009D5887">
        <w:rPr>
          <w:rFonts w:cstheme="minorHAnsi"/>
          <w:sz w:val="24"/>
        </w:rPr>
        <w:t>, and advocated for their elimination</w:t>
      </w:r>
      <w:r w:rsidRPr="0019041B">
        <w:rPr>
          <w:rFonts w:cstheme="minorHAnsi"/>
          <w:sz w:val="24"/>
        </w:rPr>
        <w:t>.</w:t>
      </w:r>
      <w:r w:rsidR="009D5887" w:rsidRPr="009D5887">
        <w:rPr>
          <w:rStyle w:val="EndnoteReference"/>
          <w:rFonts w:cstheme="minorHAnsi"/>
          <w:sz w:val="24"/>
          <w:lang w:val="en-GB"/>
        </w:rPr>
        <w:t xml:space="preserve"> </w:t>
      </w:r>
      <w:r w:rsidR="009D5887">
        <w:rPr>
          <w:rStyle w:val="EndnoteReference"/>
          <w:rFonts w:cstheme="minorHAnsi"/>
          <w:sz w:val="24"/>
          <w:lang w:val="en-GB"/>
        </w:rPr>
        <w:endnoteReference w:id="16"/>
      </w:r>
    </w:p>
    <w:p w14:paraId="19064317" w14:textId="1D15565A" w:rsidR="00722ABD" w:rsidRPr="00705003" w:rsidRDefault="00EB3782" w:rsidP="00D50448">
      <w:pPr>
        <w:pStyle w:val="ListParagraph"/>
        <w:numPr>
          <w:ilvl w:val="1"/>
          <w:numId w:val="2"/>
        </w:numPr>
        <w:spacing w:after="0" w:line="240" w:lineRule="auto"/>
        <w:textAlignment w:val="baseline"/>
        <w:rPr>
          <w:rFonts w:cstheme="minorHAnsi"/>
          <w:spacing w:val="6"/>
          <w:sz w:val="24"/>
        </w:rPr>
      </w:pPr>
      <w:r>
        <w:rPr>
          <w:rFonts w:cstheme="minorHAnsi"/>
          <w:sz w:val="24"/>
          <w:lang w:val="en-GB"/>
        </w:rPr>
        <w:t xml:space="preserve">Per </w:t>
      </w:r>
      <w:r w:rsidR="000004E1">
        <w:rPr>
          <w:rFonts w:cstheme="minorHAnsi"/>
          <w:sz w:val="24"/>
        </w:rPr>
        <w:t xml:space="preserve">an ANA Survey, </w:t>
      </w:r>
      <w:r w:rsidR="000004E1">
        <w:rPr>
          <w:rFonts w:cstheme="minorHAnsi"/>
          <w:sz w:val="24"/>
          <w:lang w:val="en-GB"/>
        </w:rPr>
        <w:t xml:space="preserve">42% of </w:t>
      </w:r>
      <w:r w:rsidR="00722ABD" w:rsidRPr="008F587D">
        <w:rPr>
          <w:rFonts w:cstheme="minorHAnsi"/>
          <w:sz w:val="24"/>
          <w:lang w:val="en-GB"/>
        </w:rPr>
        <w:t>nurses said their responsibilities include lifting or repositioning</w:t>
      </w:r>
      <w:r w:rsidR="001E67DF">
        <w:rPr>
          <w:rFonts w:cstheme="minorHAnsi"/>
          <w:sz w:val="24"/>
          <w:lang w:val="en-GB"/>
        </w:rPr>
        <w:t xml:space="preserve"> patients or heavy equipment</w:t>
      </w:r>
      <w:r>
        <w:rPr>
          <w:rFonts w:cstheme="minorHAnsi"/>
          <w:sz w:val="24"/>
          <w:lang w:val="en-GB"/>
        </w:rPr>
        <w:t xml:space="preserve">. This creates a work-environment safety risk. </w:t>
      </w:r>
      <w:r w:rsidR="009D5887">
        <w:rPr>
          <w:rFonts w:cstheme="minorHAnsi"/>
          <w:sz w:val="24"/>
          <w:lang w:val="en-GB"/>
        </w:rPr>
        <w:t xml:space="preserve">Also </w:t>
      </w:r>
      <w:r w:rsidR="00722ABD" w:rsidRPr="008F587D">
        <w:rPr>
          <w:rFonts w:cstheme="minorHAnsi"/>
          <w:sz w:val="24"/>
          <w:lang w:val="en-GB"/>
        </w:rPr>
        <w:t>51 %</w:t>
      </w:r>
      <w:r w:rsidR="009D5887">
        <w:rPr>
          <w:rFonts w:cstheme="minorHAnsi"/>
          <w:sz w:val="24"/>
          <w:lang w:val="en-GB"/>
        </w:rPr>
        <w:t xml:space="preserve"> of nurses</w:t>
      </w:r>
      <w:r w:rsidR="00722ABD" w:rsidRPr="008F587D">
        <w:rPr>
          <w:rFonts w:cstheme="minorHAnsi"/>
          <w:sz w:val="24"/>
          <w:lang w:val="en-GB"/>
        </w:rPr>
        <w:t xml:space="preserve"> reported </w:t>
      </w:r>
      <w:r w:rsidR="009D5887">
        <w:rPr>
          <w:rFonts w:cstheme="minorHAnsi"/>
          <w:sz w:val="24"/>
          <w:lang w:val="en-GB"/>
        </w:rPr>
        <w:t xml:space="preserve">having </w:t>
      </w:r>
      <w:r w:rsidR="00722ABD" w:rsidRPr="008F587D">
        <w:rPr>
          <w:rFonts w:cstheme="minorHAnsi"/>
          <w:sz w:val="24"/>
          <w:lang w:val="en-GB"/>
        </w:rPr>
        <w:t>musculoskelet</w:t>
      </w:r>
      <w:r w:rsidR="00255395">
        <w:rPr>
          <w:rFonts w:cstheme="minorHAnsi"/>
          <w:sz w:val="24"/>
          <w:lang w:val="en-GB"/>
        </w:rPr>
        <w:t>al pain at work.</w:t>
      </w:r>
      <w:r w:rsidR="00255395">
        <w:rPr>
          <w:rStyle w:val="EndnoteReference"/>
          <w:rFonts w:cstheme="minorHAnsi"/>
          <w:sz w:val="24"/>
          <w:lang w:val="en-GB"/>
        </w:rPr>
        <w:endnoteReference w:id="17"/>
      </w:r>
      <w:r w:rsidR="00722ABD" w:rsidRPr="008F587D">
        <w:rPr>
          <w:rFonts w:cstheme="minorHAnsi"/>
          <w:sz w:val="24"/>
          <w:lang w:val="en-GB"/>
        </w:rPr>
        <w:t xml:space="preserve"> </w:t>
      </w:r>
    </w:p>
    <w:p w14:paraId="570CF912" w14:textId="7A149FCB" w:rsidR="00B65B1C" w:rsidRDefault="009D5887" w:rsidP="00D50448">
      <w:pPr>
        <w:pStyle w:val="ListParagraph"/>
        <w:numPr>
          <w:ilvl w:val="1"/>
          <w:numId w:val="2"/>
        </w:numPr>
        <w:spacing w:after="0" w:line="240" w:lineRule="auto"/>
        <w:rPr>
          <w:rFonts w:cstheme="minorHAnsi"/>
          <w:sz w:val="24"/>
        </w:rPr>
      </w:pPr>
      <w:r>
        <w:rPr>
          <w:rFonts w:cstheme="minorHAnsi"/>
          <w:sz w:val="24"/>
        </w:rPr>
        <w:t>Nurses</w:t>
      </w:r>
      <w:r w:rsidR="00722ABD" w:rsidRPr="008F587D">
        <w:rPr>
          <w:rFonts w:cstheme="minorHAnsi"/>
          <w:sz w:val="24"/>
        </w:rPr>
        <w:t xml:space="preserve"> </w:t>
      </w:r>
      <w:r>
        <w:rPr>
          <w:rFonts w:cstheme="minorHAnsi"/>
          <w:sz w:val="24"/>
        </w:rPr>
        <w:t>have a higher incidence rate</w:t>
      </w:r>
      <w:r w:rsidR="00705003">
        <w:rPr>
          <w:rFonts w:cstheme="minorHAnsi"/>
          <w:sz w:val="24"/>
        </w:rPr>
        <w:t xml:space="preserve"> of worker compensation claims for</w:t>
      </w:r>
      <w:r w:rsidR="00705003" w:rsidRPr="008F587D">
        <w:rPr>
          <w:rFonts w:cstheme="minorHAnsi"/>
          <w:sz w:val="24"/>
        </w:rPr>
        <w:t xml:space="preserve"> </w:t>
      </w:r>
      <w:r w:rsidR="00722ABD" w:rsidRPr="008F587D">
        <w:rPr>
          <w:rFonts w:cstheme="minorHAnsi"/>
          <w:sz w:val="24"/>
        </w:rPr>
        <w:t>back injuries</w:t>
      </w:r>
      <w:r w:rsidR="00705003">
        <w:rPr>
          <w:rFonts w:cstheme="minorHAnsi"/>
          <w:sz w:val="24"/>
        </w:rPr>
        <w:t xml:space="preserve"> </w:t>
      </w:r>
      <w:r>
        <w:rPr>
          <w:rFonts w:cstheme="minorHAnsi"/>
          <w:sz w:val="24"/>
        </w:rPr>
        <w:t xml:space="preserve">than all other occupations </w:t>
      </w:r>
      <w:r w:rsidR="00705003">
        <w:rPr>
          <w:rFonts w:cstheme="minorHAnsi"/>
          <w:sz w:val="24"/>
        </w:rPr>
        <w:t>– costing</w:t>
      </w:r>
      <w:r w:rsidR="006E4400">
        <w:rPr>
          <w:rFonts w:cstheme="minorHAnsi"/>
          <w:sz w:val="24"/>
        </w:rPr>
        <w:t xml:space="preserve"> employers</w:t>
      </w:r>
      <w:r w:rsidR="00705003">
        <w:rPr>
          <w:rFonts w:cstheme="minorHAnsi"/>
          <w:sz w:val="24"/>
        </w:rPr>
        <w:t xml:space="preserve"> </w:t>
      </w:r>
      <w:r w:rsidR="00722ABD" w:rsidRPr="008F587D">
        <w:rPr>
          <w:rFonts w:cstheme="minorHAnsi"/>
          <w:sz w:val="24"/>
        </w:rPr>
        <w:t xml:space="preserve">an estimated $16 </w:t>
      </w:r>
      <w:r w:rsidR="00023D5B">
        <w:rPr>
          <w:rFonts w:cstheme="minorHAnsi"/>
          <w:sz w:val="24"/>
        </w:rPr>
        <w:t>b</w:t>
      </w:r>
      <w:r w:rsidR="00722ABD" w:rsidRPr="008F587D">
        <w:rPr>
          <w:rFonts w:cstheme="minorHAnsi"/>
          <w:sz w:val="24"/>
        </w:rPr>
        <w:t xml:space="preserve">illion </w:t>
      </w:r>
      <w:r w:rsidR="00705003">
        <w:rPr>
          <w:rFonts w:cstheme="minorHAnsi"/>
          <w:sz w:val="24"/>
        </w:rPr>
        <w:t>annually in</w:t>
      </w:r>
      <w:r w:rsidR="00722ABD" w:rsidRPr="008F587D">
        <w:rPr>
          <w:rFonts w:cstheme="minorHAnsi"/>
          <w:sz w:val="24"/>
        </w:rPr>
        <w:t xml:space="preserve"> benefits. Medical treatment, lost workdays, “light duty” and employee turnover cost the ind</w:t>
      </w:r>
      <w:r>
        <w:rPr>
          <w:rFonts w:cstheme="minorHAnsi"/>
          <w:sz w:val="24"/>
        </w:rPr>
        <w:t>ustry an additional $10 billion</w:t>
      </w:r>
      <w:r w:rsidR="00722ABD" w:rsidRPr="008F587D">
        <w:rPr>
          <w:rFonts w:cstheme="minorHAnsi"/>
          <w:sz w:val="24"/>
        </w:rPr>
        <w:t>.</w:t>
      </w:r>
      <w:r w:rsidR="000004E1">
        <w:rPr>
          <w:rStyle w:val="EndnoteReference"/>
          <w:rFonts w:cstheme="minorHAnsi"/>
          <w:sz w:val="24"/>
        </w:rPr>
        <w:endnoteReference w:id="18"/>
      </w:r>
    </w:p>
    <w:p w14:paraId="20487B1C" w14:textId="69FD040F" w:rsidR="00722ABD" w:rsidRPr="00B65B1C" w:rsidRDefault="00722ABD" w:rsidP="00D50448">
      <w:pPr>
        <w:pStyle w:val="ListParagraph"/>
        <w:numPr>
          <w:ilvl w:val="1"/>
          <w:numId w:val="2"/>
        </w:numPr>
        <w:spacing w:after="0" w:line="240" w:lineRule="auto"/>
        <w:rPr>
          <w:rFonts w:cstheme="minorHAnsi"/>
          <w:sz w:val="24"/>
        </w:rPr>
      </w:pPr>
      <w:r w:rsidRPr="00B65B1C">
        <w:rPr>
          <w:rFonts w:cstheme="minorHAnsi"/>
          <w:sz w:val="24"/>
        </w:rPr>
        <w:t>Overexertion injuries involving outside sources (e.g. injuries related to lifting, pushing, pulling, holding, carrying, or throwing)</w:t>
      </w:r>
      <w:r w:rsidR="002E1CBC">
        <w:rPr>
          <w:rFonts w:cstheme="minorHAnsi"/>
          <w:sz w:val="24"/>
        </w:rPr>
        <w:t xml:space="preserve"> in all occupations cost</w:t>
      </w:r>
      <w:r w:rsidR="00202BBE" w:rsidRPr="00B65B1C">
        <w:rPr>
          <w:rFonts w:cstheme="minorHAnsi"/>
          <w:sz w:val="24"/>
        </w:rPr>
        <w:t xml:space="preserve"> </w:t>
      </w:r>
      <w:r w:rsidR="002E1CBC" w:rsidRPr="00B65B1C">
        <w:rPr>
          <w:rFonts w:cstheme="minorHAnsi"/>
          <w:sz w:val="24"/>
        </w:rPr>
        <w:t xml:space="preserve">employers </w:t>
      </w:r>
      <w:r w:rsidR="00202BBE" w:rsidRPr="00B65B1C">
        <w:rPr>
          <w:rFonts w:cstheme="minorHAnsi"/>
          <w:sz w:val="24"/>
        </w:rPr>
        <w:t>$15.08 billion in workers’</w:t>
      </w:r>
      <w:r w:rsidR="002E1CBC">
        <w:rPr>
          <w:rFonts w:cstheme="minorHAnsi"/>
          <w:sz w:val="24"/>
        </w:rPr>
        <w:t xml:space="preserve"> compensation</w:t>
      </w:r>
      <w:r w:rsidRPr="00B65B1C">
        <w:rPr>
          <w:rFonts w:cstheme="minorHAnsi"/>
          <w:sz w:val="24"/>
        </w:rPr>
        <w:t xml:space="preserve"> (24.4% of US total). </w:t>
      </w:r>
      <w:r w:rsidR="008E4AF2">
        <w:rPr>
          <w:rStyle w:val="EndnoteReference"/>
          <w:rFonts w:cstheme="minorHAnsi"/>
          <w:sz w:val="24"/>
        </w:rPr>
        <w:endnoteReference w:id="19"/>
      </w:r>
    </w:p>
    <w:p w14:paraId="167F4DA1" w14:textId="2AE499E9" w:rsidR="00722ABD" w:rsidRPr="008F587D" w:rsidRDefault="00722ABD" w:rsidP="00D50448">
      <w:pPr>
        <w:pStyle w:val="ListParagraph"/>
        <w:numPr>
          <w:ilvl w:val="0"/>
          <w:numId w:val="4"/>
        </w:numPr>
        <w:spacing w:after="0" w:line="240" w:lineRule="auto"/>
        <w:rPr>
          <w:rFonts w:cstheme="minorHAnsi"/>
          <w:sz w:val="24"/>
        </w:rPr>
      </w:pPr>
      <w:r w:rsidRPr="008F587D">
        <w:rPr>
          <w:rFonts w:cstheme="minorHAnsi"/>
          <w:sz w:val="24"/>
        </w:rPr>
        <w:t>According to</w:t>
      </w:r>
      <w:r w:rsidR="00AB75C2">
        <w:rPr>
          <w:rFonts w:cstheme="minorHAnsi"/>
          <w:sz w:val="24"/>
        </w:rPr>
        <w:t xml:space="preserve"> national surveys by the </w:t>
      </w:r>
      <w:r w:rsidRPr="008F587D">
        <w:rPr>
          <w:rFonts w:cstheme="minorHAnsi"/>
          <w:sz w:val="24"/>
        </w:rPr>
        <w:t>Bureau of Labor Statistics (BLS):</w:t>
      </w:r>
    </w:p>
    <w:p w14:paraId="2CD1DF19" w14:textId="58459ABA" w:rsidR="00722ABD" w:rsidRPr="008F587D" w:rsidRDefault="004C404E" w:rsidP="00D50448">
      <w:pPr>
        <w:pStyle w:val="ListParagraph"/>
        <w:numPr>
          <w:ilvl w:val="0"/>
          <w:numId w:val="5"/>
        </w:numPr>
        <w:spacing w:after="0" w:line="240" w:lineRule="auto"/>
        <w:rPr>
          <w:rFonts w:cstheme="minorHAnsi"/>
          <w:sz w:val="24"/>
        </w:rPr>
      </w:pPr>
      <w:r>
        <w:rPr>
          <w:rFonts w:cstheme="minorHAnsi"/>
          <w:sz w:val="24"/>
        </w:rPr>
        <w:t>Among nursing employees</w:t>
      </w:r>
      <w:r w:rsidR="00722ABD" w:rsidRPr="008F587D">
        <w:rPr>
          <w:rFonts w:cstheme="minorHAnsi"/>
          <w:sz w:val="24"/>
        </w:rPr>
        <w:t>,</w:t>
      </w:r>
      <w:r>
        <w:rPr>
          <w:rFonts w:cstheme="minorHAnsi"/>
          <w:sz w:val="24"/>
        </w:rPr>
        <w:t xml:space="preserve"> in 2013,</w:t>
      </w:r>
      <w:r w:rsidR="00722ABD" w:rsidRPr="008F587D">
        <w:rPr>
          <w:rFonts w:cstheme="minorHAnsi"/>
          <w:sz w:val="24"/>
        </w:rPr>
        <w:t xml:space="preserve"> there were over 35,000 back and o</w:t>
      </w:r>
      <w:r>
        <w:rPr>
          <w:rFonts w:cstheme="minorHAnsi"/>
          <w:sz w:val="24"/>
        </w:rPr>
        <w:t xml:space="preserve">ther injuries </w:t>
      </w:r>
      <w:r w:rsidR="00722ABD" w:rsidRPr="008F587D">
        <w:rPr>
          <w:rFonts w:cstheme="minorHAnsi"/>
          <w:sz w:val="24"/>
        </w:rPr>
        <w:t>seve</w:t>
      </w:r>
      <w:r>
        <w:rPr>
          <w:rFonts w:cstheme="minorHAnsi"/>
          <w:sz w:val="24"/>
        </w:rPr>
        <w:t>re enough to cause missed work.</w:t>
      </w:r>
      <w:r w:rsidR="00722ABD" w:rsidRPr="008F587D">
        <w:rPr>
          <w:rFonts w:cstheme="minorHAnsi"/>
          <w:sz w:val="24"/>
        </w:rPr>
        <w:t xml:space="preserve"> Health related profes</w:t>
      </w:r>
      <w:r>
        <w:rPr>
          <w:rFonts w:cstheme="minorHAnsi"/>
          <w:sz w:val="24"/>
        </w:rPr>
        <w:t>sions comprise four of the top eight and two of the top three</w:t>
      </w:r>
      <w:r w:rsidR="00722ABD" w:rsidRPr="008F587D">
        <w:rPr>
          <w:rFonts w:cstheme="minorHAnsi"/>
          <w:sz w:val="24"/>
        </w:rPr>
        <w:t xml:space="preserve"> categories of employees with musculoskeletal injuries.</w:t>
      </w:r>
      <w:r w:rsidR="008E4AF2">
        <w:rPr>
          <w:rStyle w:val="EndnoteReference"/>
          <w:rFonts w:cstheme="minorHAnsi"/>
          <w:sz w:val="24"/>
        </w:rPr>
        <w:endnoteReference w:id="20"/>
      </w:r>
    </w:p>
    <w:p w14:paraId="4AABAC06" w14:textId="1E2AE92D" w:rsidR="00722ABD" w:rsidRPr="005D1C05" w:rsidRDefault="00722ABD" w:rsidP="00D50448">
      <w:pPr>
        <w:pStyle w:val="ListParagraph"/>
        <w:numPr>
          <w:ilvl w:val="0"/>
          <w:numId w:val="5"/>
        </w:numPr>
        <w:spacing w:after="0" w:line="240" w:lineRule="auto"/>
        <w:rPr>
          <w:rFonts w:cstheme="minorHAnsi"/>
          <w:sz w:val="24"/>
        </w:rPr>
      </w:pPr>
      <w:r w:rsidRPr="008F587D">
        <w:rPr>
          <w:rFonts w:cstheme="minorHAnsi"/>
          <w:sz w:val="24"/>
        </w:rPr>
        <w:t xml:space="preserve">In 2015, health care/ social assistance was the </w:t>
      </w:r>
      <w:r w:rsidR="00D229D1">
        <w:rPr>
          <w:rFonts w:cstheme="minorHAnsi"/>
          <w:sz w:val="24"/>
        </w:rPr>
        <w:t>private-</w:t>
      </w:r>
      <w:r w:rsidRPr="008F587D">
        <w:rPr>
          <w:rFonts w:cstheme="minorHAnsi"/>
          <w:sz w:val="24"/>
        </w:rPr>
        <w:t>sector</w:t>
      </w:r>
      <w:r w:rsidR="00D229D1">
        <w:rPr>
          <w:rFonts w:cstheme="minorHAnsi"/>
          <w:sz w:val="24"/>
        </w:rPr>
        <w:t xml:space="preserve"> category</w:t>
      </w:r>
      <w:r w:rsidRPr="008F587D">
        <w:rPr>
          <w:rFonts w:cstheme="minorHAnsi"/>
          <w:sz w:val="24"/>
        </w:rPr>
        <w:t xml:space="preserve"> with the most lost work days (158,410)</w:t>
      </w:r>
      <w:r w:rsidR="005D1C05">
        <w:rPr>
          <w:rFonts w:cstheme="minorHAnsi"/>
          <w:sz w:val="24"/>
        </w:rPr>
        <w:t xml:space="preserve">, with a 43% incidence rate for </w:t>
      </w:r>
      <w:r w:rsidRPr="008F587D">
        <w:rPr>
          <w:rFonts w:cstheme="minorHAnsi"/>
          <w:sz w:val="24"/>
        </w:rPr>
        <w:t>muscular-skeletal injuries</w:t>
      </w:r>
      <w:r w:rsidR="004C404E">
        <w:rPr>
          <w:rFonts w:cstheme="minorHAnsi"/>
          <w:sz w:val="24"/>
        </w:rPr>
        <w:t>,</w:t>
      </w:r>
      <w:r w:rsidR="005D1C05">
        <w:rPr>
          <w:rFonts w:cstheme="minorHAnsi"/>
          <w:sz w:val="24"/>
        </w:rPr>
        <w:t xml:space="preserve"> and 12% for overexertion in lifting and lowering. The latter is closely associated with transferring individuals on</w:t>
      </w:r>
      <w:r w:rsidR="00D229D1">
        <w:rPr>
          <w:rFonts w:cstheme="minorHAnsi"/>
          <w:sz w:val="24"/>
        </w:rPr>
        <w:t>to</w:t>
      </w:r>
      <w:r w:rsidR="005D1C05">
        <w:rPr>
          <w:rFonts w:cstheme="minorHAnsi"/>
          <w:sz w:val="24"/>
        </w:rPr>
        <w:t xml:space="preserve"> and off of medical equipment. </w:t>
      </w:r>
      <w:r w:rsidR="004C404E">
        <w:rPr>
          <w:rFonts w:cstheme="minorHAnsi"/>
          <w:sz w:val="24"/>
        </w:rPr>
        <w:t xml:space="preserve"> </w:t>
      </w:r>
      <w:r w:rsidR="00D229D1">
        <w:rPr>
          <w:rFonts w:cstheme="minorHAnsi"/>
          <w:sz w:val="24"/>
        </w:rPr>
        <w:t xml:space="preserve"> Nursing assistants experienced over</w:t>
      </w:r>
      <w:r w:rsidRPr="005D1C05">
        <w:rPr>
          <w:rFonts w:cstheme="minorHAnsi"/>
          <w:sz w:val="24"/>
        </w:rPr>
        <w:t xml:space="preserve"> 16,860 muscular-skeletal injuries</w:t>
      </w:r>
      <w:r w:rsidR="00D229D1">
        <w:rPr>
          <w:rFonts w:cstheme="minorHAnsi"/>
          <w:sz w:val="24"/>
        </w:rPr>
        <w:t xml:space="preserve"> – more </w:t>
      </w:r>
      <w:r w:rsidR="009D5887">
        <w:rPr>
          <w:rFonts w:cstheme="minorHAnsi"/>
          <w:sz w:val="24"/>
        </w:rPr>
        <w:t>than</w:t>
      </w:r>
      <w:r w:rsidRPr="005D1C05">
        <w:rPr>
          <w:rFonts w:cstheme="minorHAnsi"/>
          <w:sz w:val="24"/>
        </w:rPr>
        <w:t xml:space="preserve"> 5</w:t>
      </w:r>
      <w:r w:rsidR="00D57622">
        <w:rPr>
          <w:rFonts w:cstheme="minorHAnsi"/>
          <w:sz w:val="24"/>
        </w:rPr>
        <w:t>% of the private-sector total.</w:t>
      </w:r>
      <w:r w:rsidR="005D1C05">
        <w:rPr>
          <w:rFonts w:cstheme="minorHAnsi"/>
          <w:sz w:val="24"/>
        </w:rPr>
        <w:t xml:space="preserve"> </w:t>
      </w:r>
      <w:r w:rsidR="005D1C05">
        <w:rPr>
          <w:rStyle w:val="EndnoteReference"/>
          <w:rFonts w:cstheme="minorHAnsi"/>
          <w:sz w:val="24"/>
        </w:rPr>
        <w:endnoteReference w:id="21"/>
      </w:r>
    </w:p>
    <w:p w14:paraId="0F47931C" w14:textId="097D2765" w:rsidR="00722ABD" w:rsidRPr="006007BE" w:rsidRDefault="00722ABD" w:rsidP="006007BE">
      <w:pPr>
        <w:pStyle w:val="ListParagraph"/>
        <w:numPr>
          <w:ilvl w:val="0"/>
          <w:numId w:val="14"/>
        </w:numPr>
        <w:spacing w:after="0" w:line="240" w:lineRule="auto"/>
        <w:rPr>
          <w:rFonts w:cstheme="minorHAnsi"/>
          <w:b/>
          <w:sz w:val="24"/>
        </w:rPr>
      </w:pPr>
      <w:r w:rsidRPr="00244525">
        <w:rPr>
          <w:rFonts w:cstheme="minorHAnsi"/>
          <w:sz w:val="24"/>
          <w:shd w:val="clear" w:color="auto" w:fill="FFFFFF"/>
        </w:rPr>
        <w:t>The National</w:t>
      </w:r>
      <w:r w:rsidRPr="00244525">
        <w:rPr>
          <w:sz w:val="24"/>
        </w:rPr>
        <w:t xml:space="preserve"> </w:t>
      </w:r>
      <w:r w:rsidRPr="00244525">
        <w:rPr>
          <w:rFonts w:cstheme="minorHAnsi"/>
          <w:sz w:val="24"/>
          <w:shd w:val="clear" w:color="auto" w:fill="FFFFFF"/>
        </w:rPr>
        <w:t>Institute for Occupational Safety and Health reported that there are 75 lifting-related injuries for every 10,000 full-time hospital workers, and 107 injuries for every 10,000 workers at nursing h</w:t>
      </w:r>
      <w:r w:rsidR="006007BE">
        <w:rPr>
          <w:rFonts w:cstheme="minorHAnsi"/>
          <w:sz w:val="24"/>
          <w:shd w:val="clear" w:color="auto" w:fill="FFFFFF"/>
        </w:rPr>
        <w:t>omes and residential facilities</w:t>
      </w:r>
      <w:r w:rsidRPr="006007BE">
        <w:rPr>
          <w:rFonts w:cstheme="minorHAnsi"/>
          <w:sz w:val="24"/>
          <w:shd w:val="clear" w:color="auto" w:fill="FFFFFF"/>
        </w:rPr>
        <w:t>.</w:t>
      </w:r>
      <w:r w:rsidRPr="006007BE">
        <w:rPr>
          <w:rStyle w:val="EndnoteReference"/>
          <w:rFonts w:cstheme="minorHAnsi"/>
          <w:sz w:val="24"/>
          <w:shd w:val="clear" w:color="auto" w:fill="FFFFFF"/>
        </w:rPr>
        <w:t xml:space="preserve"> </w:t>
      </w:r>
    </w:p>
    <w:p w14:paraId="215CF27C" w14:textId="224EF753" w:rsidR="006007BE" w:rsidRDefault="006007BE" w:rsidP="006007BE">
      <w:pPr>
        <w:spacing w:after="0" w:line="240" w:lineRule="auto"/>
        <w:rPr>
          <w:rFonts w:cstheme="minorHAnsi"/>
          <w:b/>
          <w:sz w:val="24"/>
        </w:rPr>
      </w:pPr>
    </w:p>
    <w:p w14:paraId="4A72E5BF" w14:textId="77777777" w:rsidR="006007BE" w:rsidRPr="006007BE" w:rsidRDefault="006007BE" w:rsidP="006007BE">
      <w:pPr>
        <w:spacing w:after="0" w:line="240" w:lineRule="auto"/>
        <w:rPr>
          <w:rFonts w:cstheme="minorHAnsi"/>
          <w:b/>
          <w:sz w:val="24"/>
        </w:rPr>
      </w:pPr>
    </w:p>
    <w:p w14:paraId="7A541E0D" w14:textId="77777777" w:rsidR="00621E72" w:rsidRPr="0006685B" w:rsidRDefault="00621E72" w:rsidP="0006685B">
      <w:pPr>
        <w:spacing w:after="0" w:line="240" w:lineRule="auto"/>
        <w:ind w:left="360"/>
        <w:rPr>
          <w:rFonts w:cstheme="minorHAnsi"/>
          <w:sz w:val="24"/>
        </w:rPr>
      </w:pPr>
    </w:p>
    <w:p w14:paraId="46318D51" w14:textId="74F6D7B4" w:rsidR="00C36C8E" w:rsidRPr="00621E72" w:rsidRDefault="00D57622" w:rsidP="00FE3687">
      <w:pPr>
        <w:spacing w:after="0" w:line="240" w:lineRule="auto"/>
        <w:rPr>
          <w:rFonts w:cstheme="minorHAnsi"/>
          <w:b/>
          <w:sz w:val="24"/>
        </w:rPr>
      </w:pPr>
      <w:r>
        <w:rPr>
          <w:rFonts w:cstheme="minorHAnsi"/>
          <w:b/>
          <w:sz w:val="24"/>
        </w:rPr>
        <w:lastRenderedPageBreak/>
        <w:t xml:space="preserve">Accessible Medical Diagnostic </w:t>
      </w:r>
      <w:r w:rsidR="00C9576C">
        <w:rPr>
          <w:rFonts w:cstheme="minorHAnsi"/>
          <w:b/>
          <w:sz w:val="24"/>
        </w:rPr>
        <w:t>Equipment Promotes Retention i</w:t>
      </w:r>
      <w:r>
        <w:rPr>
          <w:rFonts w:cstheme="minorHAnsi"/>
          <w:b/>
          <w:sz w:val="24"/>
        </w:rPr>
        <w:t>n Critical</w:t>
      </w:r>
      <w:r w:rsidR="00C9576C">
        <w:rPr>
          <w:rFonts w:cstheme="minorHAnsi"/>
          <w:b/>
          <w:sz w:val="24"/>
        </w:rPr>
        <w:t>, Growing</w:t>
      </w:r>
      <w:r>
        <w:rPr>
          <w:rFonts w:cstheme="minorHAnsi"/>
          <w:b/>
          <w:sz w:val="24"/>
        </w:rPr>
        <w:t xml:space="preserve"> Health and Health- Related Professions Including Nursing</w:t>
      </w:r>
    </w:p>
    <w:p w14:paraId="3EE2A049" w14:textId="600B478A" w:rsidR="00C9576C" w:rsidRPr="00C9576C" w:rsidRDefault="00241FDA" w:rsidP="00D50448">
      <w:pPr>
        <w:pStyle w:val="ListParagraph"/>
        <w:numPr>
          <w:ilvl w:val="0"/>
          <w:numId w:val="14"/>
        </w:numPr>
        <w:spacing w:after="0" w:line="240" w:lineRule="auto"/>
        <w:rPr>
          <w:rFonts w:cstheme="minorHAnsi"/>
          <w:spacing w:val="6"/>
          <w:sz w:val="24"/>
        </w:rPr>
      </w:pPr>
      <w:r>
        <w:rPr>
          <w:rFonts w:cstheme="minorHAnsi"/>
          <w:spacing w:val="6"/>
          <w:sz w:val="24"/>
          <w:bdr w:val="none" w:sz="0" w:space="0" w:color="auto" w:frame="1"/>
        </w:rPr>
        <w:t>A</w:t>
      </w:r>
      <w:r w:rsidR="00C9576C">
        <w:rPr>
          <w:rFonts w:cstheme="minorHAnsi"/>
          <w:spacing w:val="6"/>
          <w:sz w:val="24"/>
          <w:bdr w:val="none" w:sz="0" w:space="0" w:color="auto" w:frame="1"/>
        </w:rPr>
        <w:t>n aging nursing workforce</w:t>
      </w:r>
      <w:r>
        <w:rPr>
          <w:rFonts w:cstheme="minorHAnsi"/>
          <w:spacing w:val="6"/>
          <w:sz w:val="24"/>
          <w:bdr w:val="none" w:sz="0" w:space="0" w:color="auto" w:frame="1"/>
        </w:rPr>
        <w:t>, the aging population, proliferation</w:t>
      </w:r>
      <w:r w:rsidR="00C9576C">
        <w:rPr>
          <w:rFonts w:cstheme="minorHAnsi"/>
          <w:spacing w:val="6"/>
          <w:sz w:val="24"/>
          <w:bdr w:val="none" w:sz="0" w:space="0" w:color="auto" w:frame="1"/>
        </w:rPr>
        <w:t xml:space="preserve"> of chronic disease</w:t>
      </w:r>
      <w:r w:rsidR="00DA131B">
        <w:rPr>
          <w:rFonts w:cstheme="minorHAnsi"/>
          <w:spacing w:val="6"/>
          <w:sz w:val="24"/>
          <w:bdr w:val="none" w:sz="0" w:space="0" w:color="auto" w:frame="1"/>
        </w:rPr>
        <w:t>, people with disabilities living longer</w:t>
      </w:r>
      <w:r w:rsidR="00C9576C">
        <w:rPr>
          <w:rFonts w:cstheme="minorHAnsi"/>
          <w:spacing w:val="6"/>
          <w:sz w:val="24"/>
          <w:bdr w:val="none" w:sz="0" w:space="0" w:color="auto" w:frame="1"/>
        </w:rPr>
        <w:t xml:space="preserve"> and limited capacity of nursing school</w:t>
      </w:r>
      <w:r>
        <w:rPr>
          <w:rFonts w:cstheme="minorHAnsi"/>
          <w:spacing w:val="6"/>
          <w:sz w:val="24"/>
          <w:bdr w:val="none" w:sz="0" w:space="0" w:color="auto" w:frame="1"/>
        </w:rPr>
        <w:t>s mean that the nursing profession</w:t>
      </w:r>
      <w:r w:rsidR="00C9576C">
        <w:rPr>
          <w:rFonts w:cstheme="minorHAnsi"/>
          <w:spacing w:val="6"/>
          <w:sz w:val="24"/>
          <w:bdr w:val="none" w:sz="0" w:space="0" w:color="auto" w:frame="1"/>
        </w:rPr>
        <w:t xml:space="preserve"> is not growing fast enough to keep up with demand.</w:t>
      </w:r>
      <w:r>
        <w:rPr>
          <w:rStyle w:val="EndnoteReference"/>
          <w:rFonts w:cstheme="minorHAnsi"/>
          <w:spacing w:val="6"/>
          <w:sz w:val="24"/>
          <w:bdr w:val="none" w:sz="0" w:space="0" w:color="auto" w:frame="1"/>
        </w:rPr>
        <w:endnoteReference w:id="22"/>
      </w:r>
    </w:p>
    <w:p w14:paraId="24FE0366" w14:textId="52636250" w:rsidR="004B50F0" w:rsidRPr="004B50F0" w:rsidRDefault="00C15F99" w:rsidP="00D50448">
      <w:pPr>
        <w:pStyle w:val="ListParagraph"/>
        <w:numPr>
          <w:ilvl w:val="0"/>
          <w:numId w:val="14"/>
        </w:numPr>
        <w:spacing w:after="0" w:line="240" w:lineRule="auto"/>
        <w:rPr>
          <w:rFonts w:cstheme="minorHAnsi"/>
          <w:spacing w:val="6"/>
          <w:sz w:val="24"/>
        </w:rPr>
      </w:pPr>
      <w:r w:rsidRPr="00C9576C">
        <w:rPr>
          <w:rFonts w:cstheme="minorHAnsi"/>
          <w:spacing w:val="6"/>
          <w:sz w:val="24"/>
          <w:bdr w:val="none" w:sz="0" w:space="0" w:color="auto" w:frame="1"/>
        </w:rPr>
        <w:t>The Registered Nursing (RN) workforce is expected t</w:t>
      </w:r>
      <w:r w:rsidR="00241FDA">
        <w:rPr>
          <w:rFonts w:cstheme="minorHAnsi"/>
          <w:spacing w:val="6"/>
          <w:sz w:val="24"/>
          <w:bdr w:val="none" w:sz="0" w:space="0" w:color="auto" w:frame="1"/>
        </w:rPr>
        <w:t>o grow by 438,100 or 15% by 2026</w:t>
      </w:r>
      <w:r w:rsidRPr="00C9576C">
        <w:rPr>
          <w:rFonts w:cstheme="minorHAnsi"/>
          <w:spacing w:val="6"/>
          <w:sz w:val="24"/>
          <w:bdr w:val="none" w:sz="0" w:space="0" w:color="auto" w:frame="1"/>
        </w:rPr>
        <w:t xml:space="preserve">, making it a </w:t>
      </w:r>
      <w:r w:rsidR="00241FDA">
        <w:rPr>
          <w:rFonts w:cstheme="minorHAnsi"/>
          <w:spacing w:val="6"/>
          <w:sz w:val="24"/>
          <w:bdr w:val="none" w:sz="0" w:space="0" w:color="auto" w:frame="1"/>
        </w:rPr>
        <w:t>top profession for job growth.</w:t>
      </w:r>
      <w:r w:rsidR="004B50F0">
        <w:rPr>
          <w:rFonts w:cstheme="minorHAnsi"/>
          <w:spacing w:val="6"/>
          <w:sz w:val="24"/>
          <w:bdr w:val="none" w:sz="0" w:space="0" w:color="auto" w:frame="1"/>
        </w:rPr>
        <w:t xml:space="preserve"> </w:t>
      </w:r>
      <w:r w:rsidR="004B50F0" w:rsidRPr="00241FDA">
        <w:rPr>
          <w:rFonts w:cstheme="minorHAnsi"/>
          <w:spacing w:val="6"/>
          <w:sz w:val="24"/>
          <w:bdr w:val="none" w:sz="0" w:space="0" w:color="auto" w:frame="1"/>
        </w:rPr>
        <w:t>BLS projects a need for</w:t>
      </w:r>
      <w:r w:rsidR="004B50F0">
        <w:rPr>
          <w:rFonts w:cstheme="minorHAnsi"/>
          <w:spacing w:val="6"/>
          <w:sz w:val="24"/>
          <w:bdr w:val="none" w:sz="0" w:space="0" w:color="auto" w:frame="1"/>
        </w:rPr>
        <w:t xml:space="preserve"> 203,700 new RNs each year to replace hundreds of thousands of nurses nearing retirement age and meet growing demand for more nurses. </w:t>
      </w:r>
      <w:r w:rsidR="00241FDA">
        <w:rPr>
          <w:rStyle w:val="EndnoteReference"/>
          <w:rFonts w:cstheme="minorHAnsi"/>
          <w:spacing w:val="6"/>
          <w:sz w:val="24"/>
          <w:bdr w:val="none" w:sz="0" w:space="0" w:color="auto" w:frame="1"/>
        </w:rPr>
        <w:endnoteReference w:id="23"/>
      </w:r>
      <w:r w:rsidR="004B50F0">
        <w:rPr>
          <w:rFonts w:cstheme="minorHAnsi"/>
          <w:spacing w:val="6"/>
          <w:sz w:val="24"/>
          <w:bdr w:val="none" w:sz="0" w:space="0" w:color="auto" w:frame="1"/>
        </w:rPr>
        <w:t xml:space="preserve"> </w:t>
      </w:r>
    </w:p>
    <w:p w14:paraId="30C0DA83" w14:textId="7ECE4217" w:rsidR="00FE3687" w:rsidRPr="004B50F0" w:rsidRDefault="004B50F0" w:rsidP="00D50448">
      <w:pPr>
        <w:pStyle w:val="ListParagraph"/>
        <w:numPr>
          <w:ilvl w:val="1"/>
          <w:numId w:val="14"/>
        </w:numPr>
        <w:spacing w:after="0" w:line="240" w:lineRule="auto"/>
        <w:rPr>
          <w:rFonts w:cstheme="minorHAnsi"/>
          <w:spacing w:val="6"/>
          <w:sz w:val="24"/>
        </w:rPr>
      </w:pPr>
      <w:r>
        <w:rPr>
          <w:rFonts w:cstheme="minorHAnsi"/>
          <w:spacing w:val="6"/>
          <w:sz w:val="24"/>
          <w:bdr w:val="none" w:sz="0" w:space="0" w:color="auto" w:frame="1"/>
        </w:rPr>
        <w:t>Much of this demand</w:t>
      </w:r>
      <w:r w:rsidR="00C15F99" w:rsidRPr="004B50F0">
        <w:rPr>
          <w:rFonts w:cstheme="minorHAnsi"/>
          <w:spacing w:val="6"/>
          <w:sz w:val="24"/>
          <w:bdr w:val="none" w:sz="0" w:space="0" w:color="auto" w:frame="1"/>
        </w:rPr>
        <w:t xml:space="preserve"> wil</w:t>
      </w:r>
      <w:r>
        <w:rPr>
          <w:rFonts w:cstheme="minorHAnsi"/>
          <w:spacing w:val="6"/>
          <w:sz w:val="24"/>
          <w:bdr w:val="none" w:sz="0" w:space="0" w:color="auto" w:frame="1"/>
        </w:rPr>
        <w:t xml:space="preserve">l likely involve geriatric care, meaning individuals who have limited mobility and require accessible MDE or assistance with transferring onto and </w:t>
      </w:r>
      <w:r w:rsidR="00546918">
        <w:rPr>
          <w:rFonts w:cstheme="minorHAnsi"/>
          <w:spacing w:val="6"/>
          <w:sz w:val="24"/>
          <w:bdr w:val="none" w:sz="0" w:space="0" w:color="auto" w:frame="1"/>
        </w:rPr>
        <w:t>off of</w:t>
      </w:r>
      <w:r>
        <w:rPr>
          <w:rFonts w:cstheme="minorHAnsi"/>
          <w:spacing w:val="6"/>
          <w:sz w:val="24"/>
          <w:bdr w:val="none" w:sz="0" w:space="0" w:color="auto" w:frame="1"/>
        </w:rPr>
        <w:t xml:space="preserve"> inaccessible equipment.</w:t>
      </w:r>
    </w:p>
    <w:p w14:paraId="5509665C" w14:textId="1CA62174" w:rsidR="00621E72" w:rsidRPr="00C9576C" w:rsidRDefault="00027448" w:rsidP="00D50448">
      <w:pPr>
        <w:pStyle w:val="ListParagraph"/>
        <w:numPr>
          <w:ilvl w:val="0"/>
          <w:numId w:val="13"/>
        </w:numPr>
        <w:spacing w:after="0" w:line="240" w:lineRule="auto"/>
        <w:rPr>
          <w:rFonts w:cstheme="minorHAnsi"/>
          <w:spacing w:val="6"/>
          <w:sz w:val="24"/>
        </w:rPr>
      </w:pPr>
      <w:r>
        <w:rPr>
          <w:rFonts w:cstheme="minorHAnsi"/>
          <w:sz w:val="24"/>
          <w:shd w:val="clear" w:color="auto" w:fill="FFFFFF"/>
        </w:rPr>
        <w:t>Use of accessible MDE can reduce the considerable number of days lost by nurses and nurses’ assistants to lifting and musculoskeletal injuries and ease strain on staff by minimizing the need for physically demanding lifting and transferring of individuals. This in turn could be anticipated to curb nursing staff burnout,</w:t>
      </w:r>
      <w:r>
        <w:rPr>
          <w:rStyle w:val="EndnoteReference"/>
          <w:rFonts w:cstheme="minorHAnsi"/>
          <w:sz w:val="24"/>
          <w:shd w:val="clear" w:color="auto" w:fill="FFFFFF"/>
        </w:rPr>
        <w:endnoteReference w:id="24"/>
      </w:r>
      <w:r>
        <w:rPr>
          <w:rFonts w:cstheme="minorHAnsi"/>
          <w:sz w:val="24"/>
          <w:shd w:val="clear" w:color="auto" w:fill="FFFFFF"/>
        </w:rPr>
        <w:t xml:space="preserve"> alleviate the need for early retirement and slow workforce attrition.</w:t>
      </w:r>
    </w:p>
    <w:p w14:paraId="396E08F1" w14:textId="77777777" w:rsidR="00621E72" w:rsidRPr="006007BE" w:rsidRDefault="00621E72" w:rsidP="00742671">
      <w:pPr>
        <w:spacing w:after="0"/>
        <w:rPr>
          <w:rFonts w:cstheme="minorHAnsi"/>
          <w:sz w:val="12"/>
          <w:szCs w:val="12"/>
          <w:shd w:val="clear" w:color="auto" w:fill="FFFFFF"/>
        </w:rPr>
      </w:pPr>
    </w:p>
    <w:p w14:paraId="2D11BAB6" w14:textId="05222362" w:rsidR="005440DD" w:rsidRDefault="006007BE" w:rsidP="00742671">
      <w:pPr>
        <w:spacing w:after="0"/>
        <w:rPr>
          <w:rFonts w:cstheme="minorHAnsi"/>
          <w:b/>
          <w:sz w:val="24"/>
          <w:shd w:val="clear" w:color="auto" w:fill="FFFFFF"/>
        </w:rPr>
      </w:pPr>
      <w:r>
        <w:rPr>
          <w:rFonts w:cstheme="minorHAnsi"/>
          <w:b/>
          <w:sz w:val="24"/>
          <w:shd w:val="clear" w:color="auto" w:fill="FFFFFF"/>
        </w:rPr>
        <w:t>How Medical Providers</w:t>
      </w:r>
      <w:r w:rsidR="005440DD">
        <w:rPr>
          <w:rFonts w:cstheme="minorHAnsi"/>
          <w:b/>
          <w:sz w:val="24"/>
          <w:shd w:val="clear" w:color="auto" w:fill="FFFFFF"/>
        </w:rPr>
        <w:t xml:space="preserve"> Can Leverage Existing Incentives and Resources to Integrate Accessible Medical Diagnostic Equipment</w:t>
      </w:r>
      <w:r w:rsidR="00657D42" w:rsidRPr="008F587D">
        <w:rPr>
          <w:rFonts w:cstheme="minorHAnsi"/>
          <w:b/>
          <w:sz w:val="24"/>
          <w:shd w:val="clear" w:color="auto" w:fill="FFFFFF"/>
        </w:rPr>
        <w:t>:</w:t>
      </w:r>
    </w:p>
    <w:p w14:paraId="3FAD1317" w14:textId="61C4F164" w:rsidR="00791CC0" w:rsidRDefault="00791CC0" w:rsidP="00742671">
      <w:pPr>
        <w:spacing w:after="0"/>
        <w:rPr>
          <w:rFonts w:cstheme="minorHAnsi"/>
          <w:b/>
          <w:sz w:val="24"/>
          <w:shd w:val="clear" w:color="auto" w:fill="FFFFFF"/>
        </w:rPr>
      </w:pPr>
      <w:r w:rsidRPr="00791CC0">
        <w:rPr>
          <w:rFonts w:cstheme="minorHAnsi"/>
          <w:b/>
          <w:noProof/>
          <w:sz w:val="24"/>
          <w:shd w:val="clear" w:color="auto" w:fill="FFFFFF"/>
        </w:rPr>
        <mc:AlternateContent>
          <mc:Choice Requires="wps">
            <w:drawing>
              <wp:anchor distT="45720" distB="45720" distL="114300" distR="114300" simplePos="0" relativeHeight="251659264" behindDoc="0" locked="0" layoutInCell="1" allowOverlap="1" wp14:anchorId="5D573847" wp14:editId="0BF9A94D">
                <wp:simplePos x="0" y="0"/>
                <wp:positionH relativeFrom="column">
                  <wp:posOffset>452176</wp:posOffset>
                </wp:positionH>
                <wp:positionV relativeFrom="paragraph">
                  <wp:posOffset>116735</wp:posOffset>
                </wp:positionV>
                <wp:extent cx="4732773" cy="1989574"/>
                <wp:effectExtent l="38100" t="38100" r="29845" b="298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773" cy="1989574"/>
                        </a:xfrm>
                        <a:prstGeom prst="rect">
                          <a:avLst/>
                        </a:prstGeom>
                        <a:solidFill>
                          <a:srgbClr val="FFFFFF"/>
                        </a:solidFill>
                        <a:ln w="76200">
                          <a:solidFill>
                            <a:schemeClr val="tx1"/>
                          </a:solidFill>
                          <a:miter lim="800000"/>
                          <a:headEnd/>
                          <a:tailEnd/>
                        </a:ln>
                      </wps:spPr>
                      <wps:txbx>
                        <w:txbxContent>
                          <w:p w14:paraId="06132584" w14:textId="77777777" w:rsidR="00791CC0" w:rsidRPr="00791CC0" w:rsidRDefault="00791CC0" w:rsidP="00791CC0">
                            <w:pPr>
                              <w:rPr>
                                <w:sz w:val="24"/>
                                <w:szCs w:val="24"/>
                              </w:rPr>
                            </w:pPr>
                            <w:r w:rsidRPr="00791CC0">
                              <w:rPr>
                                <w:b/>
                                <w:sz w:val="24"/>
                                <w:szCs w:val="24"/>
                              </w:rPr>
                              <w:t>Accessibility should be Included as Part of a Broader Quality Strategy to Enhance the Patient Experience and Address Disparities</w:t>
                            </w:r>
                            <w:r w:rsidRPr="00791CC0">
                              <w:rPr>
                                <w:sz w:val="24"/>
                                <w:szCs w:val="24"/>
                              </w:rPr>
                              <w:t xml:space="preserve"> </w:t>
                            </w:r>
                          </w:p>
                          <w:p w14:paraId="2792E2EA" w14:textId="77777777" w:rsidR="00791CC0" w:rsidRPr="00791CC0" w:rsidRDefault="00791CC0" w:rsidP="00791CC0">
                            <w:pPr>
                              <w:numPr>
                                <w:ilvl w:val="0"/>
                                <w:numId w:val="16"/>
                              </w:numPr>
                              <w:contextualSpacing/>
                              <w:rPr>
                                <w:sz w:val="24"/>
                                <w:szCs w:val="24"/>
                              </w:rPr>
                            </w:pPr>
                            <w:r w:rsidRPr="00791CC0">
                              <w:rPr>
                                <w:sz w:val="24"/>
                                <w:szCs w:val="24"/>
                              </w:rPr>
                              <w:t xml:space="preserve">Accessible facilities promote better, safer, clinical care, lead to better patient health outcomes and save providers money. </w:t>
                            </w:r>
                          </w:p>
                          <w:p w14:paraId="4917FA0F" w14:textId="77777777" w:rsidR="00791CC0" w:rsidRPr="00791CC0" w:rsidRDefault="00791CC0" w:rsidP="00791CC0">
                            <w:pPr>
                              <w:numPr>
                                <w:ilvl w:val="0"/>
                                <w:numId w:val="16"/>
                              </w:numPr>
                              <w:contextualSpacing/>
                              <w:rPr>
                                <w:sz w:val="24"/>
                                <w:szCs w:val="24"/>
                              </w:rPr>
                            </w:pPr>
                            <w:r w:rsidRPr="00791CC0">
                              <w:rPr>
                                <w:sz w:val="24"/>
                                <w:szCs w:val="24"/>
                              </w:rPr>
                              <w:t xml:space="preserve">Many elements of accessibility increase the value and choice available to many individuals seeking health care, regardless of disability. Many of these features will benefit older adults, obese individuals, and those weakened by sickness or injury. </w:t>
                            </w:r>
                          </w:p>
                          <w:p w14:paraId="6148DE36" w14:textId="2C4EA7D8" w:rsidR="00791CC0" w:rsidRDefault="00791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73847" id="_x0000_t202" coordsize="21600,21600" o:spt="202" path="m,l,21600r21600,l21600,xe">
                <v:stroke joinstyle="miter"/>
                <v:path gradientshapeok="t" o:connecttype="rect"/>
              </v:shapetype>
              <v:shape id="Text Box 2" o:spid="_x0000_s1026" type="#_x0000_t202" style="position:absolute;margin-left:35.6pt;margin-top:9.2pt;width:372.65pt;height:15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" strokecolor="black [3213]" strokeweight="6pt">
                <v:textbox>
                  <w:txbxContent>
                    <w:p w14:paraId="06132584" w14:textId="77777777" w:rsidR="00791CC0" w:rsidRPr="00791CC0" w:rsidRDefault="00791CC0" w:rsidP="00791CC0">
                      <w:pPr>
                        <w:rPr>
                          <w:sz w:val="24"/>
                          <w:szCs w:val="24"/>
                        </w:rPr>
                      </w:pPr>
                      <w:r w:rsidRPr="00791CC0">
                        <w:rPr>
                          <w:b/>
                          <w:sz w:val="24"/>
                          <w:szCs w:val="24"/>
                        </w:rPr>
                        <w:t>Accessibility should be Included as Part of a Broader Quality Strategy to Enhance the Patient Experience and Address Disparities</w:t>
                      </w:r>
                      <w:r w:rsidRPr="00791CC0">
                        <w:rPr>
                          <w:sz w:val="24"/>
                          <w:szCs w:val="24"/>
                        </w:rPr>
                        <w:t xml:space="preserve"> </w:t>
                      </w:r>
                    </w:p>
                    <w:p w14:paraId="2792E2EA" w14:textId="77777777" w:rsidR="00791CC0" w:rsidRPr="00791CC0" w:rsidRDefault="00791CC0" w:rsidP="00791CC0">
                      <w:pPr>
                        <w:numPr>
                          <w:ilvl w:val="0"/>
                          <w:numId w:val="16"/>
                        </w:numPr>
                        <w:contextualSpacing/>
                        <w:rPr>
                          <w:sz w:val="24"/>
                          <w:szCs w:val="24"/>
                        </w:rPr>
                      </w:pPr>
                      <w:r w:rsidRPr="00791CC0">
                        <w:rPr>
                          <w:sz w:val="24"/>
                          <w:szCs w:val="24"/>
                        </w:rPr>
                        <w:t xml:space="preserve">Accessible facilities promote better, safer, clinical care, lead to better patient health outcomes and save providers money. </w:t>
                      </w:r>
                    </w:p>
                    <w:p w14:paraId="4917FA0F" w14:textId="77777777" w:rsidR="00791CC0" w:rsidRPr="00791CC0" w:rsidRDefault="00791CC0" w:rsidP="00791CC0">
                      <w:pPr>
                        <w:numPr>
                          <w:ilvl w:val="0"/>
                          <w:numId w:val="16"/>
                        </w:numPr>
                        <w:contextualSpacing/>
                        <w:rPr>
                          <w:sz w:val="24"/>
                          <w:szCs w:val="24"/>
                        </w:rPr>
                      </w:pPr>
                      <w:r w:rsidRPr="00791CC0">
                        <w:rPr>
                          <w:sz w:val="24"/>
                          <w:szCs w:val="24"/>
                        </w:rPr>
                        <w:t xml:space="preserve">Many elements of accessibility increase the value and choice available to many individuals seeking health care, regardless of disability. Many of these features will benefit older adults, obese individuals, and those weakened by sickness or injury. </w:t>
                      </w:r>
                    </w:p>
                    <w:p w14:paraId="6148DE36" w14:textId="2C4EA7D8" w:rsidR="00791CC0" w:rsidRDefault="00791CC0"/>
                  </w:txbxContent>
                </v:textbox>
              </v:shape>
            </w:pict>
          </mc:Fallback>
        </mc:AlternateContent>
      </w:r>
    </w:p>
    <w:p w14:paraId="4C080FCC" w14:textId="0E049B42" w:rsidR="00791CC0" w:rsidRDefault="00791CC0" w:rsidP="00742671">
      <w:pPr>
        <w:spacing w:after="0"/>
        <w:rPr>
          <w:rFonts w:cstheme="minorHAnsi"/>
          <w:b/>
          <w:sz w:val="24"/>
          <w:shd w:val="clear" w:color="auto" w:fill="FFFFFF"/>
        </w:rPr>
      </w:pPr>
    </w:p>
    <w:p w14:paraId="49CDAF88" w14:textId="09719EAE" w:rsidR="005440DD" w:rsidRDefault="005440DD" w:rsidP="00742671">
      <w:pPr>
        <w:spacing w:after="0"/>
        <w:rPr>
          <w:rFonts w:cstheme="minorHAnsi"/>
          <w:b/>
          <w:sz w:val="24"/>
          <w:shd w:val="clear" w:color="auto" w:fill="FFFFFF"/>
        </w:rPr>
      </w:pPr>
    </w:p>
    <w:p w14:paraId="1CA0A1DD" w14:textId="77777777" w:rsidR="00791CC0" w:rsidRDefault="00791CC0" w:rsidP="00791CC0">
      <w:pPr>
        <w:pStyle w:val="ListParagraph"/>
        <w:spacing w:after="0" w:line="240" w:lineRule="auto"/>
        <w:rPr>
          <w:rFonts w:cstheme="minorHAnsi"/>
          <w:b/>
          <w:sz w:val="24"/>
          <w:shd w:val="clear" w:color="auto" w:fill="FFFFFF"/>
        </w:rPr>
      </w:pPr>
    </w:p>
    <w:p w14:paraId="794EAF4F" w14:textId="77777777" w:rsidR="00791CC0" w:rsidRPr="00791CC0" w:rsidRDefault="00791CC0" w:rsidP="00791CC0">
      <w:pPr>
        <w:spacing w:after="0" w:line="240" w:lineRule="auto"/>
        <w:ind w:left="360"/>
        <w:rPr>
          <w:rFonts w:cstheme="minorHAnsi"/>
          <w:b/>
          <w:sz w:val="24"/>
          <w:shd w:val="clear" w:color="auto" w:fill="FFFFFF"/>
        </w:rPr>
      </w:pPr>
    </w:p>
    <w:p w14:paraId="083BC888" w14:textId="052FAC68" w:rsidR="00791CC0" w:rsidRDefault="00791CC0" w:rsidP="00791CC0">
      <w:pPr>
        <w:spacing w:after="0" w:line="240" w:lineRule="auto"/>
        <w:rPr>
          <w:rFonts w:cstheme="minorHAnsi"/>
          <w:b/>
          <w:sz w:val="24"/>
          <w:shd w:val="clear" w:color="auto" w:fill="FFFFFF"/>
        </w:rPr>
      </w:pPr>
    </w:p>
    <w:p w14:paraId="10F5C39D" w14:textId="11ECC16E" w:rsidR="00791CC0" w:rsidRDefault="00791CC0" w:rsidP="00791CC0">
      <w:pPr>
        <w:spacing w:after="0" w:line="240" w:lineRule="auto"/>
        <w:rPr>
          <w:rFonts w:cstheme="minorHAnsi"/>
          <w:b/>
          <w:sz w:val="24"/>
          <w:shd w:val="clear" w:color="auto" w:fill="FFFFFF"/>
        </w:rPr>
      </w:pPr>
      <w:bookmarkStart w:id="0" w:name="_GoBack"/>
      <w:bookmarkEnd w:id="0"/>
    </w:p>
    <w:p w14:paraId="42C56576" w14:textId="29D24B2B" w:rsidR="00791CC0" w:rsidRDefault="00791CC0" w:rsidP="00791CC0">
      <w:pPr>
        <w:spacing w:after="0" w:line="240" w:lineRule="auto"/>
        <w:rPr>
          <w:rFonts w:cstheme="minorHAnsi"/>
          <w:b/>
          <w:sz w:val="24"/>
          <w:shd w:val="clear" w:color="auto" w:fill="FFFFFF"/>
        </w:rPr>
      </w:pPr>
    </w:p>
    <w:p w14:paraId="039A684C" w14:textId="559FDD83" w:rsidR="00791CC0" w:rsidRDefault="00791CC0" w:rsidP="00791CC0">
      <w:pPr>
        <w:spacing w:after="0" w:line="240" w:lineRule="auto"/>
        <w:rPr>
          <w:rFonts w:cstheme="minorHAnsi"/>
          <w:b/>
          <w:sz w:val="24"/>
          <w:shd w:val="clear" w:color="auto" w:fill="FFFFFF"/>
        </w:rPr>
      </w:pPr>
    </w:p>
    <w:p w14:paraId="7101C361" w14:textId="6BB14371" w:rsidR="00791CC0" w:rsidRDefault="00791CC0" w:rsidP="00791CC0">
      <w:pPr>
        <w:spacing w:after="0" w:line="240" w:lineRule="auto"/>
        <w:rPr>
          <w:rFonts w:cstheme="minorHAnsi"/>
          <w:b/>
          <w:sz w:val="24"/>
          <w:shd w:val="clear" w:color="auto" w:fill="FFFFFF"/>
        </w:rPr>
      </w:pPr>
    </w:p>
    <w:p w14:paraId="0A7532C6" w14:textId="4D299EFC" w:rsidR="00791CC0" w:rsidRDefault="00791CC0" w:rsidP="00791CC0">
      <w:pPr>
        <w:spacing w:after="0" w:line="240" w:lineRule="auto"/>
        <w:rPr>
          <w:rFonts w:cstheme="minorHAnsi"/>
          <w:b/>
          <w:sz w:val="24"/>
          <w:shd w:val="clear" w:color="auto" w:fill="FFFFFF"/>
        </w:rPr>
      </w:pPr>
    </w:p>
    <w:p w14:paraId="2F89A9DF" w14:textId="77777777" w:rsidR="00791CC0" w:rsidRDefault="00791CC0" w:rsidP="00791CC0">
      <w:pPr>
        <w:pStyle w:val="ListParagraph"/>
        <w:spacing w:after="0" w:line="240" w:lineRule="auto"/>
        <w:rPr>
          <w:rFonts w:cstheme="minorHAnsi"/>
          <w:b/>
          <w:sz w:val="24"/>
          <w:shd w:val="clear" w:color="auto" w:fill="FFFFFF"/>
        </w:rPr>
      </w:pPr>
    </w:p>
    <w:p w14:paraId="46113CA9" w14:textId="7888B4B6" w:rsidR="00424C7A" w:rsidRPr="005440DD" w:rsidRDefault="00372E72" w:rsidP="005440DD">
      <w:pPr>
        <w:pStyle w:val="ListParagraph"/>
        <w:numPr>
          <w:ilvl w:val="0"/>
          <w:numId w:val="7"/>
        </w:numPr>
        <w:spacing w:after="0" w:line="240" w:lineRule="auto"/>
        <w:rPr>
          <w:rFonts w:cstheme="minorHAnsi"/>
          <w:b/>
          <w:sz w:val="24"/>
          <w:shd w:val="clear" w:color="auto" w:fill="FFFFFF"/>
        </w:rPr>
      </w:pPr>
      <w:r w:rsidRPr="005440DD">
        <w:rPr>
          <w:rFonts w:cstheme="minorHAnsi"/>
          <w:b/>
          <w:sz w:val="24"/>
          <w:shd w:val="clear" w:color="auto" w:fill="FFFFFF"/>
        </w:rPr>
        <w:t>U</w:t>
      </w:r>
      <w:r w:rsidR="00B77B3A" w:rsidRPr="005440DD">
        <w:rPr>
          <w:rFonts w:cstheme="minorHAnsi"/>
          <w:b/>
          <w:sz w:val="24"/>
          <w:shd w:val="clear" w:color="auto" w:fill="FFFFFF"/>
        </w:rPr>
        <w:t>se</w:t>
      </w:r>
      <w:r w:rsidRPr="005440DD">
        <w:rPr>
          <w:rFonts w:cstheme="minorHAnsi"/>
          <w:b/>
          <w:sz w:val="24"/>
          <w:shd w:val="clear" w:color="auto" w:fill="FFFFFF"/>
        </w:rPr>
        <w:t xml:space="preserve"> the </w:t>
      </w:r>
      <w:r w:rsidR="00B77B3A" w:rsidRPr="005440DD">
        <w:rPr>
          <w:rFonts w:cstheme="minorHAnsi"/>
          <w:b/>
          <w:sz w:val="24"/>
          <w:shd w:val="clear" w:color="auto" w:fill="FFFFFF"/>
        </w:rPr>
        <w:t xml:space="preserve">U.S. </w:t>
      </w:r>
      <w:r w:rsidRPr="005440DD">
        <w:rPr>
          <w:rFonts w:cstheme="minorHAnsi"/>
          <w:b/>
          <w:sz w:val="24"/>
          <w:shd w:val="clear" w:color="auto" w:fill="FFFFFF"/>
        </w:rPr>
        <w:t>A</w:t>
      </w:r>
      <w:r w:rsidR="00742671" w:rsidRPr="005440DD">
        <w:rPr>
          <w:rFonts w:cstheme="minorHAnsi"/>
          <w:b/>
          <w:sz w:val="24"/>
          <w:shd w:val="clear" w:color="auto" w:fill="FFFFFF"/>
        </w:rPr>
        <w:t>ccess</w:t>
      </w:r>
      <w:r w:rsidRPr="005440DD">
        <w:rPr>
          <w:rFonts w:cstheme="minorHAnsi"/>
          <w:b/>
          <w:sz w:val="24"/>
          <w:shd w:val="clear" w:color="auto" w:fill="FFFFFF"/>
        </w:rPr>
        <w:t xml:space="preserve"> Board</w:t>
      </w:r>
      <w:r w:rsidR="00B77B3A" w:rsidRPr="005440DD">
        <w:rPr>
          <w:rFonts w:cstheme="minorHAnsi"/>
          <w:b/>
          <w:sz w:val="24"/>
          <w:shd w:val="clear" w:color="auto" w:fill="FFFFFF"/>
        </w:rPr>
        <w:t>’s</w:t>
      </w:r>
      <w:r w:rsidRPr="005440DD">
        <w:rPr>
          <w:rFonts w:cstheme="minorHAnsi"/>
          <w:b/>
          <w:sz w:val="24"/>
          <w:shd w:val="clear" w:color="auto" w:fill="FFFFFF"/>
        </w:rPr>
        <w:t xml:space="preserve"> Standard</w:t>
      </w:r>
      <w:r w:rsidR="00424C7A" w:rsidRPr="005440DD">
        <w:rPr>
          <w:rFonts w:cstheme="minorHAnsi"/>
          <w:b/>
          <w:sz w:val="24"/>
          <w:shd w:val="clear" w:color="auto" w:fill="FFFFFF"/>
        </w:rPr>
        <w:t>s</w:t>
      </w:r>
      <w:r w:rsidR="00B77B3A" w:rsidRPr="005440DD">
        <w:rPr>
          <w:rFonts w:cstheme="minorHAnsi"/>
          <w:b/>
          <w:sz w:val="24"/>
          <w:shd w:val="clear" w:color="auto" w:fill="FFFFFF"/>
        </w:rPr>
        <w:t xml:space="preserve"> for Accessibility</w:t>
      </w:r>
    </w:p>
    <w:p w14:paraId="2D3D1B7C" w14:textId="6FC1EFAE" w:rsidR="00615B82" w:rsidRPr="008F587D" w:rsidRDefault="00372E72" w:rsidP="00D50448">
      <w:pPr>
        <w:pStyle w:val="ListParagraph"/>
        <w:numPr>
          <w:ilvl w:val="0"/>
          <w:numId w:val="6"/>
        </w:numPr>
        <w:spacing w:after="0" w:line="240" w:lineRule="auto"/>
        <w:rPr>
          <w:rFonts w:cstheme="minorHAnsi"/>
          <w:b/>
          <w:sz w:val="24"/>
          <w:shd w:val="clear" w:color="auto" w:fill="FFFFFF"/>
        </w:rPr>
      </w:pPr>
      <w:r w:rsidRPr="00D229D1">
        <w:rPr>
          <w:rFonts w:cstheme="minorHAnsi"/>
          <w:sz w:val="24"/>
          <w:shd w:val="clear" w:color="auto" w:fill="FFFFFF"/>
        </w:rPr>
        <w:t>These standards</w:t>
      </w:r>
      <w:r w:rsidRPr="008F587D">
        <w:rPr>
          <w:rFonts w:cstheme="minorHAnsi"/>
          <w:sz w:val="24"/>
          <w:shd w:val="clear" w:color="auto" w:fill="FFFFFF"/>
        </w:rPr>
        <w:t xml:space="preserve"> provide</w:t>
      </w:r>
      <w:r w:rsidR="003C044E" w:rsidRPr="008F587D">
        <w:rPr>
          <w:rFonts w:cstheme="minorHAnsi"/>
          <w:sz w:val="24"/>
          <w:shd w:val="clear" w:color="auto" w:fill="FFFFFF"/>
        </w:rPr>
        <w:t xml:space="preserve"> </w:t>
      </w:r>
      <w:r w:rsidRPr="008F587D">
        <w:rPr>
          <w:rFonts w:cstheme="minorHAnsi"/>
          <w:sz w:val="24"/>
          <w:shd w:val="clear" w:color="auto" w:fill="FFFFFF"/>
        </w:rPr>
        <w:t xml:space="preserve">minimum technical criteria </w:t>
      </w:r>
      <w:r w:rsidR="00B77B3A">
        <w:rPr>
          <w:rFonts w:cstheme="minorHAnsi"/>
          <w:sz w:val="24"/>
          <w:shd w:val="clear" w:color="auto" w:fill="FFFFFF"/>
        </w:rPr>
        <w:t xml:space="preserve">that must be met to </w:t>
      </w:r>
      <w:r w:rsidRPr="008F587D">
        <w:rPr>
          <w:rFonts w:cstheme="minorHAnsi"/>
          <w:sz w:val="24"/>
          <w:shd w:val="clear" w:color="auto" w:fill="FFFFFF"/>
        </w:rPr>
        <w:t xml:space="preserve">ensure </w:t>
      </w:r>
      <w:r w:rsidR="00B77B3A">
        <w:rPr>
          <w:rFonts w:cstheme="minorHAnsi"/>
          <w:sz w:val="24"/>
          <w:shd w:val="clear" w:color="auto" w:fill="FFFFFF"/>
        </w:rPr>
        <w:t xml:space="preserve">physical accessibility of </w:t>
      </w:r>
      <w:r w:rsidRPr="008F587D">
        <w:rPr>
          <w:rFonts w:cstheme="minorHAnsi"/>
          <w:sz w:val="24"/>
          <w:shd w:val="clear" w:color="auto" w:fill="FFFFFF"/>
        </w:rPr>
        <w:t>medical diagnostic equipment, including but not limited to, examination tables, examination chairs, weight scales, mammography equipment, and other imaging equipment used by health care providers for diagnostic purposes</w:t>
      </w:r>
      <w:r w:rsidR="00B77B3A">
        <w:rPr>
          <w:rFonts w:cstheme="minorHAnsi"/>
          <w:sz w:val="24"/>
          <w:shd w:val="clear" w:color="auto" w:fill="FFFFFF"/>
        </w:rPr>
        <w:t>.</w:t>
      </w:r>
    </w:p>
    <w:p w14:paraId="083B13C3" w14:textId="6854B92A" w:rsidR="00372E72" w:rsidRPr="008F587D" w:rsidRDefault="00615B82" w:rsidP="00D50448">
      <w:pPr>
        <w:pStyle w:val="ListParagraph"/>
        <w:numPr>
          <w:ilvl w:val="0"/>
          <w:numId w:val="6"/>
        </w:numPr>
        <w:spacing w:after="0" w:line="240" w:lineRule="auto"/>
        <w:rPr>
          <w:rFonts w:cstheme="minorHAnsi"/>
          <w:sz w:val="24"/>
          <w:shd w:val="clear" w:color="auto" w:fill="FFFFFF"/>
        </w:rPr>
      </w:pPr>
      <w:r w:rsidRPr="008F587D">
        <w:rPr>
          <w:rFonts w:cstheme="minorHAnsi"/>
          <w:b/>
          <w:sz w:val="24"/>
          <w:shd w:val="clear" w:color="auto" w:fill="FFFFFF"/>
        </w:rPr>
        <w:t>E</w:t>
      </w:r>
      <w:r w:rsidR="00372E72" w:rsidRPr="008F587D">
        <w:rPr>
          <w:rFonts w:cstheme="minorHAnsi"/>
          <w:b/>
          <w:sz w:val="24"/>
          <w:shd w:val="clear" w:color="auto" w:fill="FFFFFF"/>
        </w:rPr>
        <w:t xml:space="preserve">xam Table </w:t>
      </w:r>
      <w:r w:rsidR="00B77B3A">
        <w:rPr>
          <w:rFonts w:cstheme="minorHAnsi"/>
          <w:b/>
          <w:sz w:val="24"/>
          <w:shd w:val="clear" w:color="auto" w:fill="FFFFFF"/>
        </w:rPr>
        <w:t>S</w:t>
      </w:r>
      <w:r w:rsidR="00372E72" w:rsidRPr="008F587D">
        <w:rPr>
          <w:rFonts w:cstheme="minorHAnsi"/>
          <w:b/>
          <w:sz w:val="24"/>
          <w:shd w:val="clear" w:color="auto" w:fill="FFFFFF"/>
        </w:rPr>
        <w:t>tandards:</w:t>
      </w:r>
      <w:r w:rsidR="00372E72" w:rsidRPr="008F587D">
        <w:rPr>
          <w:rFonts w:cstheme="minorHAnsi"/>
          <w:sz w:val="24"/>
          <w:shd w:val="clear" w:color="auto" w:fill="FFFFFF"/>
        </w:rPr>
        <w:t xml:space="preserve"> </w:t>
      </w:r>
      <w:r w:rsidR="00D229D1">
        <w:rPr>
          <w:rFonts w:cstheme="minorHAnsi"/>
          <w:sz w:val="24"/>
          <w:shd w:val="clear" w:color="auto" w:fill="FFFFFF"/>
        </w:rPr>
        <w:t>Accessible e</w:t>
      </w:r>
      <w:r w:rsidR="00372E72" w:rsidRPr="008F587D">
        <w:rPr>
          <w:rFonts w:cstheme="minorHAnsi"/>
          <w:sz w:val="24"/>
          <w:shd w:val="clear" w:color="auto" w:fill="FFFFFF"/>
        </w:rPr>
        <w:t xml:space="preserve">xam </w:t>
      </w:r>
      <w:r w:rsidR="00B77B3A">
        <w:rPr>
          <w:rFonts w:cstheme="minorHAnsi"/>
          <w:sz w:val="24"/>
          <w:shd w:val="clear" w:color="auto" w:fill="FFFFFF"/>
        </w:rPr>
        <w:t>tables</w:t>
      </w:r>
      <w:r w:rsidR="00372E72" w:rsidRPr="008F587D">
        <w:rPr>
          <w:rFonts w:cstheme="minorHAnsi"/>
          <w:sz w:val="24"/>
          <w:shd w:val="clear" w:color="auto" w:fill="FFFFFF"/>
        </w:rPr>
        <w:t xml:space="preserve"> have adjustable height features with a minimum seat height of 17 to 19 inches, a high transfer height of 25 inches and four in-between heights to facilitate transfer from standard wheelchairs, scooters and other common mobility devices.</w:t>
      </w:r>
    </w:p>
    <w:p w14:paraId="5D71E7D8" w14:textId="071876ED" w:rsidR="00372E72" w:rsidRPr="008F587D" w:rsidRDefault="00372E72" w:rsidP="00D50448">
      <w:pPr>
        <w:pStyle w:val="ListParagraph"/>
        <w:numPr>
          <w:ilvl w:val="0"/>
          <w:numId w:val="6"/>
        </w:numPr>
        <w:spacing w:line="240" w:lineRule="auto"/>
        <w:rPr>
          <w:rFonts w:cstheme="minorHAnsi"/>
          <w:sz w:val="24"/>
          <w:shd w:val="clear" w:color="auto" w:fill="FFFFFF"/>
        </w:rPr>
      </w:pPr>
      <w:r w:rsidRPr="008F587D">
        <w:rPr>
          <w:rFonts w:cstheme="minorHAnsi"/>
          <w:b/>
          <w:sz w:val="24"/>
          <w:shd w:val="clear" w:color="auto" w:fill="FFFFFF"/>
        </w:rPr>
        <w:t>Other Specifications</w:t>
      </w:r>
      <w:r w:rsidRPr="008F587D">
        <w:rPr>
          <w:rFonts w:cstheme="minorHAnsi"/>
          <w:sz w:val="24"/>
          <w:shd w:val="clear" w:color="auto" w:fill="FFFFFF"/>
        </w:rPr>
        <w:t xml:space="preserve"> in the </w:t>
      </w:r>
      <w:r w:rsidR="005440DD">
        <w:rPr>
          <w:rFonts w:cstheme="minorHAnsi"/>
          <w:sz w:val="24"/>
          <w:shd w:val="clear" w:color="auto" w:fill="FFFFFF"/>
        </w:rPr>
        <w:t>Access Board s</w:t>
      </w:r>
      <w:r w:rsidR="00D064C7" w:rsidRPr="008F587D">
        <w:rPr>
          <w:rFonts w:cstheme="minorHAnsi"/>
          <w:sz w:val="24"/>
          <w:shd w:val="clear" w:color="auto" w:fill="FFFFFF"/>
        </w:rPr>
        <w:t>tandards include:</w:t>
      </w:r>
    </w:p>
    <w:p w14:paraId="7C81D8E9" w14:textId="5CBF2034" w:rsidR="00D064C7" w:rsidRPr="008F587D" w:rsidRDefault="00D815AB" w:rsidP="00D50448">
      <w:pPr>
        <w:pStyle w:val="ListParagraph"/>
        <w:numPr>
          <w:ilvl w:val="1"/>
          <w:numId w:val="6"/>
        </w:numPr>
        <w:spacing w:line="240" w:lineRule="auto"/>
        <w:rPr>
          <w:rFonts w:cstheme="minorHAnsi"/>
          <w:sz w:val="24"/>
          <w:shd w:val="clear" w:color="auto" w:fill="FFFFFF"/>
        </w:rPr>
      </w:pPr>
      <w:r>
        <w:rPr>
          <w:rFonts w:cstheme="minorHAnsi"/>
          <w:sz w:val="24"/>
          <w:shd w:val="clear" w:color="auto" w:fill="FFFFFF"/>
        </w:rPr>
        <w:lastRenderedPageBreak/>
        <w:t>Mammography equipment that accommodates si</w:t>
      </w:r>
      <w:r w:rsidR="00D064C7" w:rsidRPr="008F587D">
        <w:rPr>
          <w:rFonts w:cstheme="minorHAnsi"/>
          <w:sz w:val="24"/>
          <w:shd w:val="clear" w:color="auto" w:fill="FFFFFF"/>
        </w:rPr>
        <w:t xml:space="preserve">tting </w:t>
      </w:r>
      <w:r>
        <w:rPr>
          <w:rFonts w:cstheme="minorHAnsi"/>
          <w:sz w:val="24"/>
          <w:shd w:val="clear" w:color="auto" w:fill="FFFFFF"/>
        </w:rPr>
        <w:t xml:space="preserve">for </w:t>
      </w:r>
      <w:r w:rsidR="00D064C7" w:rsidRPr="008F587D">
        <w:rPr>
          <w:rFonts w:cstheme="minorHAnsi"/>
          <w:sz w:val="24"/>
          <w:shd w:val="clear" w:color="auto" w:fill="FFFFFF"/>
        </w:rPr>
        <w:t>wo</w:t>
      </w:r>
      <w:r w:rsidR="00B86DEE" w:rsidRPr="008F587D">
        <w:rPr>
          <w:rFonts w:cstheme="minorHAnsi"/>
          <w:sz w:val="24"/>
          <w:shd w:val="clear" w:color="auto" w:fill="FFFFFF"/>
        </w:rPr>
        <w:t>men with mobility disabilities</w:t>
      </w:r>
      <w:r>
        <w:rPr>
          <w:rFonts w:cstheme="minorHAnsi"/>
          <w:sz w:val="24"/>
          <w:shd w:val="clear" w:color="auto" w:fill="FFFFFF"/>
        </w:rPr>
        <w:t xml:space="preserve"> or difficulty with balance</w:t>
      </w:r>
      <w:r w:rsidR="00B86DEE" w:rsidRPr="008F587D">
        <w:rPr>
          <w:rFonts w:cstheme="minorHAnsi"/>
          <w:sz w:val="24"/>
          <w:shd w:val="clear" w:color="auto" w:fill="FFFFFF"/>
        </w:rPr>
        <w:t>;</w:t>
      </w:r>
    </w:p>
    <w:p w14:paraId="086FA50E" w14:textId="42933BD2" w:rsidR="00D064C7" w:rsidRDefault="00D064C7" w:rsidP="00D50448">
      <w:pPr>
        <w:pStyle w:val="ListParagraph"/>
        <w:numPr>
          <w:ilvl w:val="1"/>
          <w:numId w:val="6"/>
        </w:numPr>
        <w:spacing w:line="240" w:lineRule="auto"/>
        <w:rPr>
          <w:rFonts w:cstheme="minorHAnsi"/>
          <w:sz w:val="24"/>
          <w:shd w:val="clear" w:color="auto" w:fill="FFFFFF"/>
        </w:rPr>
      </w:pPr>
      <w:r w:rsidRPr="008F587D">
        <w:rPr>
          <w:rFonts w:cstheme="minorHAnsi"/>
          <w:sz w:val="24"/>
          <w:shd w:val="clear" w:color="auto" w:fill="FFFFFF"/>
        </w:rPr>
        <w:t xml:space="preserve">Accessible wheelchair scales with sufficiently large platform surfaces, appropriate ramping and edge protection. </w:t>
      </w:r>
    </w:p>
    <w:p w14:paraId="256AB8AA" w14:textId="61B73E2C" w:rsidR="00D229D1" w:rsidRPr="00D229D1" w:rsidRDefault="00D229D1" w:rsidP="00D229D1">
      <w:pPr>
        <w:pStyle w:val="ListParagraph"/>
        <w:numPr>
          <w:ilvl w:val="0"/>
          <w:numId w:val="6"/>
        </w:numPr>
        <w:spacing w:line="240" w:lineRule="auto"/>
        <w:rPr>
          <w:rFonts w:cstheme="minorHAnsi"/>
          <w:b/>
          <w:sz w:val="24"/>
          <w:shd w:val="clear" w:color="auto" w:fill="FFFFFF"/>
        </w:rPr>
      </w:pPr>
      <w:r w:rsidRPr="00D229D1">
        <w:rPr>
          <w:rFonts w:cstheme="minorHAnsi"/>
          <w:b/>
          <w:sz w:val="24"/>
          <w:shd w:val="clear" w:color="auto" w:fill="FFFFFF"/>
        </w:rPr>
        <w:t>Limitations</w:t>
      </w:r>
    </w:p>
    <w:p w14:paraId="4824B07B" w14:textId="4DD919B1" w:rsidR="00D229D1" w:rsidRPr="00D229D1" w:rsidRDefault="00D229D1" w:rsidP="00D229D1">
      <w:pPr>
        <w:pStyle w:val="ListParagraph"/>
        <w:numPr>
          <w:ilvl w:val="1"/>
          <w:numId w:val="6"/>
        </w:numPr>
        <w:spacing w:after="0" w:line="240" w:lineRule="auto"/>
        <w:rPr>
          <w:rFonts w:cstheme="minorHAnsi"/>
          <w:b/>
          <w:sz w:val="24"/>
          <w:shd w:val="clear" w:color="auto" w:fill="FFFFFF"/>
        </w:rPr>
      </w:pPr>
      <w:r w:rsidRPr="008F587D">
        <w:rPr>
          <w:rFonts w:cstheme="minorHAnsi"/>
          <w:sz w:val="24"/>
          <w:shd w:val="clear" w:color="auto" w:fill="FFFFFF"/>
        </w:rPr>
        <w:t xml:space="preserve">The </w:t>
      </w:r>
      <w:r>
        <w:rPr>
          <w:rFonts w:cstheme="minorHAnsi"/>
          <w:sz w:val="24"/>
          <w:shd w:val="clear" w:color="auto" w:fill="FFFFFF"/>
        </w:rPr>
        <w:t xml:space="preserve">Access Board’s </w:t>
      </w:r>
      <w:r w:rsidRPr="008F587D">
        <w:rPr>
          <w:rFonts w:cstheme="minorHAnsi"/>
          <w:sz w:val="24"/>
          <w:shd w:val="clear" w:color="auto" w:fill="FFFFFF"/>
        </w:rPr>
        <w:t>Standards</w:t>
      </w:r>
      <w:r>
        <w:rPr>
          <w:rFonts w:cstheme="minorHAnsi"/>
          <w:sz w:val="24"/>
          <w:shd w:val="clear" w:color="auto" w:fill="FFFFFF"/>
        </w:rPr>
        <w:t xml:space="preserve"> for MDE do not</w:t>
      </w:r>
      <w:r w:rsidRPr="008F587D">
        <w:rPr>
          <w:rFonts w:cstheme="minorHAnsi"/>
          <w:sz w:val="24"/>
          <w:shd w:val="clear" w:color="auto" w:fill="FFFFFF"/>
        </w:rPr>
        <w:t xml:space="preserve"> impose any mandatory requirements on health care providers or medical device manufacturers.</w:t>
      </w:r>
    </w:p>
    <w:p w14:paraId="1CBB70DF" w14:textId="4116301B" w:rsidR="00D229D1" w:rsidRPr="00D229D1" w:rsidRDefault="00D229D1" w:rsidP="00D229D1">
      <w:pPr>
        <w:pStyle w:val="ListParagraph"/>
        <w:numPr>
          <w:ilvl w:val="1"/>
          <w:numId w:val="6"/>
        </w:numPr>
        <w:spacing w:after="0" w:line="240" w:lineRule="auto"/>
        <w:rPr>
          <w:rFonts w:cstheme="minorHAnsi"/>
          <w:sz w:val="24"/>
          <w:shd w:val="clear" w:color="auto" w:fill="FFFFFF"/>
        </w:rPr>
      </w:pPr>
      <w:r w:rsidRPr="00D229D1">
        <w:rPr>
          <w:rFonts w:cstheme="minorHAnsi"/>
          <w:sz w:val="24"/>
          <w:shd w:val="clear" w:color="auto" w:fill="FFFFFF"/>
        </w:rPr>
        <w:t>The Access Board Standards do not include scoping requirements for how many accessible MDE are needed to serve individuals in hospitals or provider networks of particular sizes or within a certain mileage radius.</w:t>
      </w:r>
    </w:p>
    <w:p w14:paraId="525AA48E" w14:textId="77777777" w:rsidR="00B03777" w:rsidRPr="008F587D" w:rsidRDefault="00B03777" w:rsidP="00B03777">
      <w:pPr>
        <w:pStyle w:val="ListParagraph"/>
        <w:spacing w:line="240" w:lineRule="auto"/>
        <w:ind w:left="1800"/>
        <w:rPr>
          <w:rFonts w:cstheme="minorHAnsi"/>
          <w:sz w:val="24"/>
          <w:shd w:val="clear" w:color="auto" w:fill="FFFFFF"/>
        </w:rPr>
      </w:pPr>
    </w:p>
    <w:p w14:paraId="66D5C1F0" w14:textId="174D187E" w:rsidR="00742671" w:rsidRPr="008F587D" w:rsidRDefault="00D064C7" w:rsidP="00D50448">
      <w:pPr>
        <w:pStyle w:val="ListParagraph"/>
        <w:numPr>
          <w:ilvl w:val="0"/>
          <w:numId w:val="8"/>
        </w:numPr>
        <w:spacing w:after="0" w:line="240" w:lineRule="auto"/>
        <w:rPr>
          <w:rFonts w:cstheme="minorHAnsi"/>
          <w:b/>
          <w:sz w:val="24"/>
          <w:shd w:val="clear" w:color="auto" w:fill="FFFFFF"/>
        </w:rPr>
      </w:pPr>
      <w:r w:rsidRPr="008F587D">
        <w:rPr>
          <w:rFonts w:cstheme="minorHAnsi"/>
          <w:b/>
          <w:sz w:val="24"/>
          <w:shd w:val="clear" w:color="auto" w:fill="FFFFFF"/>
        </w:rPr>
        <w:t xml:space="preserve">Tax Credits are available </w:t>
      </w:r>
      <w:r w:rsidR="00D815AB">
        <w:rPr>
          <w:rFonts w:cstheme="minorHAnsi"/>
          <w:b/>
          <w:sz w:val="24"/>
          <w:shd w:val="clear" w:color="auto" w:fill="FFFFFF"/>
        </w:rPr>
        <w:t xml:space="preserve">to businesses </w:t>
      </w:r>
      <w:r w:rsidR="005440DD">
        <w:rPr>
          <w:rFonts w:cstheme="minorHAnsi"/>
          <w:b/>
          <w:sz w:val="24"/>
          <w:shd w:val="clear" w:color="auto" w:fill="FFFFFF"/>
        </w:rPr>
        <w:t>that remove</w:t>
      </w:r>
      <w:r w:rsidRPr="008F587D">
        <w:rPr>
          <w:rFonts w:cstheme="minorHAnsi"/>
          <w:b/>
          <w:sz w:val="24"/>
          <w:shd w:val="clear" w:color="auto" w:fill="FFFFFF"/>
        </w:rPr>
        <w:t xml:space="preserve"> physical, structural and transportation barriers and comply with the Americans with Disabilities Act.</w:t>
      </w:r>
    </w:p>
    <w:p w14:paraId="4778ECF9" w14:textId="5AA9BA92" w:rsidR="00D815AB" w:rsidRPr="00F97FD3" w:rsidRDefault="00657D42" w:rsidP="00D50448">
      <w:pPr>
        <w:pStyle w:val="ListParagraph"/>
        <w:numPr>
          <w:ilvl w:val="1"/>
          <w:numId w:val="8"/>
        </w:numPr>
        <w:spacing w:after="0" w:line="240" w:lineRule="auto"/>
        <w:rPr>
          <w:rStyle w:val="Hyperlink"/>
          <w:rFonts w:cstheme="minorHAnsi"/>
          <w:b/>
          <w:color w:val="auto"/>
          <w:sz w:val="24"/>
          <w:u w:val="none"/>
          <w:shd w:val="clear" w:color="auto" w:fill="FFFFFF"/>
        </w:rPr>
      </w:pPr>
      <w:r w:rsidRPr="008F587D">
        <w:rPr>
          <w:rFonts w:cstheme="minorHAnsi"/>
          <w:b/>
          <w:sz w:val="24"/>
          <w:shd w:val="clear" w:color="auto" w:fill="FFFFFF"/>
        </w:rPr>
        <w:t>Learn more:</w:t>
      </w:r>
      <w:r w:rsidRPr="008F587D">
        <w:rPr>
          <w:rFonts w:cstheme="minorHAnsi"/>
          <w:sz w:val="24"/>
          <w:shd w:val="clear" w:color="auto" w:fill="FFFFFF"/>
        </w:rPr>
        <w:t xml:space="preserve"> </w:t>
      </w:r>
      <w:r w:rsidRPr="008F587D">
        <w:rPr>
          <w:rFonts w:cstheme="minorHAnsi"/>
          <w:sz w:val="24"/>
        </w:rPr>
        <w:t xml:space="preserve">ADA National Network </w:t>
      </w:r>
      <w:hyperlink r:id="rId11" w:history="1">
        <w:r w:rsidRPr="008F587D">
          <w:rPr>
            <w:rStyle w:val="Hyperlink"/>
            <w:rFonts w:cstheme="minorHAnsi"/>
            <w:color w:val="auto"/>
            <w:sz w:val="24"/>
          </w:rPr>
          <w:t>https://adata.org/factsheet/quicktips-tax</w:t>
        </w:r>
      </w:hyperlink>
    </w:p>
    <w:p w14:paraId="0957A4C7" w14:textId="51F2261A" w:rsidR="00D815AB" w:rsidRPr="00D815AB" w:rsidRDefault="00D815AB" w:rsidP="00F97FD3">
      <w:pPr>
        <w:pStyle w:val="ListParagraph"/>
        <w:spacing w:after="0" w:line="240" w:lineRule="auto"/>
        <w:ind w:left="1440"/>
        <w:rPr>
          <w:rStyle w:val="Hyperlink"/>
          <w:rFonts w:cstheme="minorHAnsi"/>
          <w:b/>
          <w:color w:val="auto"/>
          <w:sz w:val="24"/>
          <w:u w:val="none"/>
          <w:shd w:val="clear" w:color="auto" w:fill="FFFFFF"/>
        </w:rPr>
      </w:pPr>
    </w:p>
    <w:p w14:paraId="2F7E6520" w14:textId="0314CECC" w:rsidR="00181DBA" w:rsidRPr="008F587D" w:rsidRDefault="00181DBA" w:rsidP="00D50448">
      <w:pPr>
        <w:pStyle w:val="ListParagraph"/>
        <w:numPr>
          <w:ilvl w:val="0"/>
          <w:numId w:val="8"/>
        </w:numPr>
        <w:spacing w:after="0" w:line="240" w:lineRule="auto"/>
        <w:rPr>
          <w:rFonts w:cstheme="minorHAnsi"/>
          <w:b/>
          <w:sz w:val="24"/>
          <w:shd w:val="clear" w:color="auto" w:fill="FFFFFF"/>
        </w:rPr>
      </w:pPr>
      <w:r w:rsidRPr="008F587D">
        <w:rPr>
          <w:rFonts w:cstheme="minorHAnsi"/>
          <w:b/>
          <w:sz w:val="24"/>
          <w:shd w:val="clear" w:color="auto" w:fill="FFFFFF"/>
        </w:rPr>
        <w:t xml:space="preserve">Accessibility </w:t>
      </w:r>
      <w:r w:rsidR="004D40D0">
        <w:rPr>
          <w:rFonts w:cstheme="minorHAnsi"/>
          <w:b/>
          <w:sz w:val="24"/>
          <w:shd w:val="clear" w:color="auto" w:fill="FFFFFF"/>
        </w:rPr>
        <w:t>Should</w:t>
      </w:r>
      <w:r w:rsidR="004D40D0" w:rsidRPr="008F587D">
        <w:rPr>
          <w:rFonts w:cstheme="minorHAnsi"/>
          <w:b/>
          <w:sz w:val="24"/>
          <w:shd w:val="clear" w:color="auto" w:fill="FFFFFF"/>
        </w:rPr>
        <w:t xml:space="preserve"> </w:t>
      </w:r>
      <w:r w:rsidRPr="008F587D">
        <w:rPr>
          <w:rFonts w:cstheme="minorHAnsi"/>
          <w:b/>
          <w:sz w:val="24"/>
          <w:shd w:val="clear" w:color="auto" w:fill="FFFFFF"/>
        </w:rPr>
        <w:t>Be Part of A Broader Quality Strategy to Enhance the Patient Experience and Address Disparities:</w:t>
      </w:r>
    </w:p>
    <w:p w14:paraId="1EFA5831" w14:textId="2B829CD6" w:rsidR="00181DBA" w:rsidRPr="008F587D" w:rsidRDefault="00181DBA" w:rsidP="00D50448">
      <w:pPr>
        <w:pStyle w:val="ListParagraph"/>
        <w:numPr>
          <w:ilvl w:val="0"/>
          <w:numId w:val="9"/>
        </w:numPr>
        <w:spacing w:after="0" w:line="240" w:lineRule="auto"/>
        <w:rPr>
          <w:rFonts w:cstheme="minorHAnsi"/>
          <w:sz w:val="24"/>
          <w:shd w:val="clear" w:color="auto" w:fill="FFFFFF"/>
        </w:rPr>
      </w:pPr>
      <w:r w:rsidRPr="008F587D">
        <w:rPr>
          <w:rFonts w:cstheme="minorHAnsi"/>
          <w:sz w:val="24"/>
          <w:shd w:val="clear" w:color="auto" w:fill="FFFFFF"/>
        </w:rPr>
        <w:t xml:space="preserve">Accessible facilities </w:t>
      </w:r>
      <w:r w:rsidR="00D229D1">
        <w:rPr>
          <w:rFonts w:cstheme="minorHAnsi"/>
          <w:sz w:val="24"/>
          <w:shd w:val="clear" w:color="auto" w:fill="FFFFFF"/>
        </w:rPr>
        <w:t xml:space="preserve">promote better, </w:t>
      </w:r>
      <w:r w:rsidR="00D815AB">
        <w:rPr>
          <w:rFonts w:cstheme="minorHAnsi"/>
          <w:sz w:val="24"/>
          <w:shd w:val="clear" w:color="auto" w:fill="FFFFFF"/>
        </w:rPr>
        <w:t xml:space="preserve">safer </w:t>
      </w:r>
      <w:r w:rsidRPr="008F587D">
        <w:rPr>
          <w:rFonts w:cstheme="minorHAnsi"/>
          <w:sz w:val="24"/>
          <w:shd w:val="clear" w:color="auto" w:fill="FFFFFF"/>
        </w:rPr>
        <w:t xml:space="preserve">clinical care and lead to better </w:t>
      </w:r>
      <w:r w:rsidR="00D229D1">
        <w:rPr>
          <w:rFonts w:cstheme="minorHAnsi"/>
          <w:sz w:val="24"/>
          <w:shd w:val="clear" w:color="auto" w:fill="FFFFFF"/>
        </w:rPr>
        <w:t xml:space="preserve">patient </w:t>
      </w:r>
      <w:r w:rsidRPr="008F587D">
        <w:rPr>
          <w:rFonts w:cstheme="minorHAnsi"/>
          <w:sz w:val="24"/>
          <w:shd w:val="clear" w:color="auto" w:fill="FFFFFF"/>
        </w:rPr>
        <w:t>health outcomes.</w:t>
      </w:r>
    </w:p>
    <w:p w14:paraId="051601EF" w14:textId="0FE9CB4A" w:rsidR="00181DBA" w:rsidRPr="008F587D" w:rsidRDefault="00181DBA" w:rsidP="00D50448">
      <w:pPr>
        <w:pStyle w:val="ListParagraph"/>
        <w:numPr>
          <w:ilvl w:val="0"/>
          <w:numId w:val="9"/>
        </w:numPr>
        <w:spacing w:after="0" w:line="240" w:lineRule="auto"/>
        <w:rPr>
          <w:rFonts w:cstheme="minorHAnsi"/>
          <w:sz w:val="24"/>
          <w:shd w:val="clear" w:color="auto" w:fill="FFFFFF"/>
        </w:rPr>
      </w:pPr>
      <w:r w:rsidRPr="008F587D">
        <w:rPr>
          <w:rFonts w:cstheme="minorHAnsi"/>
          <w:sz w:val="24"/>
          <w:shd w:val="clear" w:color="auto" w:fill="FFFFFF"/>
        </w:rPr>
        <w:t xml:space="preserve">Many elements of accessibility increase </w:t>
      </w:r>
      <w:r w:rsidR="00D815AB">
        <w:rPr>
          <w:rFonts w:cstheme="minorHAnsi"/>
          <w:sz w:val="24"/>
          <w:shd w:val="clear" w:color="auto" w:fill="FFFFFF"/>
        </w:rPr>
        <w:t xml:space="preserve">the </w:t>
      </w:r>
      <w:r w:rsidRPr="008F587D">
        <w:rPr>
          <w:rFonts w:cstheme="minorHAnsi"/>
          <w:sz w:val="24"/>
          <w:shd w:val="clear" w:color="auto" w:fill="FFFFFF"/>
        </w:rPr>
        <w:t>value and choice available to individuals seeking health care</w:t>
      </w:r>
      <w:r w:rsidR="00D815AB">
        <w:rPr>
          <w:rFonts w:cstheme="minorHAnsi"/>
          <w:sz w:val="24"/>
          <w:shd w:val="clear" w:color="auto" w:fill="FFFFFF"/>
        </w:rPr>
        <w:t>,</w:t>
      </w:r>
      <w:r w:rsidRPr="008F587D">
        <w:rPr>
          <w:rFonts w:cstheme="minorHAnsi"/>
          <w:sz w:val="24"/>
          <w:shd w:val="clear" w:color="auto" w:fill="FFFFFF"/>
        </w:rPr>
        <w:t xml:space="preserve"> </w:t>
      </w:r>
      <w:r w:rsidRPr="008F587D">
        <w:rPr>
          <w:rFonts w:cstheme="minorHAnsi"/>
          <w:i/>
          <w:iCs/>
          <w:sz w:val="24"/>
          <w:shd w:val="clear" w:color="auto" w:fill="FFFFFF"/>
        </w:rPr>
        <w:t>regardless</w:t>
      </w:r>
      <w:r w:rsidRPr="008F587D">
        <w:rPr>
          <w:rFonts w:cstheme="minorHAnsi"/>
          <w:sz w:val="24"/>
          <w:shd w:val="clear" w:color="auto" w:fill="FFFFFF"/>
        </w:rPr>
        <w:t xml:space="preserve"> of disability. </w:t>
      </w:r>
      <w:r w:rsidR="00D229D1">
        <w:rPr>
          <w:rFonts w:cstheme="minorHAnsi"/>
          <w:sz w:val="24"/>
          <w:shd w:val="clear" w:color="auto" w:fill="FFFFFF"/>
        </w:rPr>
        <w:t xml:space="preserve">Many of these features will benefit older adults, obese individuals, and those weakened by sickness or injuries. </w:t>
      </w:r>
    </w:p>
    <w:p w14:paraId="47D281C7" w14:textId="77777777" w:rsidR="002C3F73" w:rsidRPr="008F587D" w:rsidRDefault="002C3F73" w:rsidP="002C3F73">
      <w:pPr>
        <w:spacing w:after="0"/>
        <w:rPr>
          <w:rFonts w:cstheme="minorHAnsi"/>
          <w:sz w:val="24"/>
          <w:shd w:val="clear" w:color="auto" w:fill="FFFFFF"/>
        </w:rPr>
      </w:pPr>
    </w:p>
    <w:p w14:paraId="31A62A9A" w14:textId="5DF9E81D" w:rsidR="00657D42" w:rsidRPr="008F587D" w:rsidRDefault="00657D42" w:rsidP="002C3F73">
      <w:pPr>
        <w:spacing w:after="0"/>
        <w:rPr>
          <w:rFonts w:cstheme="minorHAnsi"/>
          <w:b/>
          <w:sz w:val="24"/>
          <w:shd w:val="clear" w:color="auto" w:fill="FFFFFF"/>
        </w:rPr>
      </w:pPr>
      <w:r w:rsidRPr="008F587D">
        <w:rPr>
          <w:rFonts w:cstheme="minorHAnsi"/>
          <w:b/>
          <w:sz w:val="24"/>
          <w:shd w:val="clear" w:color="auto" w:fill="FFFFFF"/>
        </w:rPr>
        <w:t xml:space="preserve">FREE TECHNICAL ASSISTANCE </w:t>
      </w:r>
      <w:r w:rsidR="004A6CF4" w:rsidRPr="008F587D">
        <w:rPr>
          <w:rFonts w:cstheme="minorHAnsi"/>
          <w:b/>
          <w:sz w:val="24"/>
          <w:shd w:val="clear" w:color="auto" w:fill="FFFFFF"/>
        </w:rPr>
        <w:t>IS AVAILABLE FROM</w:t>
      </w:r>
      <w:r w:rsidRPr="008F587D">
        <w:rPr>
          <w:rFonts w:cstheme="minorHAnsi"/>
          <w:b/>
          <w:sz w:val="24"/>
          <w:shd w:val="clear" w:color="auto" w:fill="FFFFFF"/>
        </w:rPr>
        <w:t>:</w:t>
      </w:r>
    </w:p>
    <w:p w14:paraId="22DE0158" w14:textId="0851D609" w:rsidR="00657D42" w:rsidRPr="00F97FD3" w:rsidRDefault="00657D42" w:rsidP="00D50448">
      <w:pPr>
        <w:pStyle w:val="ListParagraph"/>
        <w:numPr>
          <w:ilvl w:val="0"/>
          <w:numId w:val="10"/>
        </w:numPr>
        <w:spacing w:after="0"/>
        <w:jc w:val="both"/>
        <w:rPr>
          <w:rFonts w:eastAsia="Times New Roman" w:cstheme="minorHAnsi"/>
          <w:sz w:val="24"/>
        </w:rPr>
      </w:pPr>
      <w:r w:rsidRPr="00D229D1">
        <w:rPr>
          <w:rFonts w:eastAsia="Times New Roman" w:cstheme="minorHAnsi"/>
          <w:b/>
          <w:sz w:val="24"/>
        </w:rPr>
        <w:t>ADA National Network:</w:t>
      </w:r>
      <w:r w:rsidR="00510394" w:rsidRPr="00F97FD3">
        <w:rPr>
          <w:rFonts w:eastAsia="Times New Roman" w:cstheme="minorHAnsi"/>
          <w:sz w:val="24"/>
        </w:rPr>
        <w:t xml:space="preserve"> </w:t>
      </w:r>
      <w:hyperlink r:id="rId12" w:history="1">
        <w:r w:rsidR="00510394" w:rsidRPr="00F97FD3">
          <w:rPr>
            <w:rFonts w:eastAsia="Times New Roman"/>
          </w:rPr>
          <w:t>https://adata.org/find-your-region</w:t>
        </w:r>
      </w:hyperlink>
      <w:r w:rsidR="005F116C">
        <w:rPr>
          <w:rFonts w:eastAsia="Times New Roman"/>
        </w:rPr>
        <w:t xml:space="preserve"> </w:t>
      </w:r>
      <w:r w:rsidR="00510394" w:rsidRPr="00F97FD3">
        <w:rPr>
          <w:rFonts w:eastAsia="Times New Roman" w:cstheme="minorHAnsi"/>
          <w:sz w:val="24"/>
        </w:rPr>
        <w:t xml:space="preserve"> </w:t>
      </w:r>
    </w:p>
    <w:p w14:paraId="1AFB0767" w14:textId="468CCB1F" w:rsidR="00510394" w:rsidRPr="00F97FD3" w:rsidRDefault="00657D42" w:rsidP="00D50448">
      <w:pPr>
        <w:pStyle w:val="ListParagraph"/>
        <w:numPr>
          <w:ilvl w:val="0"/>
          <w:numId w:val="10"/>
        </w:numPr>
        <w:spacing w:after="0"/>
        <w:rPr>
          <w:rFonts w:eastAsia="Times New Roman" w:cstheme="minorHAnsi"/>
          <w:sz w:val="24"/>
        </w:rPr>
      </w:pPr>
      <w:r w:rsidRPr="00D229D1">
        <w:rPr>
          <w:rFonts w:eastAsia="Times New Roman" w:cstheme="minorHAnsi"/>
          <w:b/>
          <w:sz w:val="24"/>
        </w:rPr>
        <w:t xml:space="preserve">Department </w:t>
      </w:r>
      <w:r w:rsidRPr="002D0E9A">
        <w:rPr>
          <w:rFonts w:eastAsia="Times New Roman" w:cstheme="minorHAnsi"/>
          <w:b/>
          <w:sz w:val="24"/>
        </w:rPr>
        <w:t>of Justice:</w:t>
      </w:r>
      <w:r w:rsidRPr="00F97FD3">
        <w:rPr>
          <w:rFonts w:eastAsia="Times New Roman" w:cstheme="minorHAnsi"/>
          <w:sz w:val="24"/>
        </w:rPr>
        <w:t xml:space="preserve"> </w:t>
      </w:r>
      <w:r w:rsidR="00FF6D26" w:rsidRPr="00F97FD3">
        <w:rPr>
          <w:rFonts w:eastAsia="Times New Roman" w:cstheme="minorHAnsi"/>
          <w:sz w:val="24"/>
        </w:rPr>
        <w:t xml:space="preserve"> Website: </w:t>
      </w:r>
      <w:hyperlink r:id="rId13" w:history="1">
        <w:r w:rsidR="009D3319" w:rsidRPr="005F116C">
          <w:rPr>
            <w:rStyle w:val="Hyperlink"/>
            <w:rFonts w:cstheme="minorHAnsi"/>
            <w:color w:val="auto"/>
            <w:sz w:val="24"/>
            <w:shd w:val="clear" w:color="auto" w:fill="FFFFFF"/>
          </w:rPr>
          <w:t>http://www.ada.gov</w:t>
        </w:r>
      </w:hyperlink>
      <w:r w:rsidR="005F116C">
        <w:rPr>
          <w:rFonts w:eastAsia="Times New Roman"/>
        </w:rPr>
        <w:t xml:space="preserve"> </w:t>
      </w:r>
      <w:r w:rsidR="009D3319" w:rsidRPr="00F97FD3">
        <w:rPr>
          <w:rFonts w:eastAsia="Times New Roman" w:cstheme="minorHAnsi"/>
          <w:sz w:val="24"/>
        </w:rPr>
        <w:t xml:space="preserve"> </w:t>
      </w:r>
    </w:p>
    <w:p w14:paraId="5C3C05BF" w14:textId="24CECB2F" w:rsidR="00181DBA" w:rsidRPr="005F116C" w:rsidRDefault="00FF6D26" w:rsidP="00D50448">
      <w:pPr>
        <w:pStyle w:val="ListParagraph"/>
        <w:numPr>
          <w:ilvl w:val="0"/>
          <w:numId w:val="10"/>
        </w:numPr>
        <w:spacing w:after="0"/>
        <w:rPr>
          <w:rFonts w:eastAsia="Times New Roman" w:cstheme="minorHAnsi"/>
          <w:sz w:val="24"/>
        </w:rPr>
      </w:pPr>
      <w:r w:rsidRPr="00D229D1">
        <w:rPr>
          <w:rFonts w:eastAsia="Times New Roman" w:cstheme="minorHAnsi"/>
          <w:b/>
          <w:sz w:val="24"/>
        </w:rPr>
        <w:t>T</w:t>
      </w:r>
      <w:r w:rsidR="00D229D1" w:rsidRPr="00D229D1">
        <w:rPr>
          <w:rFonts w:eastAsia="Times New Roman" w:cstheme="minorHAnsi"/>
          <w:b/>
          <w:sz w:val="24"/>
        </w:rPr>
        <w:t xml:space="preserve">oll-free ADA Information </w:t>
      </w:r>
      <w:r w:rsidR="00D229D1" w:rsidRPr="00D229D1">
        <w:rPr>
          <w:rFonts w:eastAsia="Times New Roman" w:cstheme="minorHAnsi"/>
          <w:sz w:val="24"/>
        </w:rPr>
        <w:t>Line:</w:t>
      </w:r>
      <w:r w:rsidR="00D229D1">
        <w:rPr>
          <w:rFonts w:eastAsia="Times New Roman" w:cstheme="minorHAnsi"/>
          <w:sz w:val="24"/>
        </w:rPr>
        <w:t xml:space="preserve"> </w:t>
      </w:r>
      <w:r w:rsidRPr="008F587D">
        <w:rPr>
          <w:rFonts w:eastAsia="Times New Roman" w:cstheme="minorHAnsi"/>
          <w:sz w:val="24"/>
        </w:rPr>
        <w:t>800 - 514 - 0301</w:t>
      </w:r>
      <w:r w:rsidRPr="005F116C">
        <w:rPr>
          <w:rFonts w:eastAsia="Times New Roman" w:cstheme="minorHAnsi"/>
          <w:sz w:val="24"/>
        </w:rPr>
        <w:t xml:space="preserve"> (voice) </w:t>
      </w:r>
      <w:r w:rsidR="00657D42" w:rsidRPr="005F116C">
        <w:rPr>
          <w:rFonts w:eastAsia="Times New Roman" w:cstheme="minorHAnsi"/>
          <w:sz w:val="24"/>
        </w:rPr>
        <w:t>800 - 514 - 0383 (TTY)</w:t>
      </w:r>
    </w:p>
    <w:p w14:paraId="14D236F2" w14:textId="0E18C349" w:rsidR="00DF7D1D" w:rsidRPr="0090162D" w:rsidRDefault="00D229D1" w:rsidP="0090162D">
      <w:pPr>
        <w:pStyle w:val="ListParagraph"/>
        <w:numPr>
          <w:ilvl w:val="0"/>
          <w:numId w:val="10"/>
        </w:numPr>
        <w:spacing w:after="0"/>
        <w:rPr>
          <w:rFonts w:eastAsia="Times New Roman" w:cstheme="minorHAnsi"/>
          <w:sz w:val="24"/>
        </w:rPr>
      </w:pPr>
      <w:r w:rsidRPr="00D229D1">
        <w:rPr>
          <w:rFonts w:eastAsia="Times New Roman" w:cstheme="minorHAnsi"/>
          <w:b/>
          <w:sz w:val="24"/>
        </w:rPr>
        <w:t>U.S. Access Board:</w:t>
      </w:r>
      <w:r>
        <w:rPr>
          <w:rFonts w:eastAsia="Times New Roman" w:cstheme="minorHAnsi"/>
          <w:sz w:val="24"/>
        </w:rPr>
        <w:t xml:space="preserve"> </w:t>
      </w:r>
      <w:hyperlink r:id="rId14" w:history="1">
        <w:r w:rsidRPr="00086F0D">
          <w:rPr>
            <w:rStyle w:val="Hyperlink"/>
            <w:rFonts w:eastAsia="Times New Roman" w:cstheme="minorHAnsi"/>
            <w:sz w:val="24"/>
          </w:rPr>
          <w:t>https://www.access-board.gov/</w:t>
        </w:r>
      </w:hyperlink>
      <w:r>
        <w:rPr>
          <w:rFonts w:eastAsia="Times New Roman" w:cstheme="minorHAnsi"/>
          <w:sz w:val="24"/>
        </w:rPr>
        <w:t xml:space="preserve"> </w:t>
      </w:r>
      <w:r w:rsidR="00FE3687" w:rsidRPr="0090162D">
        <w:rPr>
          <w:rFonts w:eastAsia="Times New Roman" w:cstheme="minorHAnsi"/>
        </w:rPr>
        <w:t xml:space="preserve"> </w:t>
      </w:r>
    </w:p>
    <w:sectPr w:rsidR="00DF7D1D" w:rsidRPr="0090162D" w:rsidSect="00020FB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2DEB" w14:textId="77777777" w:rsidR="00914B58" w:rsidRDefault="00914B58" w:rsidP="00C30024">
      <w:pPr>
        <w:spacing w:after="0" w:line="240" w:lineRule="auto"/>
      </w:pPr>
      <w:r>
        <w:separator/>
      </w:r>
    </w:p>
  </w:endnote>
  <w:endnote w:type="continuationSeparator" w:id="0">
    <w:p w14:paraId="436A58B9" w14:textId="77777777" w:rsidR="00914B58" w:rsidRDefault="00914B58" w:rsidP="00C30024">
      <w:pPr>
        <w:spacing w:after="0" w:line="240" w:lineRule="auto"/>
      </w:pPr>
      <w:r>
        <w:continuationSeparator/>
      </w:r>
    </w:p>
  </w:endnote>
  <w:endnote w:id="1">
    <w:p w14:paraId="3809A448" w14:textId="4331B40F" w:rsidR="00E839CC" w:rsidRPr="00E839CC" w:rsidRDefault="00E839CC" w:rsidP="00E839CC">
      <w:pPr>
        <w:pStyle w:val="FootnoteText"/>
        <w:rPr>
          <w:szCs w:val="16"/>
        </w:rPr>
      </w:pPr>
      <w:r>
        <w:rPr>
          <w:rStyle w:val="EndnoteReference"/>
        </w:rPr>
        <w:endnoteRef/>
      </w:r>
      <w:r>
        <w:t xml:space="preserve"> </w:t>
      </w:r>
      <w:r w:rsidRPr="008F587D">
        <w:rPr>
          <w:szCs w:val="16"/>
        </w:rPr>
        <w:t xml:space="preserve">US Access Board, </w:t>
      </w:r>
      <w:r w:rsidRPr="00E8754D">
        <w:rPr>
          <w:i/>
          <w:szCs w:val="16"/>
        </w:rPr>
        <w:t>Standards for Accessib</w:t>
      </w:r>
      <w:r w:rsidR="0059126C" w:rsidRPr="00E8754D">
        <w:rPr>
          <w:i/>
          <w:szCs w:val="16"/>
        </w:rPr>
        <w:t>le Medical Diagnostic Equipment</w:t>
      </w:r>
      <w:r w:rsidRPr="008F587D">
        <w:rPr>
          <w:szCs w:val="16"/>
        </w:rPr>
        <w:t xml:space="preserve">, 36 CFR Part 1195  </w:t>
      </w:r>
      <w:hyperlink r:id="rId1" w:history="1">
        <w:r w:rsidRPr="008F587D">
          <w:rPr>
            <w:rStyle w:val="Hyperlink"/>
            <w:color w:val="auto"/>
            <w:szCs w:val="16"/>
          </w:rPr>
          <w:t>https://www.access-board.gov/guidelines-and-standards/health-care/about-this-rulemaking</w:t>
        </w:r>
      </w:hyperlink>
      <w:r w:rsidR="006D4E6B">
        <w:rPr>
          <w:rStyle w:val="Hyperlink"/>
          <w:color w:val="auto"/>
          <w:szCs w:val="16"/>
        </w:rPr>
        <w:t xml:space="preserve"> </w:t>
      </w:r>
      <w:r w:rsidRPr="008F587D">
        <w:rPr>
          <w:szCs w:val="16"/>
        </w:rPr>
        <w:t xml:space="preserve"> </w:t>
      </w:r>
    </w:p>
  </w:endnote>
  <w:endnote w:id="2">
    <w:p w14:paraId="468B9364" w14:textId="6AC29BAC" w:rsidR="00E839CC" w:rsidRDefault="00E839CC" w:rsidP="00E839CC">
      <w:pPr>
        <w:pStyle w:val="EndnoteText"/>
      </w:pPr>
      <w:r>
        <w:rPr>
          <w:rStyle w:val="EndnoteReference"/>
        </w:rPr>
        <w:endnoteRef/>
      </w:r>
      <w:r>
        <w:t xml:space="preserve"> </w:t>
      </w:r>
      <w:r w:rsidR="006D4E6B">
        <w:rPr>
          <w:szCs w:val="16"/>
        </w:rPr>
        <w:t xml:space="preserve">See </w:t>
      </w:r>
      <w:r w:rsidR="006D4E6B" w:rsidRPr="00133899">
        <w:rPr>
          <w:i/>
          <w:szCs w:val="16"/>
        </w:rPr>
        <w:t>Ibid</w:t>
      </w:r>
      <w:r w:rsidR="006D4E6B">
        <w:rPr>
          <w:szCs w:val="16"/>
        </w:rPr>
        <w:t xml:space="preserve">. at </w:t>
      </w:r>
      <w:hyperlink r:id="rId2" w:history="1">
        <w:r w:rsidR="006D4E6B" w:rsidRPr="006D4E6B">
          <w:rPr>
            <w:rStyle w:val="Hyperlink"/>
            <w:sz w:val="16"/>
            <w:szCs w:val="16"/>
          </w:rPr>
          <w:t>https://www.access-board.gov/guidelines-and-standards/health-care/about-this-rulemaking/final-standards-2/text-of-the-proposed-standards-7</w:t>
        </w:r>
      </w:hyperlink>
      <w:r w:rsidR="006D4E6B">
        <w:rPr>
          <w:szCs w:val="16"/>
        </w:rPr>
        <w:t xml:space="preserve"> for price comparisons of accessible MDE compared to their manual counterparts based on informal market research by the Access Board from January to June of 2016. </w:t>
      </w:r>
    </w:p>
  </w:endnote>
  <w:endnote w:id="3">
    <w:p w14:paraId="47795EF2" w14:textId="065B60CA" w:rsidR="0059126C" w:rsidRDefault="00E839CC">
      <w:pPr>
        <w:pStyle w:val="EndnoteText"/>
      </w:pPr>
      <w:r>
        <w:rPr>
          <w:rStyle w:val="EndnoteReference"/>
        </w:rPr>
        <w:endnoteRef/>
      </w:r>
      <w:r>
        <w:t xml:space="preserve"> </w:t>
      </w:r>
      <w:r w:rsidR="0059126C" w:rsidRPr="0059126C">
        <w:t xml:space="preserve">Iezzoni, L and Pendo, E, </w:t>
      </w:r>
      <w:r w:rsidR="000004E1">
        <w:t>“</w:t>
      </w:r>
      <w:r w:rsidR="0059126C" w:rsidRPr="000004E1">
        <w:t>Accessibility of Medical Diagnostic Equipment - Implicati</w:t>
      </w:r>
      <w:r w:rsidR="000004E1" w:rsidRPr="000004E1">
        <w:t>ons for People with Disability,”</w:t>
      </w:r>
      <w:r w:rsidR="000004E1">
        <w:rPr>
          <w:i/>
        </w:rPr>
        <w:t xml:space="preserve"> </w:t>
      </w:r>
      <w:hyperlink r:id="rId3" w:tgtFrame="_blank" w:history="1">
        <w:r w:rsidR="0059126C" w:rsidRPr="00133899">
          <w:rPr>
            <w:rStyle w:val="Hyperlink"/>
            <w:i/>
          </w:rPr>
          <w:t>New England Journal of Medicine</w:t>
        </w:r>
      </w:hyperlink>
      <w:r w:rsidR="0059126C" w:rsidRPr="00133899">
        <w:rPr>
          <w:i/>
        </w:rPr>
        <w:t xml:space="preserve"> (NEJM</w:t>
      </w:r>
      <w:r w:rsidR="0059126C" w:rsidRPr="0059126C">
        <w:t>) 378(15):1371-1373 · April 2018.</w:t>
      </w:r>
    </w:p>
  </w:endnote>
  <w:endnote w:id="4">
    <w:p w14:paraId="4CA4E70A" w14:textId="798FEA18" w:rsidR="00E02941" w:rsidRDefault="00E02941">
      <w:pPr>
        <w:pStyle w:val="EndnoteText"/>
      </w:pPr>
      <w:r>
        <w:rPr>
          <w:rStyle w:val="EndnoteReference"/>
        </w:rPr>
        <w:endnoteRef/>
      </w:r>
      <w:r>
        <w:t xml:space="preserve"> </w:t>
      </w:r>
      <w:r w:rsidRPr="008F587D">
        <w:rPr>
          <w:szCs w:val="16"/>
        </w:rPr>
        <w:t xml:space="preserve">US Access Board, </w:t>
      </w:r>
      <w:r w:rsidRPr="00E8754D">
        <w:rPr>
          <w:i/>
          <w:szCs w:val="16"/>
        </w:rPr>
        <w:t>Standards for Accessible Medical Diagnostic Equipment</w:t>
      </w:r>
      <w:r w:rsidRPr="008F587D">
        <w:rPr>
          <w:szCs w:val="16"/>
        </w:rPr>
        <w:t xml:space="preserve">, 36 CFR Part 1195  </w:t>
      </w:r>
      <w:hyperlink r:id="rId4" w:history="1">
        <w:r w:rsidRPr="00590AD1">
          <w:rPr>
            <w:rStyle w:val="Hyperlink"/>
            <w:szCs w:val="16"/>
          </w:rPr>
          <w:t>https://www.access-board.gov/guidelines-and-standards/health-care/about-this-rulemaking/final-standards</w:t>
        </w:r>
      </w:hyperlink>
      <w:r>
        <w:rPr>
          <w:szCs w:val="16"/>
        </w:rPr>
        <w:t xml:space="preserve"> </w:t>
      </w:r>
    </w:p>
  </w:endnote>
  <w:endnote w:id="5">
    <w:p w14:paraId="49BD5BAA" w14:textId="04D0901E" w:rsidR="0059126C" w:rsidRPr="0059126C" w:rsidRDefault="0059126C" w:rsidP="0059126C">
      <w:pPr>
        <w:pStyle w:val="EndnoteText"/>
      </w:pPr>
      <w:r>
        <w:rPr>
          <w:rStyle w:val="EndnoteReference"/>
        </w:rPr>
        <w:endnoteRef/>
      </w:r>
      <w:r>
        <w:t xml:space="preserve"> </w:t>
      </w:r>
      <w:r w:rsidRPr="0059126C">
        <w:t>Lagu T</w:t>
      </w:r>
      <w:r w:rsidR="008434A3">
        <w:t>.</w:t>
      </w:r>
      <w:r w:rsidRPr="0059126C">
        <w:t xml:space="preserve">, Hannon NS, Rothberg MB, et al. </w:t>
      </w:r>
      <w:r w:rsidR="000004E1" w:rsidRPr="000004E1">
        <w:t>“</w:t>
      </w:r>
      <w:r w:rsidRPr="000004E1">
        <w:t>Access to subspecialty care for patients wit</w:t>
      </w:r>
      <w:r w:rsidR="008434A3">
        <w:t>h mobility impairment: a survey,</w:t>
      </w:r>
      <w:r w:rsidR="000004E1" w:rsidRPr="000004E1">
        <w:t>”</w:t>
      </w:r>
      <w:r w:rsidRPr="000004E1">
        <w:t xml:space="preserve"> </w:t>
      </w:r>
      <w:r w:rsidRPr="000004E1">
        <w:rPr>
          <w:i/>
        </w:rPr>
        <w:t>Annals of Internal Med</w:t>
      </w:r>
      <w:r w:rsidR="000004E1" w:rsidRPr="000004E1">
        <w:rPr>
          <w:i/>
        </w:rPr>
        <w:t>i</w:t>
      </w:r>
      <w:r w:rsidRPr="000004E1">
        <w:rPr>
          <w:i/>
        </w:rPr>
        <w:t>cine.</w:t>
      </w:r>
      <w:r>
        <w:t xml:space="preserve"> 2013.</w:t>
      </w:r>
    </w:p>
  </w:endnote>
  <w:endnote w:id="6">
    <w:p w14:paraId="6E0899C9" w14:textId="43A59EBC" w:rsidR="0059126C" w:rsidRDefault="0059126C">
      <w:pPr>
        <w:pStyle w:val="EndnoteText"/>
      </w:pPr>
      <w:r>
        <w:rPr>
          <w:rStyle w:val="EndnoteReference"/>
        </w:rPr>
        <w:endnoteRef/>
      </w:r>
      <w:r>
        <w:t xml:space="preserve"> </w:t>
      </w:r>
      <w:r w:rsidR="008F02C4">
        <w:rPr>
          <w:szCs w:val="16"/>
        </w:rPr>
        <w:t>Mudrick,</w:t>
      </w:r>
      <w:r w:rsidR="008434A3">
        <w:rPr>
          <w:szCs w:val="16"/>
        </w:rPr>
        <w:t xml:space="preserve"> N., </w:t>
      </w:r>
      <w:r w:rsidR="008F02C4">
        <w:rPr>
          <w:szCs w:val="16"/>
        </w:rPr>
        <w:t>Breslin,</w:t>
      </w:r>
      <w:r w:rsidR="008434A3">
        <w:rPr>
          <w:szCs w:val="16"/>
        </w:rPr>
        <w:t xml:space="preserve"> ML, Liang, M. &amp; </w:t>
      </w:r>
      <w:r w:rsidR="008F02C4">
        <w:rPr>
          <w:szCs w:val="16"/>
        </w:rPr>
        <w:t>Yee,</w:t>
      </w:r>
      <w:r w:rsidR="008434A3">
        <w:rPr>
          <w:szCs w:val="16"/>
        </w:rPr>
        <w:t xml:space="preserve"> S. </w:t>
      </w:r>
      <w:r w:rsidR="000004E1" w:rsidRPr="000004E1">
        <w:rPr>
          <w:szCs w:val="16"/>
        </w:rPr>
        <w:t>“</w:t>
      </w:r>
      <w:r w:rsidRPr="000004E1">
        <w:rPr>
          <w:szCs w:val="16"/>
        </w:rPr>
        <w:t>Physical accessibility in primary health care settings: Results f</w:t>
      </w:r>
      <w:r w:rsidR="00E8754D" w:rsidRPr="000004E1">
        <w:rPr>
          <w:szCs w:val="16"/>
        </w:rPr>
        <w:t>rom California on-site reviews,</w:t>
      </w:r>
      <w:r w:rsidR="000004E1" w:rsidRPr="000004E1">
        <w:rPr>
          <w:szCs w:val="16"/>
        </w:rPr>
        <w:t>”</w:t>
      </w:r>
      <w:r w:rsidRPr="000004E1">
        <w:rPr>
          <w:szCs w:val="16"/>
        </w:rPr>
        <w:t xml:space="preserve"> </w:t>
      </w:r>
      <w:r w:rsidRPr="000004E1">
        <w:rPr>
          <w:i/>
          <w:szCs w:val="16"/>
        </w:rPr>
        <w:t>Disability and Health Journal</w:t>
      </w:r>
      <w:r w:rsidRPr="008F587D">
        <w:rPr>
          <w:i/>
          <w:szCs w:val="16"/>
        </w:rPr>
        <w:t xml:space="preserve"> </w:t>
      </w:r>
      <w:r w:rsidRPr="008F587D">
        <w:rPr>
          <w:szCs w:val="16"/>
        </w:rPr>
        <w:t>5 (2012) 159-167</w:t>
      </w:r>
      <w:r>
        <w:rPr>
          <w:szCs w:val="16"/>
        </w:rPr>
        <w:t xml:space="preserve">.  </w:t>
      </w:r>
    </w:p>
  </w:endnote>
  <w:endnote w:id="7">
    <w:p w14:paraId="27AD764C" w14:textId="6B21DBAF" w:rsidR="008434A3" w:rsidRDefault="007B48CA">
      <w:pPr>
        <w:pStyle w:val="EndnoteText"/>
      </w:pPr>
      <w:r>
        <w:rPr>
          <w:rStyle w:val="EndnoteReference"/>
        </w:rPr>
        <w:endnoteRef/>
      </w:r>
      <w:r w:rsidRPr="007B48CA">
        <w:t xml:space="preserve"> Mudrick</w:t>
      </w:r>
      <w:r w:rsidR="008434A3">
        <w:t>, N. Breslin, ML. and Swagger</w:t>
      </w:r>
      <w:r w:rsidR="004B0018">
        <w:t>,</w:t>
      </w:r>
      <w:r w:rsidR="008434A3">
        <w:t xml:space="preserve"> LA.</w:t>
      </w:r>
      <w:r w:rsidR="004B0018" w:rsidRPr="000004E1">
        <w:t xml:space="preserve"> </w:t>
      </w:r>
      <w:r w:rsidR="000004E1">
        <w:t>“</w:t>
      </w:r>
      <w:r w:rsidRPr="000004E1">
        <w:t>Equal Care: Accessibility of health care settings for people with disabi</w:t>
      </w:r>
      <w:r w:rsidR="004B0018" w:rsidRPr="000004E1">
        <w:t>lities across two time periods</w:t>
      </w:r>
      <w:r w:rsidR="000004E1">
        <w:t>,”</w:t>
      </w:r>
      <w:r w:rsidRPr="004B0018">
        <w:rPr>
          <w:i/>
        </w:rPr>
        <w:t xml:space="preserve"> </w:t>
      </w:r>
      <w:r w:rsidRPr="007B48CA">
        <w:t>2018</w:t>
      </w:r>
      <w:r>
        <w:t>.</w:t>
      </w:r>
    </w:p>
  </w:endnote>
  <w:endnote w:id="8">
    <w:p w14:paraId="41565B68" w14:textId="6CD8FD98" w:rsidR="008434A3" w:rsidRDefault="008434A3" w:rsidP="008434A3">
      <w:pPr>
        <w:pStyle w:val="EndnoteText"/>
      </w:pPr>
      <w:r>
        <w:rPr>
          <w:rStyle w:val="EndnoteReference"/>
        </w:rPr>
        <w:endnoteRef/>
      </w:r>
      <w:r>
        <w:t xml:space="preserve"> </w:t>
      </w:r>
      <w:r w:rsidRPr="00E8754D">
        <w:t xml:space="preserve">Steele CB, Townsend JS, Courtney-Long EA, Young M. </w:t>
      </w:r>
      <w:r>
        <w:t>“</w:t>
      </w:r>
      <w:r w:rsidRPr="000004E1">
        <w:t>Prevalence of Cancer Screening Among Adults With Disabilities, United States</w:t>
      </w:r>
      <w:r w:rsidRPr="00E8754D">
        <w:t>, 2013.</w:t>
      </w:r>
      <w:r>
        <w:t>”</w:t>
      </w:r>
      <w:r w:rsidRPr="00E8754D">
        <w:t xml:space="preserve"> </w:t>
      </w:r>
      <w:r w:rsidRPr="000004E1">
        <w:rPr>
          <w:i/>
        </w:rPr>
        <w:t>Prev Chronic Dis</w:t>
      </w:r>
      <w:r w:rsidRPr="00E8754D">
        <w:t xml:space="preserve"> 2017;14:160312. DOI: </w:t>
      </w:r>
      <w:hyperlink r:id="rId5" w:tgtFrame="_self" w:history="1">
        <w:r w:rsidRPr="00E8754D">
          <w:rPr>
            <w:rStyle w:val="Hyperlink"/>
          </w:rPr>
          <w:t>http://dx.doi.org/10.5888/pcd14.160312</w:t>
        </w:r>
      </w:hyperlink>
      <w:r>
        <w:rPr>
          <w:rStyle w:val="Hyperlink"/>
        </w:rPr>
        <w:t xml:space="preserve"> </w:t>
      </w:r>
      <w:r>
        <w:t>Note: these numbers apply only to those who are recommended as age appropriate for screenings by the USPSTF;</w:t>
      </w:r>
    </w:p>
  </w:endnote>
  <w:endnote w:id="9">
    <w:p w14:paraId="413E4D1E" w14:textId="10780BEE" w:rsidR="008434A3" w:rsidRDefault="008434A3" w:rsidP="008434A3">
      <w:pPr>
        <w:pStyle w:val="EndnoteText"/>
      </w:pPr>
      <w:r>
        <w:rPr>
          <w:rStyle w:val="EndnoteReference"/>
        </w:rPr>
        <w:endnoteRef/>
      </w:r>
      <w:r>
        <w:t xml:space="preserve"> For rates of cardiovascular disease and obesity, see Krahn, G.</w:t>
      </w:r>
      <w:r w:rsidRPr="00D7145F">
        <w:t xml:space="preserve">, </w:t>
      </w:r>
      <w:r>
        <w:t>Walker, D.</w:t>
      </w:r>
      <w:r w:rsidRPr="00D7145F">
        <w:t xml:space="preserve"> and Correa-De-Araujo</w:t>
      </w:r>
      <w:r>
        <w:t>, R.</w:t>
      </w:r>
      <w:r w:rsidRPr="00D7145F">
        <w:t xml:space="preserve"> </w:t>
      </w:r>
      <w:r>
        <w:t>“</w:t>
      </w:r>
      <w:r w:rsidRPr="00D7145F">
        <w:t>Persons With Disabilities as an Unrecognized Health Disparity Population.</w:t>
      </w:r>
      <w:r>
        <w:t>”</w:t>
      </w:r>
      <w:r w:rsidRPr="00D7145F">
        <w:t xml:space="preserve"> </w:t>
      </w:r>
      <w:r w:rsidRPr="008434A3">
        <w:rPr>
          <w:i/>
        </w:rPr>
        <w:t>American Journal of Public Health</w:t>
      </w:r>
      <w:r w:rsidRPr="00D7145F">
        <w:t>: April 2015, Vol. 105, No. S2, pp. S198-S206</w:t>
      </w:r>
      <w:r>
        <w:t xml:space="preserve">, referenced by CDC, “Common Barriers to Participation Experienced by People with Disabilities,” accessed online at </w:t>
      </w:r>
      <w:hyperlink r:id="rId6" w:history="1">
        <w:r w:rsidRPr="00590AD1">
          <w:rPr>
            <w:rStyle w:val="Hyperlink"/>
          </w:rPr>
          <w:t>https://www.cdc.gov/ncbddd/disabilityandhealth/disability-barriers.html</w:t>
        </w:r>
      </w:hyperlink>
      <w:r>
        <w:t>.</w:t>
      </w:r>
    </w:p>
  </w:endnote>
  <w:endnote w:id="10">
    <w:p w14:paraId="5612D2C7" w14:textId="2F41F996" w:rsidR="00E8754D" w:rsidRPr="004B0018" w:rsidRDefault="00E8754D" w:rsidP="00E8754D">
      <w:pPr>
        <w:pStyle w:val="EndnoteText"/>
        <w:rPr>
          <w:u w:val="single"/>
        </w:rPr>
      </w:pPr>
      <w:r>
        <w:rPr>
          <w:rStyle w:val="EndnoteReference"/>
        </w:rPr>
        <w:endnoteRef/>
      </w:r>
      <w:r>
        <w:t xml:space="preserve"> </w:t>
      </w:r>
      <w:r w:rsidR="004B0018">
        <w:t xml:space="preserve">Karpman, M. &amp; Long, S. </w:t>
      </w:r>
      <w:r w:rsidR="000004E1" w:rsidRPr="000004E1">
        <w:t>“</w:t>
      </w:r>
      <w:r w:rsidRPr="000004E1">
        <w:t xml:space="preserve">QuickTake: Even with Coverage, Many Adults Have Problems Getting Health Care, with Problems Most Prevalent </w:t>
      </w:r>
      <w:r w:rsidR="004B0018" w:rsidRPr="000004E1">
        <w:t>among Adults with Disabilities,</w:t>
      </w:r>
      <w:r w:rsidR="000004E1" w:rsidRPr="000004E1">
        <w:t>”</w:t>
      </w:r>
      <w:r w:rsidRPr="004B0018">
        <w:rPr>
          <w:i/>
        </w:rPr>
        <w:t xml:space="preserve"> </w:t>
      </w:r>
      <w:r w:rsidRPr="000004E1">
        <w:rPr>
          <w:i/>
        </w:rPr>
        <w:t>Urban Institute</w:t>
      </w:r>
      <w:r w:rsidRPr="00E8754D">
        <w:t>, 9/24/15</w:t>
      </w:r>
      <w:r w:rsidR="00CD55E8">
        <w:t>, accessed online at</w:t>
      </w:r>
      <w:r w:rsidRPr="00E8754D">
        <w:t xml:space="preserve">  </w:t>
      </w:r>
      <w:hyperlink r:id="rId7" w:history="1">
        <w:r w:rsidRPr="00E8754D">
          <w:rPr>
            <w:rStyle w:val="Hyperlink"/>
          </w:rPr>
          <w:t>http://hrms.urban.org/quicktakes/Many-Adults-Have-Problems-Getting-Health-Care.html</w:t>
        </w:r>
      </w:hyperlink>
    </w:p>
  </w:endnote>
  <w:endnote w:id="11">
    <w:p w14:paraId="14D1E473" w14:textId="76F975A8" w:rsidR="00E8754D" w:rsidRDefault="00E8754D" w:rsidP="00AD315A">
      <w:pPr>
        <w:pStyle w:val="CommentText"/>
        <w:spacing w:after="0"/>
      </w:pPr>
      <w:r>
        <w:rPr>
          <w:rStyle w:val="EndnoteReference"/>
        </w:rPr>
        <w:endnoteRef/>
      </w:r>
      <w:r>
        <w:t xml:space="preserve"> </w:t>
      </w:r>
      <w:r w:rsidR="004B0018" w:rsidRPr="004B0018">
        <w:t xml:space="preserve"> Henning Smith, McAlpine, Shopee and Priebe (2013)</w:t>
      </w:r>
      <w:r w:rsidR="004B0018" w:rsidRPr="000004E1">
        <w:t xml:space="preserve"> </w:t>
      </w:r>
      <w:r w:rsidR="000004E1">
        <w:t>“</w:t>
      </w:r>
      <w:r w:rsidR="004B0018" w:rsidRPr="000004E1">
        <w:t>Delayed and unmet need for medical care among publicly insured adults with disabilities.</w:t>
      </w:r>
      <w:r w:rsidR="000004E1">
        <w:t>”</w:t>
      </w:r>
      <w:r w:rsidR="004B0018" w:rsidRPr="000004E1">
        <w:t xml:space="preserve"> </w:t>
      </w:r>
      <w:r w:rsidR="004B0018" w:rsidRPr="000004E1">
        <w:rPr>
          <w:i/>
        </w:rPr>
        <w:t>Medical Care</w:t>
      </w:r>
      <w:r w:rsidR="004B0018" w:rsidRPr="004B0018">
        <w:rPr>
          <w:i/>
        </w:rPr>
        <w:t xml:space="preserve"> </w:t>
      </w:r>
      <w:r w:rsidR="004B0018" w:rsidRPr="004B0018">
        <w:t>51(11) 1015-1019</w:t>
      </w:r>
      <w:r w:rsidR="008434A3">
        <w:t>.</w:t>
      </w:r>
      <w:r w:rsidR="00AD315A">
        <w:t xml:space="preserve"> </w:t>
      </w:r>
      <w:r w:rsidR="00AD315A" w:rsidRPr="00AD315A">
        <w:t xml:space="preserve">Reichard, A., Stransky, M., Phillips, K., McClain, M., &amp; Drum, C. (2017). </w:t>
      </w:r>
      <w:r w:rsidR="008F02C4">
        <w:t>“</w:t>
      </w:r>
      <w:r w:rsidR="00AD315A" w:rsidRPr="00AD315A">
        <w:t>Prevalence and reasons for delaying and foregoing necessary care by the presence and type of disability among working-age adults.</w:t>
      </w:r>
      <w:r w:rsidR="008F02C4">
        <w:t>”</w:t>
      </w:r>
      <w:r w:rsidR="00AD315A" w:rsidRPr="00AD315A">
        <w:t> </w:t>
      </w:r>
      <w:r w:rsidR="00AD315A" w:rsidRPr="00AD315A">
        <w:rPr>
          <w:i/>
          <w:iCs/>
        </w:rPr>
        <w:t>Disability and health journal</w:t>
      </w:r>
      <w:r w:rsidR="00AD315A" w:rsidRPr="00AD315A">
        <w:t>, </w:t>
      </w:r>
      <w:r w:rsidR="00AD315A" w:rsidRPr="00AD315A">
        <w:rPr>
          <w:i/>
          <w:iCs/>
        </w:rPr>
        <w:t>10</w:t>
      </w:r>
      <w:r w:rsidR="00AD315A">
        <w:t xml:space="preserve">(1), 39-47 and </w:t>
      </w:r>
      <w:r w:rsidR="00AD315A" w:rsidRPr="00AD315A">
        <w:t xml:space="preserve">Stransky, M. L., &amp; Reichard, A. (2019). </w:t>
      </w:r>
      <w:r w:rsidR="008F02C4">
        <w:t>“</w:t>
      </w:r>
      <w:r w:rsidR="00AD315A" w:rsidRPr="00AD315A">
        <w:t>Provider continuity and reasons for not having a provider among persons with and without disabilities.</w:t>
      </w:r>
      <w:r w:rsidR="008F02C4">
        <w:t>”</w:t>
      </w:r>
      <w:r w:rsidR="00AD315A" w:rsidRPr="00AD315A">
        <w:t> </w:t>
      </w:r>
      <w:r w:rsidR="00AD315A" w:rsidRPr="00AD315A">
        <w:rPr>
          <w:i/>
          <w:iCs/>
        </w:rPr>
        <w:t>Disability and health journal</w:t>
      </w:r>
      <w:r w:rsidR="00AD315A" w:rsidRPr="00AD315A">
        <w:t>, </w:t>
      </w:r>
      <w:r w:rsidR="00AD315A" w:rsidRPr="00AD315A">
        <w:rPr>
          <w:i/>
          <w:iCs/>
        </w:rPr>
        <w:t>12</w:t>
      </w:r>
      <w:r w:rsidR="00AD315A" w:rsidRPr="00AD315A">
        <w:t>(1), 131-136.</w:t>
      </w:r>
      <w:r w:rsidR="002D1180">
        <w:t xml:space="preserve"> See also Bauer, Sarah, Schumacher, J., Hall, A., Marlow, N. Friedel, </w:t>
      </w:r>
      <w:r w:rsidR="008F02C4">
        <w:t>C., Scheer, D. and Redmon, S.</w:t>
      </w:r>
      <w:r w:rsidR="002D1180">
        <w:t>, “</w:t>
      </w:r>
      <w:r w:rsidR="002D1180" w:rsidRPr="002D1180">
        <w:t>Disability and physical and communication-related barriers to health care related services among Florida residents: A brief report</w:t>
      </w:r>
      <w:r w:rsidR="008F02C4">
        <w:t>,</w:t>
      </w:r>
      <w:r w:rsidR="002D1180">
        <w:t xml:space="preserve">” </w:t>
      </w:r>
      <w:r w:rsidR="008F02C4">
        <w:t>3/24/20</w:t>
      </w:r>
      <w:r w:rsidR="002D1180">
        <w:t xml:space="preserve">16, </w:t>
      </w:r>
      <w:r w:rsidR="008F02C4">
        <w:t xml:space="preserve">accessed online </w:t>
      </w:r>
      <w:r w:rsidR="002D1180">
        <w:t xml:space="preserve">at </w:t>
      </w:r>
      <w:hyperlink r:id="rId8" w:history="1">
        <w:r w:rsidR="002D1180" w:rsidRPr="008F02C4">
          <w:rPr>
            <w:rStyle w:val="Hyperlink"/>
            <w:sz w:val="16"/>
            <w:szCs w:val="16"/>
          </w:rPr>
          <w:t>https://doi.org/10.1016/j.dhjo.2016.03.001</w:t>
        </w:r>
      </w:hyperlink>
      <w:r w:rsidR="008F02C4">
        <w:t xml:space="preserve">, which found people with disabilities are significantly more likely to </w:t>
      </w:r>
      <w:r w:rsidR="002D1180">
        <w:t>en</w:t>
      </w:r>
      <w:r w:rsidR="008F02C4">
        <w:t>counter physical environment and clinical experience</w:t>
      </w:r>
      <w:r w:rsidR="002D1180">
        <w:t xml:space="preserve"> barriers in medical settings than</w:t>
      </w:r>
      <w:r w:rsidR="008F02C4">
        <w:t xml:space="preserve"> people without disabilities</w:t>
      </w:r>
      <w:r w:rsidR="002D1180">
        <w:t xml:space="preserve">. </w:t>
      </w:r>
    </w:p>
  </w:endnote>
  <w:endnote w:id="12">
    <w:p w14:paraId="3869E185" w14:textId="3B97EA63" w:rsidR="009D4265" w:rsidRPr="0000085C" w:rsidRDefault="009D4265">
      <w:pPr>
        <w:pStyle w:val="EndnoteText"/>
        <w:rPr>
          <w:b/>
          <w:bCs/>
          <w:i/>
          <w:iCs/>
        </w:rPr>
      </w:pPr>
      <w:r>
        <w:rPr>
          <w:rStyle w:val="EndnoteReference"/>
        </w:rPr>
        <w:endnoteRef/>
      </w:r>
      <w:r>
        <w:t xml:space="preserve"> </w:t>
      </w:r>
      <w:r w:rsidR="00EE3BB9">
        <w:t>Car</w:t>
      </w:r>
      <w:r w:rsidR="00CD55E8">
        <w:t>r</w:t>
      </w:r>
      <w:r w:rsidR="00EE3BB9">
        <w:t>oll, Aaron</w:t>
      </w:r>
      <w:r w:rsidR="00EE3BB9" w:rsidRPr="00027448">
        <w:t>, “</w:t>
      </w:r>
      <w:r w:rsidR="00EE3BB9" w:rsidRPr="00027448">
        <w:rPr>
          <w:bCs/>
          <w:i/>
          <w:iCs/>
        </w:rPr>
        <w:t>Preventive Care Saves Money? Sorry, It’s Too Good to Be True</w:t>
      </w:r>
      <w:r w:rsidR="0000085C" w:rsidRPr="00027448">
        <w:rPr>
          <w:bCs/>
          <w:i/>
          <w:iCs/>
        </w:rPr>
        <w:t xml:space="preserve">. </w:t>
      </w:r>
      <w:r w:rsidR="00EE3BB9" w:rsidRPr="00027448">
        <w:t>Contrary to conventional wisdom, it tends to cost money, but it improves quality of life at a very reasonable</w:t>
      </w:r>
      <w:r w:rsidR="00EE3BB9">
        <w:t xml:space="preserve"> price,” </w:t>
      </w:r>
      <w:r w:rsidR="00EE3BB9" w:rsidRPr="000004E1">
        <w:rPr>
          <w:i/>
        </w:rPr>
        <w:t>New York Times, The Upshot</w:t>
      </w:r>
      <w:r w:rsidR="00EE3BB9">
        <w:t xml:space="preserve">, Jan 29, 2019, </w:t>
      </w:r>
      <w:r w:rsidR="00CD55E8">
        <w:t>accessed online at</w:t>
      </w:r>
      <w:r w:rsidR="0000085C">
        <w:rPr>
          <w:b/>
          <w:bCs/>
          <w:i/>
          <w:iCs/>
        </w:rPr>
        <w:t xml:space="preserve"> </w:t>
      </w:r>
      <w:r w:rsidR="00EE3BB9" w:rsidRPr="0000085C">
        <w:rPr>
          <w:sz w:val="16"/>
          <w:szCs w:val="16"/>
        </w:rPr>
        <w:t xml:space="preserve"> </w:t>
      </w:r>
      <w:hyperlink r:id="rId9" w:history="1">
        <w:r w:rsidR="00EE3BB9" w:rsidRPr="0000085C">
          <w:rPr>
            <w:rStyle w:val="Hyperlink"/>
            <w:sz w:val="16"/>
            <w:szCs w:val="16"/>
          </w:rPr>
          <w:t>https://www.nytimes.com/2018/01/29/upshot/preventive-health-care-costs.html</w:t>
        </w:r>
      </w:hyperlink>
      <w:r w:rsidR="00D7145F">
        <w:t xml:space="preserve">; and Ku, L. </w:t>
      </w:r>
      <w:r w:rsidR="00EE3BB9">
        <w:t>Paradise</w:t>
      </w:r>
      <w:r w:rsidR="00D7145F">
        <w:t xml:space="preserve">, J. and </w:t>
      </w:r>
      <w:r w:rsidR="00EE3BB9">
        <w:t>Thompson,</w:t>
      </w:r>
      <w:r w:rsidR="00D7145F">
        <w:t xml:space="preserve"> V., </w:t>
      </w:r>
      <w:r w:rsidR="00EE3BB9">
        <w:t>“Data Note: Medicaid’s Role in Providing Preventive Care for Adults,”</w:t>
      </w:r>
      <w:r w:rsidR="00EE3BB9" w:rsidRPr="000004E1">
        <w:rPr>
          <w:i/>
        </w:rPr>
        <w:t xml:space="preserve"> Kaiser Family Foundation</w:t>
      </w:r>
      <w:r w:rsidR="00EE3BB9">
        <w:t xml:space="preserve">, May 17, 2017, </w:t>
      </w:r>
      <w:r w:rsidR="00CD55E8">
        <w:t>accessed</w:t>
      </w:r>
      <w:r w:rsidR="00EE3BB9">
        <w:t xml:space="preserve"> online at </w:t>
      </w:r>
      <w:hyperlink r:id="rId10" w:history="1">
        <w:r w:rsidR="00EE3BB9" w:rsidRPr="008B4176">
          <w:rPr>
            <w:rStyle w:val="Hyperlink"/>
          </w:rPr>
          <w:t>https://www.kff.org/medicaid/issue-brief/data-note-medicaids-role-in-providing-access-to-preventive-care-for-adults/</w:t>
        </w:r>
      </w:hyperlink>
      <w:r w:rsidR="00EE3BB9">
        <w:t>.</w:t>
      </w:r>
    </w:p>
  </w:endnote>
  <w:endnote w:id="13">
    <w:p w14:paraId="2EEC130A" w14:textId="2FB4D1A1" w:rsidR="004C039B" w:rsidRPr="0000085C" w:rsidRDefault="004C039B" w:rsidP="00533457">
      <w:pPr>
        <w:pStyle w:val="EndnoteText"/>
        <w:rPr>
          <w:b/>
          <w:color w:val="000000" w:themeColor="text1"/>
        </w:rPr>
      </w:pPr>
      <w:r>
        <w:rPr>
          <w:rStyle w:val="EndnoteReference"/>
        </w:rPr>
        <w:endnoteRef/>
      </w:r>
      <w:r>
        <w:t xml:space="preserve"> </w:t>
      </w:r>
      <w:r w:rsidR="00533457" w:rsidRPr="00533457">
        <w:t xml:space="preserve">Palmer, John, “Alternatives to Lifting Patients,” </w:t>
      </w:r>
      <w:r w:rsidR="00533457" w:rsidRPr="00533457">
        <w:rPr>
          <w:i/>
        </w:rPr>
        <w:t>Patient Safety Quality Healthcare,</w:t>
      </w:r>
      <w:r w:rsidR="002D1180">
        <w:t xml:space="preserve"> 9/4/2018, online at </w:t>
      </w:r>
      <w:hyperlink r:id="rId11" w:history="1">
        <w:r w:rsidR="00533457" w:rsidRPr="00533457">
          <w:rPr>
            <w:rStyle w:val="Hyperlink"/>
          </w:rPr>
          <w:t>https://www.psqh.com/analysis/alternatives-to-lifting-patients/</w:t>
        </w:r>
      </w:hyperlink>
    </w:p>
  </w:endnote>
  <w:endnote w:id="14">
    <w:p w14:paraId="4A97525B" w14:textId="087D8C9F" w:rsidR="0000085C" w:rsidRDefault="0000085C">
      <w:pPr>
        <w:pStyle w:val="EndnoteText"/>
      </w:pPr>
      <w:r>
        <w:rPr>
          <w:rStyle w:val="EndnoteReference"/>
        </w:rPr>
        <w:endnoteRef/>
      </w:r>
      <w:r>
        <w:t xml:space="preserve"> </w:t>
      </w:r>
      <w:r w:rsidRPr="00195F1E">
        <w:t xml:space="preserve">Independence Care Systems and New York Lawyers for the Public Interest, “Breaking Down Barriers, Breaking the Silence: Making Health Care Accessible for Women With Disabilities,” October, </w:t>
      </w:r>
      <w:r>
        <w:t xml:space="preserve">2012, p. 8, accessed at </w:t>
      </w:r>
      <w:hyperlink r:id="rId12" w:history="1">
        <w:r w:rsidR="00D7145F" w:rsidRPr="00590AD1">
          <w:rPr>
            <w:rStyle w:val="Hyperlink"/>
          </w:rPr>
          <w:t>https://www.nylpi.org/images/FE/chain234siteType8/site203/client/breakingbarriers.pdf</w:t>
        </w:r>
      </w:hyperlink>
      <w:r w:rsidR="00D7145F">
        <w:t xml:space="preserve"> .</w:t>
      </w:r>
    </w:p>
  </w:endnote>
  <w:endnote w:id="15">
    <w:p w14:paraId="078B2723" w14:textId="6281E605" w:rsidR="00195F1E" w:rsidRPr="00195F1E" w:rsidRDefault="00195F1E" w:rsidP="00195F1E">
      <w:pPr>
        <w:pStyle w:val="EndnoteText"/>
      </w:pPr>
      <w:r>
        <w:rPr>
          <w:rStyle w:val="EndnoteReference"/>
        </w:rPr>
        <w:endnoteRef/>
      </w:r>
      <w:r>
        <w:t xml:space="preserve"> </w:t>
      </w:r>
      <w:r w:rsidR="0000085C">
        <w:t xml:space="preserve"> </w:t>
      </w:r>
      <w:r w:rsidR="0000085C" w:rsidRPr="0000085C">
        <w:rPr>
          <w:i/>
        </w:rPr>
        <w:t>Ibid.</w:t>
      </w:r>
    </w:p>
  </w:endnote>
  <w:endnote w:id="16">
    <w:p w14:paraId="0C2C5BC1" w14:textId="77777777" w:rsidR="009D5887" w:rsidRDefault="009D5887" w:rsidP="009D5887">
      <w:pPr>
        <w:pStyle w:val="EndnoteText"/>
      </w:pPr>
      <w:r>
        <w:rPr>
          <w:rStyle w:val="EndnoteReference"/>
        </w:rPr>
        <w:endnoteRef/>
      </w:r>
      <w:r>
        <w:t xml:space="preserve"> American Nurses Association, Position Statement: Elimination of Manual Patient Handling to Prevent Work-Related Musculoskeletal Disorders: Effective Date: June 21, 2003, Washington, D.C.</w:t>
      </w:r>
    </w:p>
  </w:endnote>
  <w:endnote w:id="17">
    <w:p w14:paraId="6BE9D861" w14:textId="7A38B867" w:rsidR="00255395" w:rsidRDefault="00255395">
      <w:pPr>
        <w:pStyle w:val="EndnoteText"/>
      </w:pPr>
      <w:r>
        <w:rPr>
          <w:rStyle w:val="EndnoteReference"/>
        </w:rPr>
        <w:endnoteRef/>
      </w:r>
      <w:r>
        <w:t xml:space="preserve"> American Nurses Association, </w:t>
      </w:r>
      <w:r w:rsidR="000004E1">
        <w:t>“</w:t>
      </w:r>
      <w:r>
        <w:t>Health Risk Appraisal, Executive Summary: Key Findings October 2013-October 2016,</w:t>
      </w:r>
      <w:r w:rsidR="000004E1">
        <w:t>”</w:t>
      </w:r>
      <w:r>
        <w:t xml:space="preserve"> </w:t>
      </w:r>
      <w:hyperlink r:id="rId13" w:history="1">
        <w:r w:rsidR="0000085C" w:rsidRPr="00F4497C">
          <w:rPr>
            <w:rStyle w:val="Hyperlink"/>
          </w:rPr>
          <w:t>https://www.nursingworld.org/~495c56/globalassets/practiceandpolicy/healthy-nurse-healthy-nation/ana-healthriskappraisalsummary_2013-2016.pdf</w:t>
        </w:r>
      </w:hyperlink>
      <w:r>
        <w:t xml:space="preserve"> </w:t>
      </w:r>
    </w:p>
  </w:endnote>
  <w:endnote w:id="18">
    <w:p w14:paraId="228E9339" w14:textId="3886E946" w:rsidR="000004E1" w:rsidRPr="008E4AF2" w:rsidRDefault="000004E1" w:rsidP="008E4AF2">
      <w:pPr>
        <w:spacing w:after="0" w:line="240" w:lineRule="auto"/>
        <w:rPr>
          <w:sz w:val="20"/>
          <w:szCs w:val="16"/>
        </w:rPr>
      </w:pPr>
      <w:r>
        <w:rPr>
          <w:rStyle w:val="EndnoteReference"/>
        </w:rPr>
        <w:endnoteRef/>
      </w:r>
      <w:r>
        <w:t xml:space="preserve"> </w:t>
      </w:r>
      <w:r>
        <w:rPr>
          <w:sz w:val="20"/>
          <w:szCs w:val="16"/>
        </w:rPr>
        <w:t>Eldlich</w:t>
      </w:r>
      <w:r w:rsidRPr="000004E1">
        <w:rPr>
          <w:sz w:val="20"/>
          <w:szCs w:val="16"/>
        </w:rPr>
        <w:t>,</w:t>
      </w:r>
      <w:r w:rsidR="00176CB4">
        <w:rPr>
          <w:sz w:val="20"/>
          <w:szCs w:val="16"/>
        </w:rPr>
        <w:t xml:space="preserve"> R</w:t>
      </w:r>
      <w:r>
        <w:rPr>
          <w:sz w:val="20"/>
          <w:szCs w:val="16"/>
        </w:rPr>
        <w:t>.,</w:t>
      </w:r>
      <w:r w:rsidR="00176CB4">
        <w:rPr>
          <w:sz w:val="20"/>
          <w:szCs w:val="16"/>
        </w:rPr>
        <w:t xml:space="preserve"> </w:t>
      </w:r>
      <w:r w:rsidRPr="000004E1">
        <w:rPr>
          <w:sz w:val="20"/>
          <w:szCs w:val="16"/>
        </w:rPr>
        <w:t>Winters,</w:t>
      </w:r>
      <w:r w:rsidR="00176CB4">
        <w:rPr>
          <w:sz w:val="20"/>
          <w:szCs w:val="16"/>
        </w:rPr>
        <w:t xml:space="preserve"> K. </w:t>
      </w:r>
      <w:r w:rsidRPr="000004E1">
        <w:rPr>
          <w:sz w:val="20"/>
          <w:szCs w:val="16"/>
        </w:rPr>
        <w:t>Hudson,</w:t>
      </w:r>
      <w:r w:rsidR="00176CB4">
        <w:rPr>
          <w:sz w:val="20"/>
          <w:szCs w:val="16"/>
        </w:rPr>
        <w:t xml:space="preserve"> ML,</w:t>
      </w:r>
      <w:r w:rsidRPr="000004E1">
        <w:rPr>
          <w:sz w:val="20"/>
          <w:szCs w:val="16"/>
        </w:rPr>
        <w:t xml:space="preserve"> Britt,</w:t>
      </w:r>
      <w:r w:rsidR="00176CB4">
        <w:rPr>
          <w:sz w:val="20"/>
          <w:szCs w:val="16"/>
        </w:rPr>
        <w:t xml:space="preserve"> LD,</w:t>
      </w:r>
      <w:r w:rsidRPr="000004E1">
        <w:rPr>
          <w:sz w:val="20"/>
          <w:szCs w:val="16"/>
        </w:rPr>
        <w:t xml:space="preserve"> Long,</w:t>
      </w:r>
      <w:r w:rsidR="00176CB4">
        <w:rPr>
          <w:sz w:val="20"/>
          <w:szCs w:val="16"/>
        </w:rPr>
        <w:t xml:space="preserve"> W.</w:t>
      </w:r>
      <w:r w:rsidRPr="000004E1">
        <w:rPr>
          <w:sz w:val="20"/>
          <w:szCs w:val="16"/>
        </w:rPr>
        <w:t xml:space="preserve"> “Prevention of disabling back injuries in nurses by the use of m</w:t>
      </w:r>
      <w:r>
        <w:rPr>
          <w:sz w:val="20"/>
          <w:szCs w:val="16"/>
        </w:rPr>
        <w:t>echanical patient lift systems,”</w:t>
      </w:r>
      <w:r w:rsidRPr="000004E1">
        <w:rPr>
          <w:sz w:val="20"/>
          <w:szCs w:val="16"/>
        </w:rPr>
        <w:t xml:space="preserve"> </w:t>
      </w:r>
      <w:r w:rsidRPr="000004E1">
        <w:rPr>
          <w:i/>
          <w:sz w:val="20"/>
          <w:szCs w:val="16"/>
        </w:rPr>
        <w:t>Journal of Long-Term Effects of Medical Implants</w:t>
      </w:r>
      <w:r w:rsidRPr="000004E1">
        <w:rPr>
          <w:sz w:val="20"/>
          <w:szCs w:val="16"/>
        </w:rPr>
        <w:t>, 2004, 14(6)</w:t>
      </w:r>
      <w:r w:rsidR="00D7145F">
        <w:rPr>
          <w:sz w:val="20"/>
          <w:szCs w:val="16"/>
        </w:rPr>
        <w:t xml:space="preserve"> accessed at </w:t>
      </w:r>
      <w:hyperlink r:id="rId14" w:history="1">
        <w:r w:rsidR="00705003" w:rsidRPr="00D7145F">
          <w:rPr>
            <w:rStyle w:val="Hyperlink"/>
            <w:sz w:val="18"/>
            <w:szCs w:val="18"/>
          </w:rPr>
          <w:t>https://pdfs.semanticscholar.org/0f55/e5255d5473c7f8c3b34d58a1bc4b0b387a51.pdf</w:t>
        </w:r>
      </w:hyperlink>
      <w:r w:rsidR="00705003">
        <w:rPr>
          <w:sz w:val="20"/>
          <w:szCs w:val="16"/>
        </w:rPr>
        <w:t xml:space="preserve"> </w:t>
      </w:r>
    </w:p>
  </w:endnote>
  <w:endnote w:id="19">
    <w:p w14:paraId="4DDA7287" w14:textId="678D58CA" w:rsidR="008E4AF2" w:rsidRPr="008E4AF2" w:rsidRDefault="008E4AF2" w:rsidP="008E4AF2">
      <w:pPr>
        <w:spacing w:after="0"/>
        <w:rPr>
          <w:rFonts w:cstheme="minorHAnsi"/>
          <w:sz w:val="20"/>
          <w:szCs w:val="16"/>
        </w:rPr>
      </w:pPr>
      <w:r>
        <w:rPr>
          <w:rStyle w:val="EndnoteReference"/>
        </w:rPr>
        <w:endnoteRef/>
      </w:r>
      <w:r>
        <w:t xml:space="preserve"> </w:t>
      </w:r>
      <w:hyperlink r:id="rId15" w:tgtFrame="_blank" w:history="1">
        <w:r w:rsidRPr="008E4AF2">
          <w:rPr>
            <w:rFonts w:cstheme="minorHAnsi"/>
            <w:sz w:val="20"/>
            <w:szCs w:val="16"/>
          </w:rPr>
          <w:t>2016 Liberty Mutual Workplace Safety Index</w:t>
        </w:r>
      </w:hyperlink>
      <w:r w:rsidR="00AD09A2">
        <w:rPr>
          <w:rFonts w:cstheme="minorHAnsi"/>
          <w:sz w:val="20"/>
          <w:szCs w:val="16"/>
        </w:rPr>
        <w:t xml:space="preserve"> at </w:t>
      </w:r>
      <w:hyperlink r:id="rId16" w:history="1">
        <w:r w:rsidR="00E60621" w:rsidRPr="00176CB4">
          <w:rPr>
            <w:rStyle w:val="Hyperlink"/>
            <w:rFonts w:cstheme="minorHAnsi"/>
            <w:sz w:val="14"/>
            <w:szCs w:val="14"/>
          </w:rPr>
          <w:t>http://cdn2.hubspot.net/hubfs/330425/2016_Liberty_Mutual_Workplace_Safety_Index.pdf</w:t>
        </w:r>
      </w:hyperlink>
      <w:r w:rsidR="00133899" w:rsidRPr="00133899">
        <w:rPr>
          <w:rFonts w:cstheme="minorHAnsi"/>
          <w:sz w:val="16"/>
          <w:szCs w:val="16"/>
        </w:rPr>
        <w:t>.</w:t>
      </w:r>
    </w:p>
  </w:endnote>
  <w:endnote w:id="20">
    <w:p w14:paraId="014DC81C" w14:textId="5FBEAC80" w:rsidR="008E4AF2" w:rsidRDefault="008E4AF2">
      <w:pPr>
        <w:pStyle w:val="EndnoteText"/>
      </w:pPr>
      <w:r>
        <w:rPr>
          <w:rStyle w:val="EndnoteReference"/>
        </w:rPr>
        <w:endnoteRef/>
      </w:r>
      <w:r>
        <w:t xml:space="preserve"> </w:t>
      </w:r>
      <w:r w:rsidR="00E47293" w:rsidRPr="00E47293">
        <w:t>Bureau of Labor Statistics, U.S. Department of Labor, Survey of Occupational Injuries and Illnesses in cooperation wi</w:t>
      </w:r>
      <w:r w:rsidR="00E47293">
        <w:t>th participating State agencies, T</w:t>
      </w:r>
      <w:r w:rsidR="00E47293" w:rsidRPr="00E47293">
        <w:t>able 18. Number, incidence rate, and median days away from work for nonfatal occupational injuries and illnesses involving days away from work and musculoskeletal disorders by selected worker occupation and ownership,</w:t>
      </w:r>
      <w:r w:rsidR="00E47293">
        <w:t xml:space="preserve"> 2013 </w:t>
      </w:r>
      <w:hyperlink r:id="rId17" w:history="1">
        <w:r w:rsidR="00E47293" w:rsidRPr="00F4497C">
          <w:rPr>
            <w:rStyle w:val="Hyperlink"/>
          </w:rPr>
          <w:t>https://www.bls.gov/news.release/osh2.t18.htm</w:t>
        </w:r>
      </w:hyperlink>
      <w:r w:rsidR="00E47293">
        <w:t xml:space="preserve"> </w:t>
      </w:r>
      <w:r w:rsidR="005D1C05">
        <w:t>; A</w:t>
      </w:r>
      <w:r w:rsidR="00E47293">
        <w:t xml:space="preserve">lso Daniel Zwerdling, “Hospitals Fail to Protect Nursing Staff from Becoming Patients,” </w:t>
      </w:r>
      <w:r w:rsidR="00E47293" w:rsidRPr="008434A3">
        <w:rPr>
          <w:i/>
        </w:rPr>
        <w:t>NPR</w:t>
      </w:r>
      <w:r w:rsidR="00E47293">
        <w:t xml:space="preserve">, </w:t>
      </w:r>
      <w:r w:rsidR="00E47293" w:rsidRPr="00E47293">
        <w:rPr>
          <w:i/>
        </w:rPr>
        <w:t>All Things Considered</w:t>
      </w:r>
      <w:r w:rsidR="00E47293">
        <w:rPr>
          <w:i/>
        </w:rPr>
        <w:t xml:space="preserve">, </w:t>
      </w:r>
      <w:r w:rsidR="005D1C05">
        <w:t>2/4/</w:t>
      </w:r>
      <w:r w:rsidR="00E47293" w:rsidRPr="00E47293">
        <w:t>2015.</w:t>
      </w:r>
    </w:p>
  </w:endnote>
  <w:endnote w:id="21">
    <w:p w14:paraId="3BDEB52A" w14:textId="5B65DA1B" w:rsidR="005D1C05" w:rsidRDefault="005D1C05">
      <w:pPr>
        <w:pStyle w:val="EndnoteText"/>
      </w:pPr>
      <w:r>
        <w:rPr>
          <w:rStyle w:val="EndnoteReference"/>
        </w:rPr>
        <w:endnoteRef/>
      </w:r>
      <w:r>
        <w:t xml:space="preserve"> Bureau of Labor Statistics, NonFatal Occupational Injuries and Illnesses Requiring Days Away from Work, 2015 </w:t>
      </w:r>
      <w:hyperlink r:id="rId18" w:history="1">
        <w:r w:rsidRPr="00F4497C">
          <w:rPr>
            <w:rStyle w:val="Hyperlink"/>
          </w:rPr>
          <w:t>https://www.bls.gov/news.release/pdf/osh2.pdf</w:t>
        </w:r>
      </w:hyperlink>
      <w:r>
        <w:t xml:space="preserve"> </w:t>
      </w:r>
    </w:p>
  </w:endnote>
  <w:endnote w:id="22">
    <w:p w14:paraId="751DFC68" w14:textId="572F4331" w:rsidR="00241FDA" w:rsidRPr="00133899" w:rsidRDefault="00241FDA">
      <w:pPr>
        <w:pStyle w:val="EndnoteText"/>
        <w:rPr>
          <w:sz w:val="16"/>
          <w:szCs w:val="16"/>
        </w:rPr>
      </w:pPr>
      <w:r>
        <w:rPr>
          <w:rStyle w:val="EndnoteReference"/>
        </w:rPr>
        <w:endnoteRef/>
      </w:r>
      <w:r>
        <w:t xml:space="preserve"> Rebecca Grant, “The US is Running Out of Nurses,” </w:t>
      </w:r>
      <w:r w:rsidRPr="008434A3">
        <w:rPr>
          <w:i/>
        </w:rPr>
        <w:t>The Atlantic</w:t>
      </w:r>
      <w:r w:rsidR="00133899">
        <w:t>, 2/3/2016, accessed online at</w:t>
      </w:r>
      <w:r>
        <w:t xml:space="preserve"> </w:t>
      </w:r>
      <w:hyperlink r:id="rId19" w:history="1">
        <w:r w:rsidRPr="00133899">
          <w:rPr>
            <w:rStyle w:val="Hyperlink"/>
            <w:sz w:val="16"/>
            <w:szCs w:val="16"/>
          </w:rPr>
          <w:t>https://www.theatlantic.com/health/archive/2016/02/nursing-shortage/459741/</w:t>
        </w:r>
      </w:hyperlink>
      <w:r w:rsidR="00133899">
        <w:rPr>
          <w:rStyle w:val="Hyperlink"/>
          <w:sz w:val="16"/>
          <w:szCs w:val="16"/>
        </w:rPr>
        <w:t>.</w:t>
      </w:r>
      <w:r w:rsidRPr="00133899">
        <w:rPr>
          <w:sz w:val="16"/>
          <w:szCs w:val="16"/>
        </w:rPr>
        <w:t xml:space="preserve"> </w:t>
      </w:r>
    </w:p>
  </w:endnote>
  <w:endnote w:id="23">
    <w:p w14:paraId="6A25019C" w14:textId="3E6A852E" w:rsidR="00241FDA" w:rsidRPr="00241FDA" w:rsidRDefault="00241FDA">
      <w:pPr>
        <w:pStyle w:val="EndnoteText"/>
        <w:rPr>
          <w:color w:val="0070C0"/>
          <w:u w:val="single"/>
        </w:rPr>
      </w:pPr>
      <w:r>
        <w:rPr>
          <w:rStyle w:val="EndnoteReference"/>
        </w:rPr>
        <w:endnoteRef/>
      </w:r>
      <w:r>
        <w:t xml:space="preserve"> </w:t>
      </w:r>
      <w:r w:rsidRPr="00027448">
        <w:rPr>
          <w:rFonts w:ascii="Calibri" w:hAnsi="Calibri"/>
          <w:color w:val="414141"/>
          <w:spacing w:val="6"/>
          <w:szCs w:val="22"/>
          <w:shd w:val="clear" w:color="auto" w:fill="FFFFFF"/>
        </w:rPr>
        <w:t>Bureau of Labor Statistics’ </w:t>
      </w:r>
      <w:hyperlink r:id="rId20" w:history="1">
        <w:r w:rsidRPr="00027448">
          <w:rPr>
            <w:rFonts w:ascii="Calibri" w:hAnsi="Calibri"/>
            <w:i/>
            <w:iCs/>
            <w:color w:val="0070C0"/>
            <w:spacing w:val="6"/>
            <w:szCs w:val="22"/>
            <w:u w:val="single"/>
            <w:bdr w:val="none" w:sz="0" w:space="0" w:color="auto" w:frame="1"/>
          </w:rPr>
          <w:t>Employment Projections</w:t>
        </w:r>
        <w:r w:rsidRPr="00027448">
          <w:rPr>
            <w:rFonts w:ascii="Calibri" w:hAnsi="Calibri"/>
            <w:color w:val="0070C0"/>
            <w:spacing w:val="6"/>
            <w:szCs w:val="22"/>
            <w:u w:val="single"/>
            <w:bdr w:val="none" w:sz="0" w:space="0" w:color="auto" w:frame="1"/>
            <w:shd w:val="clear" w:color="auto" w:fill="FFFFFF"/>
          </w:rPr>
          <w:t> 2016-2026</w:t>
        </w:r>
      </w:hyperlink>
      <w:r w:rsidR="00133899">
        <w:rPr>
          <w:rFonts w:ascii="Helvetica" w:hAnsi="Helvetica"/>
          <w:color w:val="0070C0"/>
          <w:spacing w:val="6"/>
          <w:sz w:val="22"/>
          <w:szCs w:val="22"/>
          <w:u w:val="single"/>
          <w:bdr w:val="none" w:sz="0" w:space="0" w:color="auto" w:frame="1"/>
          <w:shd w:val="clear" w:color="auto" w:fill="FFFFFF"/>
        </w:rPr>
        <w:t>.</w:t>
      </w:r>
    </w:p>
  </w:endnote>
  <w:endnote w:id="24">
    <w:p w14:paraId="1D5A3FF9" w14:textId="157718A6" w:rsidR="00D229D1" w:rsidRDefault="00027448">
      <w:pPr>
        <w:pStyle w:val="EndnoteText"/>
      </w:pPr>
      <w:r>
        <w:rPr>
          <w:rStyle w:val="EndnoteReference"/>
        </w:rPr>
        <w:endnoteRef/>
      </w:r>
      <w:r>
        <w:t xml:space="preserve"> Kronos Incorporated, “Employee Engagement in Nursing,” May 2017, accessed at </w:t>
      </w:r>
      <w:hyperlink r:id="rId21" w:history="1">
        <w:r w:rsidR="00D229D1" w:rsidRPr="008434A3">
          <w:rPr>
            <w:rStyle w:val="Hyperlink"/>
            <w:sz w:val="16"/>
            <w:szCs w:val="16"/>
          </w:rPr>
          <w:t>https://www.kronos.com/about-us/newsroom/kronos-survey-finds-nurses-love-what-they-do-though-fatigue-pervasive-problem</w:t>
        </w:r>
      </w:hyperlink>
      <w:r w:rsidR="00D229D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2D0F" w14:textId="77777777" w:rsidR="00914B58" w:rsidRDefault="00914B58" w:rsidP="00C30024">
      <w:pPr>
        <w:spacing w:after="0" w:line="240" w:lineRule="auto"/>
      </w:pPr>
      <w:r>
        <w:separator/>
      </w:r>
    </w:p>
  </w:footnote>
  <w:footnote w:type="continuationSeparator" w:id="0">
    <w:p w14:paraId="45CFF860" w14:textId="77777777" w:rsidR="00914B58" w:rsidRDefault="00914B58" w:rsidP="00C3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8C8E" w14:textId="77777777" w:rsidR="00020FB2" w:rsidRPr="001E6CEE" w:rsidRDefault="00020FB2" w:rsidP="00020FB2">
    <w:pPr>
      <w:pStyle w:val="Heading1"/>
      <w:ind w:left="3870"/>
      <w:jc w:val="both"/>
      <w:rPr>
        <w:rFonts w:eastAsia="Times New Roman" w:cs="Arial"/>
        <w:i/>
      </w:rPr>
    </w:pPr>
    <w:r w:rsidRPr="001E6CEE">
      <w:rPr>
        <w:rFonts w:cs="Arial"/>
        <w:i/>
        <w:noProof/>
        <w:color w:val="075290"/>
      </w:rPr>
      <w:drawing>
        <wp:anchor distT="0" distB="0" distL="114300" distR="114300" simplePos="0" relativeHeight="251662336" behindDoc="0" locked="0" layoutInCell="1" allowOverlap="1" wp14:anchorId="095CDEC8" wp14:editId="51648B5D">
          <wp:simplePos x="0" y="0"/>
          <wp:positionH relativeFrom="column">
            <wp:posOffset>-61900</wp:posOffset>
          </wp:positionH>
          <wp:positionV relativeFrom="paragraph">
            <wp:posOffset>-261620</wp:posOffset>
          </wp:positionV>
          <wp:extent cx="676275" cy="694690"/>
          <wp:effectExtent l="0" t="0" r="9525" b="0"/>
          <wp:wrapNone/>
          <wp:docPr id="5" name="image1.png" descr="Seal for Health and Human Services" title="HH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94690"/>
                  </a:xfrm>
                  <a:prstGeom prst="rect">
                    <a:avLst/>
                  </a:prstGeom>
                </pic:spPr>
              </pic:pic>
            </a:graphicData>
          </a:graphic>
        </wp:anchor>
      </w:drawing>
    </w:r>
    <w:r w:rsidRPr="001E6CEE">
      <w:rPr>
        <w:rFonts w:cs="Arial"/>
        <w:i/>
        <w:noProof/>
        <w:color w:val="075290"/>
        <w:position w:val="5"/>
      </w:rPr>
      <w:drawing>
        <wp:anchor distT="0" distB="0" distL="114300" distR="114300" simplePos="0" relativeHeight="251663360" behindDoc="0" locked="0" layoutInCell="1" allowOverlap="1" wp14:anchorId="5DC4D32C" wp14:editId="730B2D31">
          <wp:simplePos x="0" y="0"/>
          <wp:positionH relativeFrom="column">
            <wp:posOffset>803031</wp:posOffset>
          </wp:positionH>
          <wp:positionV relativeFrom="page">
            <wp:posOffset>293077</wp:posOffset>
          </wp:positionV>
          <wp:extent cx="1407795" cy="594360"/>
          <wp:effectExtent l="0" t="0" r="1905" b="0"/>
          <wp:wrapNone/>
          <wp:docPr id="6" name="image2.png" descr="Logo for Administration for Community Living" title="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795" cy="594360"/>
                  </a:xfrm>
                  <a:prstGeom prst="rect">
                    <a:avLst/>
                  </a:prstGeom>
                </pic:spPr>
              </pic:pic>
            </a:graphicData>
          </a:graphic>
        </wp:anchor>
      </w:drawing>
    </w:r>
    <w:r w:rsidRPr="001E6CEE">
      <w:rPr>
        <w:rFonts w:cs="Arial"/>
        <w:i/>
        <w:color w:val="075290"/>
      </w:rPr>
      <w:t>Improving the Lives of Older Adults and People with Disabilities Through Services, Research, and Education</w:t>
    </w:r>
  </w:p>
  <w:p w14:paraId="3638F2BF" w14:textId="77777777" w:rsidR="00020FB2" w:rsidRDefault="0002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CDC"/>
    <w:multiLevelType w:val="hybridMultilevel"/>
    <w:tmpl w:val="2E2251D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8158E"/>
    <w:multiLevelType w:val="hybridMultilevel"/>
    <w:tmpl w:val="5E7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1AE2"/>
    <w:multiLevelType w:val="hybridMultilevel"/>
    <w:tmpl w:val="3C16AA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D241C"/>
    <w:multiLevelType w:val="hybridMultilevel"/>
    <w:tmpl w:val="5A6A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329F6"/>
    <w:multiLevelType w:val="hybridMultilevel"/>
    <w:tmpl w:val="2B3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1D60"/>
    <w:multiLevelType w:val="hybridMultilevel"/>
    <w:tmpl w:val="4A20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40D9"/>
    <w:multiLevelType w:val="hybridMultilevel"/>
    <w:tmpl w:val="196A5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26BA8"/>
    <w:multiLevelType w:val="hybridMultilevel"/>
    <w:tmpl w:val="CFEE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1195F"/>
    <w:multiLevelType w:val="hybridMultilevel"/>
    <w:tmpl w:val="69D0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342D8"/>
    <w:multiLevelType w:val="hybridMultilevel"/>
    <w:tmpl w:val="5B9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31CF3"/>
    <w:multiLevelType w:val="hybridMultilevel"/>
    <w:tmpl w:val="3B1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81D9B"/>
    <w:multiLevelType w:val="hybridMultilevel"/>
    <w:tmpl w:val="17E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E380F"/>
    <w:multiLevelType w:val="hybridMultilevel"/>
    <w:tmpl w:val="DD4C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380D5A"/>
    <w:multiLevelType w:val="hybridMultilevel"/>
    <w:tmpl w:val="1D4C4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416B69"/>
    <w:multiLevelType w:val="hybridMultilevel"/>
    <w:tmpl w:val="2C925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82028A"/>
    <w:multiLevelType w:val="hybridMultilevel"/>
    <w:tmpl w:val="83A24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8"/>
  </w:num>
  <w:num w:numId="4">
    <w:abstractNumId w:val="12"/>
  </w:num>
  <w:num w:numId="5">
    <w:abstractNumId w:val="2"/>
  </w:num>
  <w:num w:numId="6">
    <w:abstractNumId w:val="0"/>
  </w:num>
  <w:num w:numId="7">
    <w:abstractNumId w:val="1"/>
  </w:num>
  <w:num w:numId="8">
    <w:abstractNumId w:val="7"/>
  </w:num>
  <w:num w:numId="9">
    <w:abstractNumId w:val="14"/>
  </w:num>
  <w:num w:numId="10">
    <w:abstractNumId w:val="4"/>
  </w:num>
  <w:num w:numId="11">
    <w:abstractNumId w:val="10"/>
  </w:num>
  <w:num w:numId="12">
    <w:abstractNumId w:val="11"/>
  </w:num>
  <w:num w:numId="13">
    <w:abstractNumId w:val="5"/>
  </w:num>
  <w:num w:numId="14">
    <w:abstractNumId w:val="15"/>
  </w:num>
  <w:num w:numId="15">
    <w:abstractNumId w:val="13"/>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E"/>
    <w:rsid w:val="000004E1"/>
    <w:rsid w:val="0000085C"/>
    <w:rsid w:val="0000761F"/>
    <w:rsid w:val="00020FB2"/>
    <w:rsid w:val="00023D5B"/>
    <w:rsid w:val="00027448"/>
    <w:rsid w:val="0003569A"/>
    <w:rsid w:val="00056BC4"/>
    <w:rsid w:val="000613DB"/>
    <w:rsid w:val="00064835"/>
    <w:rsid w:val="0006685B"/>
    <w:rsid w:val="00073025"/>
    <w:rsid w:val="000771D4"/>
    <w:rsid w:val="000863C2"/>
    <w:rsid w:val="000A51CE"/>
    <w:rsid w:val="000A5359"/>
    <w:rsid w:val="000C54CA"/>
    <w:rsid w:val="000C7E4E"/>
    <w:rsid w:val="000D1064"/>
    <w:rsid w:val="000D2C1E"/>
    <w:rsid w:val="000E0832"/>
    <w:rsid w:val="000E650C"/>
    <w:rsid w:val="00103809"/>
    <w:rsid w:val="00113203"/>
    <w:rsid w:val="00125B92"/>
    <w:rsid w:val="00125E8A"/>
    <w:rsid w:val="00133899"/>
    <w:rsid w:val="00144596"/>
    <w:rsid w:val="001477DD"/>
    <w:rsid w:val="001527AB"/>
    <w:rsid w:val="001616D7"/>
    <w:rsid w:val="001629D2"/>
    <w:rsid w:val="00165C95"/>
    <w:rsid w:val="00176CB4"/>
    <w:rsid w:val="00181DBA"/>
    <w:rsid w:val="00181ECA"/>
    <w:rsid w:val="0019041B"/>
    <w:rsid w:val="001949E5"/>
    <w:rsid w:val="00195F1E"/>
    <w:rsid w:val="001A0047"/>
    <w:rsid w:val="001A2E9D"/>
    <w:rsid w:val="001A5763"/>
    <w:rsid w:val="001A7F96"/>
    <w:rsid w:val="001B122E"/>
    <w:rsid w:val="001B2295"/>
    <w:rsid w:val="001C4DEB"/>
    <w:rsid w:val="001C540F"/>
    <w:rsid w:val="001C62F5"/>
    <w:rsid w:val="001D4A6F"/>
    <w:rsid w:val="001E67DF"/>
    <w:rsid w:val="001F4CBD"/>
    <w:rsid w:val="001F758B"/>
    <w:rsid w:val="00202BBE"/>
    <w:rsid w:val="002119C1"/>
    <w:rsid w:val="002178C0"/>
    <w:rsid w:val="00232A7B"/>
    <w:rsid w:val="00233223"/>
    <w:rsid w:val="00241FDA"/>
    <w:rsid w:val="002441B7"/>
    <w:rsid w:val="00244525"/>
    <w:rsid w:val="0025048A"/>
    <w:rsid w:val="00255395"/>
    <w:rsid w:val="00256BD6"/>
    <w:rsid w:val="00262997"/>
    <w:rsid w:val="00273079"/>
    <w:rsid w:val="00280C75"/>
    <w:rsid w:val="00286900"/>
    <w:rsid w:val="00287F43"/>
    <w:rsid w:val="002A260B"/>
    <w:rsid w:val="002A3055"/>
    <w:rsid w:val="002A468F"/>
    <w:rsid w:val="002A7D88"/>
    <w:rsid w:val="002C3F73"/>
    <w:rsid w:val="002C60C7"/>
    <w:rsid w:val="002D0E9A"/>
    <w:rsid w:val="002D1180"/>
    <w:rsid w:val="002D3943"/>
    <w:rsid w:val="002D5965"/>
    <w:rsid w:val="002D7C5D"/>
    <w:rsid w:val="002E0A07"/>
    <w:rsid w:val="002E1CBC"/>
    <w:rsid w:val="002E7501"/>
    <w:rsid w:val="00302416"/>
    <w:rsid w:val="003056C0"/>
    <w:rsid w:val="00334D9A"/>
    <w:rsid w:val="0033710F"/>
    <w:rsid w:val="00342682"/>
    <w:rsid w:val="003472EC"/>
    <w:rsid w:val="00352C28"/>
    <w:rsid w:val="00367BDA"/>
    <w:rsid w:val="00372690"/>
    <w:rsid w:val="00372E72"/>
    <w:rsid w:val="003750B7"/>
    <w:rsid w:val="00380938"/>
    <w:rsid w:val="00397292"/>
    <w:rsid w:val="003C044E"/>
    <w:rsid w:val="003C34D6"/>
    <w:rsid w:val="003D009C"/>
    <w:rsid w:val="003F218A"/>
    <w:rsid w:val="004007E8"/>
    <w:rsid w:val="00421489"/>
    <w:rsid w:val="00424C7A"/>
    <w:rsid w:val="00434C55"/>
    <w:rsid w:val="00446B61"/>
    <w:rsid w:val="00456ECC"/>
    <w:rsid w:val="0049712B"/>
    <w:rsid w:val="004A62A9"/>
    <w:rsid w:val="004A6CF4"/>
    <w:rsid w:val="004A789F"/>
    <w:rsid w:val="004B0018"/>
    <w:rsid w:val="004B1FF6"/>
    <w:rsid w:val="004B50F0"/>
    <w:rsid w:val="004C039B"/>
    <w:rsid w:val="004C404E"/>
    <w:rsid w:val="004D40D0"/>
    <w:rsid w:val="004E5A8F"/>
    <w:rsid w:val="004F2497"/>
    <w:rsid w:val="00510394"/>
    <w:rsid w:val="00523ED7"/>
    <w:rsid w:val="00524B80"/>
    <w:rsid w:val="00525B3B"/>
    <w:rsid w:val="00533457"/>
    <w:rsid w:val="005440DD"/>
    <w:rsid w:val="00546918"/>
    <w:rsid w:val="005636D0"/>
    <w:rsid w:val="00582632"/>
    <w:rsid w:val="0059126C"/>
    <w:rsid w:val="00593DBF"/>
    <w:rsid w:val="00595A4D"/>
    <w:rsid w:val="005A3A0F"/>
    <w:rsid w:val="005C1ADA"/>
    <w:rsid w:val="005D1C05"/>
    <w:rsid w:val="005D41C8"/>
    <w:rsid w:val="005D46CF"/>
    <w:rsid w:val="005E355E"/>
    <w:rsid w:val="005E549B"/>
    <w:rsid w:val="005E6A3E"/>
    <w:rsid w:val="005F116C"/>
    <w:rsid w:val="005F3F0F"/>
    <w:rsid w:val="00600743"/>
    <w:rsid w:val="006007BE"/>
    <w:rsid w:val="0061406D"/>
    <w:rsid w:val="00615B82"/>
    <w:rsid w:val="00621E72"/>
    <w:rsid w:val="00630565"/>
    <w:rsid w:val="00637475"/>
    <w:rsid w:val="0063798F"/>
    <w:rsid w:val="006433E1"/>
    <w:rsid w:val="00652622"/>
    <w:rsid w:val="0065790B"/>
    <w:rsid w:val="00657D42"/>
    <w:rsid w:val="00677762"/>
    <w:rsid w:val="00677E4A"/>
    <w:rsid w:val="00680229"/>
    <w:rsid w:val="00686753"/>
    <w:rsid w:val="0069485D"/>
    <w:rsid w:val="0069602C"/>
    <w:rsid w:val="006C1F61"/>
    <w:rsid w:val="006D10AD"/>
    <w:rsid w:val="006D4E6B"/>
    <w:rsid w:val="006E4400"/>
    <w:rsid w:val="006E6199"/>
    <w:rsid w:val="006F5CA3"/>
    <w:rsid w:val="00705003"/>
    <w:rsid w:val="00717484"/>
    <w:rsid w:val="00721A5A"/>
    <w:rsid w:val="00722ABD"/>
    <w:rsid w:val="00725E12"/>
    <w:rsid w:val="00725F9B"/>
    <w:rsid w:val="00725FB3"/>
    <w:rsid w:val="007317DA"/>
    <w:rsid w:val="00731BB4"/>
    <w:rsid w:val="00742671"/>
    <w:rsid w:val="00753E2C"/>
    <w:rsid w:val="00766A35"/>
    <w:rsid w:val="00781BC9"/>
    <w:rsid w:val="007837C7"/>
    <w:rsid w:val="00785447"/>
    <w:rsid w:val="00786DEF"/>
    <w:rsid w:val="00791CC0"/>
    <w:rsid w:val="007966BD"/>
    <w:rsid w:val="0079783B"/>
    <w:rsid w:val="007B08EC"/>
    <w:rsid w:val="007B48CA"/>
    <w:rsid w:val="007F1C7D"/>
    <w:rsid w:val="007F7374"/>
    <w:rsid w:val="00813C1D"/>
    <w:rsid w:val="00826BD3"/>
    <w:rsid w:val="00831A0B"/>
    <w:rsid w:val="00832CCB"/>
    <w:rsid w:val="008434A3"/>
    <w:rsid w:val="008603FA"/>
    <w:rsid w:val="00860A02"/>
    <w:rsid w:val="008678CD"/>
    <w:rsid w:val="00876A8E"/>
    <w:rsid w:val="00885ABF"/>
    <w:rsid w:val="008912AA"/>
    <w:rsid w:val="0089785B"/>
    <w:rsid w:val="00897F5B"/>
    <w:rsid w:val="008A3BFD"/>
    <w:rsid w:val="008C606D"/>
    <w:rsid w:val="008D33AD"/>
    <w:rsid w:val="008D4410"/>
    <w:rsid w:val="008D5F2C"/>
    <w:rsid w:val="008D6A60"/>
    <w:rsid w:val="008E4AF2"/>
    <w:rsid w:val="008F02C4"/>
    <w:rsid w:val="008F1310"/>
    <w:rsid w:val="008F587D"/>
    <w:rsid w:val="0090162D"/>
    <w:rsid w:val="009031D7"/>
    <w:rsid w:val="009119F8"/>
    <w:rsid w:val="00912A94"/>
    <w:rsid w:val="00914B58"/>
    <w:rsid w:val="00915DDB"/>
    <w:rsid w:val="0093067B"/>
    <w:rsid w:val="00932215"/>
    <w:rsid w:val="009565CC"/>
    <w:rsid w:val="00956EEC"/>
    <w:rsid w:val="009621A8"/>
    <w:rsid w:val="00964940"/>
    <w:rsid w:val="0098046E"/>
    <w:rsid w:val="009875C0"/>
    <w:rsid w:val="00987D62"/>
    <w:rsid w:val="009B5087"/>
    <w:rsid w:val="009C2BD0"/>
    <w:rsid w:val="009D3319"/>
    <w:rsid w:val="009D4265"/>
    <w:rsid w:val="009D5887"/>
    <w:rsid w:val="009E6D9D"/>
    <w:rsid w:val="009F2C08"/>
    <w:rsid w:val="00A227ED"/>
    <w:rsid w:val="00A23029"/>
    <w:rsid w:val="00A46E1B"/>
    <w:rsid w:val="00A50766"/>
    <w:rsid w:val="00A5268F"/>
    <w:rsid w:val="00A5287D"/>
    <w:rsid w:val="00A774DC"/>
    <w:rsid w:val="00A840D5"/>
    <w:rsid w:val="00A96D04"/>
    <w:rsid w:val="00A97230"/>
    <w:rsid w:val="00AB004F"/>
    <w:rsid w:val="00AB29CD"/>
    <w:rsid w:val="00AB75C2"/>
    <w:rsid w:val="00AD09A2"/>
    <w:rsid w:val="00AD255C"/>
    <w:rsid w:val="00AD2BC5"/>
    <w:rsid w:val="00AD315A"/>
    <w:rsid w:val="00AD6D3F"/>
    <w:rsid w:val="00AD7854"/>
    <w:rsid w:val="00AF22DB"/>
    <w:rsid w:val="00AF6C0C"/>
    <w:rsid w:val="00B00FED"/>
    <w:rsid w:val="00B03777"/>
    <w:rsid w:val="00B12D41"/>
    <w:rsid w:val="00B159B6"/>
    <w:rsid w:val="00B240AE"/>
    <w:rsid w:val="00B40295"/>
    <w:rsid w:val="00B42631"/>
    <w:rsid w:val="00B55B2F"/>
    <w:rsid w:val="00B57403"/>
    <w:rsid w:val="00B65B1C"/>
    <w:rsid w:val="00B67428"/>
    <w:rsid w:val="00B715AA"/>
    <w:rsid w:val="00B77B3A"/>
    <w:rsid w:val="00B86AD3"/>
    <w:rsid w:val="00B86DEE"/>
    <w:rsid w:val="00B91463"/>
    <w:rsid w:val="00BA1CB6"/>
    <w:rsid w:val="00BB4E15"/>
    <w:rsid w:val="00BC199D"/>
    <w:rsid w:val="00BC7068"/>
    <w:rsid w:val="00BC7C9D"/>
    <w:rsid w:val="00BD1374"/>
    <w:rsid w:val="00BD2BCC"/>
    <w:rsid w:val="00BF79F5"/>
    <w:rsid w:val="00C07362"/>
    <w:rsid w:val="00C10685"/>
    <w:rsid w:val="00C12C40"/>
    <w:rsid w:val="00C15F99"/>
    <w:rsid w:val="00C30024"/>
    <w:rsid w:val="00C36C8E"/>
    <w:rsid w:val="00C3792D"/>
    <w:rsid w:val="00C576CB"/>
    <w:rsid w:val="00C57D4E"/>
    <w:rsid w:val="00C63269"/>
    <w:rsid w:val="00C63CD6"/>
    <w:rsid w:val="00C8121D"/>
    <w:rsid w:val="00C90C7D"/>
    <w:rsid w:val="00C95571"/>
    <w:rsid w:val="00C9576C"/>
    <w:rsid w:val="00C967BF"/>
    <w:rsid w:val="00CD0D25"/>
    <w:rsid w:val="00CD55E8"/>
    <w:rsid w:val="00CE4DC9"/>
    <w:rsid w:val="00D0450B"/>
    <w:rsid w:val="00D064C7"/>
    <w:rsid w:val="00D159F8"/>
    <w:rsid w:val="00D229D1"/>
    <w:rsid w:val="00D36743"/>
    <w:rsid w:val="00D50448"/>
    <w:rsid w:val="00D56E97"/>
    <w:rsid w:val="00D57622"/>
    <w:rsid w:val="00D7145F"/>
    <w:rsid w:val="00D720B1"/>
    <w:rsid w:val="00D752A3"/>
    <w:rsid w:val="00D81342"/>
    <w:rsid w:val="00D815AB"/>
    <w:rsid w:val="00DA131B"/>
    <w:rsid w:val="00DA5715"/>
    <w:rsid w:val="00DB602E"/>
    <w:rsid w:val="00DC2D9F"/>
    <w:rsid w:val="00DF7D1D"/>
    <w:rsid w:val="00E02941"/>
    <w:rsid w:val="00E04DAB"/>
    <w:rsid w:val="00E4238A"/>
    <w:rsid w:val="00E47293"/>
    <w:rsid w:val="00E50E90"/>
    <w:rsid w:val="00E5276B"/>
    <w:rsid w:val="00E54DD2"/>
    <w:rsid w:val="00E60621"/>
    <w:rsid w:val="00E61B56"/>
    <w:rsid w:val="00E74CAD"/>
    <w:rsid w:val="00E839CC"/>
    <w:rsid w:val="00E8754D"/>
    <w:rsid w:val="00E9772F"/>
    <w:rsid w:val="00EA2B2D"/>
    <w:rsid w:val="00EA4E7E"/>
    <w:rsid w:val="00EB3782"/>
    <w:rsid w:val="00EC4EBB"/>
    <w:rsid w:val="00ED4122"/>
    <w:rsid w:val="00EE3BB9"/>
    <w:rsid w:val="00EF2726"/>
    <w:rsid w:val="00EF3316"/>
    <w:rsid w:val="00EF41C9"/>
    <w:rsid w:val="00F03A8E"/>
    <w:rsid w:val="00F070C6"/>
    <w:rsid w:val="00F13EEB"/>
    <w:rsid w:val="00F338F5"/>
    <w:rsid w:val="00F370E1"/>
    <w:rsid w:val="00F41D8D"/>
    <w:rsid w:val="00F42A97"/>
    <w:rsid w:val="00F55417"/>
    <w:rsid w:val="00F62587"/>
    <w:rsid w:val="00F64056"/>
    <w:rsid w:val="00F81B32"/>
    <w:rsid w:val="00F97FD3"/>
    <w:rsid w:val="00FA1ECE"/>
    <w:rsid w:val="00FB0965"/>
    <w:rsid w:val="00FB42D7"/>
    <w:rsid w:val="00FC7D71"/>
    <w:rsid w:val="00FD3E10"/>
    <w:rsid w:val="00FD5AED"/>
    <w:rsid w:val="00FE3687"/>
    <w:rsid w:val="00FF0AC9"/>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AD3E"/>
  <w15:docId w15:val="{9A6CB2D1-B4F9-4D60-8799-6C411133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F0AC9"/>
    <w:pPr>
      <w:widowControl w:val="0"/>
      <w:spacing w:after="0" w:line="240" w:lineRule="auto"/>
      <w:ind w:left="682"/>
      <w:outlineLvl w:val="0"/>
    </w:pPr>
    <w:rPr>
      <w:rFonts w:ascii="Arial" w:eastAsia="Arial" w:hAnsi="Arial"/>
      <w:sz w:val="20"/>
      <w:szCs w:val="20"/>
    </w:rPr>
  </w:style>
  <w:style w:type="paragraph" w:styleId="Heading2">
    <w:name w:val="heading 2"/>
    <w:basedOn w:val="Normal"/>
    <w:next w:val="Normal"/>
    <w:link w:val="Heading2Char"/>
    <w:uiPriority w:val="9"/>
    <w:semiHidden/>
    <w:unhideWhenUsed/>
    <w:qFormat/>
    <w:rsid w:val="00E472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0024"/>
    <w:pPr>
      <w:spacing w:after="0" w:line="240" w:lineRule="auto"/>
    </w:pPr>
    <w:rPr>
      <w:sz w:val="20"/>
      <w:szCs w:val="20"/>
    </w:rPr>
  </w:style>
  <w:style w:type="character" w:customStyle="1" w:styleId="FootnoteTextChar">
    <w:name w:val="Footnote Text Char"/>
    <w:basedOn w:val="DefaultParagraphFont"/>
    <w:link w:val="FootnoteText"/>
    <w:uiPriority w:val="99"/>
    <w:rsid w:val="00C30024"/>
    <w:rPr>
      <w:sz w:val="20"/>
      <w:szCs w:val="20"/>
    </w:rPr>
  </w:style>
  <w:style w:type="character" w:styleId="FootnoteReference">
    <w:name w:val="footnote reference"/>
    <w:basedOn w:val="DefaultParagraphFont"/>
    <w:uiPriority w:val="99"/>
    <w:semiHidden/>
    <w:unhideWhenUsed/>
    <w:rsid w:val="00C30024"/>
    <w:rPr>
      <w:vertAlign w:val="superscript"/>
    </w:rPr>
  </w:style>
  <w:style w:type="character" w:styleId="Hyperlink">
    <w:name w:val="Hyperlink"/>
    <w:basedOn w:val="DefaultParagraphFont"/>
    <w:uiPriority w:val="99"/>
    <w:unhideWhenUsed/>
    <w:rsid w:val="001A7F96"/>
    <w:rPr>
      <w:color w:val="0000FF" w:themeColor="hyperlink"/>
      <w:u w:val="single"/>
    </w:rPr>
  </w:style>
  <w:style w:type="paragraph" w:styleId="ListParagraph">
    <w:name w:val="List Paragraph"/>
    <w:basedOn w:val="Normal"/>
    <w:uiPriority w:val="34"/>
    <w:qFormat/>
    <w:rsid w:val="008C606D"/>
    <w:pPr>
      <w:ind w:left="720"/>
      <w:contextualSpacing/>
    </w:pPr>
  </w:style>
  <w:style w:type="paragraph" w:styleId="BalloonText">
    <w:name w:val="Balloon Text"/>
    <w:basedOn w:val="Normal"/>
    <w:link w:val="BalloonTextChar"/>
    <w:uiPriority w:val="99"/>
    <w:semiHidden/>
    <w:unhideWhenUsed/>
    <w:rsid w:val="002A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0B"/>
    <w:rPr>
      <w:rFonts w:ascii="Tahoma" w:hAnsi="Tahoma" w:cs="Tahoma"/>
      <w:sz w:val="16"/>
      <w:szCs w:val="16"/>
    </w:rPr>
  </w:style>
  <w:style w:type="paragraph" w:styleId="NormalWeb">
    <w:name w:val="Normal (Web)"/>
    <w:basedOn w:val="Normal"/>
    <w:uiPriority w:val="99"/>
    <w:unhideWhenUsed/>
    <w:rsid w:val="004B1F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F43"/>
    <w:rPr>
      <w:i/>
      <w:iCs/>
    </w:rPr>
  </w:style>
  <w:style w:type="character" w:styleId="Strong">
    <w:name w:val="Strong"/>
    <w:basedOn w:val="DefaultParagraphFont"/>
    <w:uiPriority w:val="22"/>
    <w:qFormat/>
    <w:rsid w:val="00287F43"/>
    <w:rPr>
      <w:b/>
      <w:bCs/>
    </w:rPr>
  </w:style>
  <w:style w:type="character" w:styleId="CommentReference">
    <w:name w:val="annotation reference"/>
    <w:basedOn w:val="DefaultParagraphFont"/>
    <w:uiPriority w:val="99"/>
    <w:semiHidden/>
    <w:unhideWhenUsed/>
    <w:rsid w:val="002A468F"/>
    <w:rPr>
      <w:sz w:val="16"/>
      <w:szCs w:val="16"/>
    </w:rPr>
  </w:style>
  <w:style w:type="paragraph" w:styleId="CommentText">
    <w:name w:val="annotation text"/>
    <w:basedOn w:val="Normal"/>
    <w:link w:val="CommentTextChar"/>
    <w:uiPriority w:val="99"/>
    <w:unhideWhenUsed/>
    <w:rsid w:val="002A468F"/>
    <w:pPr>
      <w:spacing w:line="240" w:lineRule="auto"/>
    </w:pPr>
    <w:rPr>
      <w:sz w:val="20"/>
      <w:szCs w:val="20"/>
    </w:rPr>
  </w:style>
  <w:style w:type="character" w:customStyle="1" w:styleId="CommentTextChar">
    <w:name w:val="Comment Text Char"/>
    <w:basedOn w:val="DefaultParagraphFont"/>
    <w:link w:val="CommentText"/>
    <w:uiPriority w:val="99"/>
    <w:rsid w:val="002A468F"/>
    <w:rPr>
      <w:sz w:val="20"/>
      <w:szCs w:val="20"/>
    </w:rPr>
  </w:style>
  <w:style w:type="paragraph" w:styleId="CommentSubject">
    <w:name w:val="annotation subject"/>
    <w:basedOn w:val="CommentText"/>
    <w:next w:val="CommentText"/>
    <w:link w:val="CommentSubjectChar"/>
    <w:uiPriority w:val="99"/>
    <w:semiHidden/>
    <w:unhideWhenUsed/>
    <w:rsid w:val="002A468F"/>
    <w:rPr>
      <w:b/>
      <w:bCs/>
    </w:rPr>
  </w:style>
  <w:style w:type="character" w:customStyle="1" w:styleId="CommentSubjectChar">
    <w:name w:val="Comment Subject Char"/>
    <w:basedOn w:val="CommentTextChar"/>
    <w:link w:val="CommentSubject"/>
    <w:uiPriority w:val="99"/>
    <w:semiHidden/>
    <w:rsid w:val="002A468F"/>
    <w:rPr>
      <w:b/>
      <w:bCs/>
      <w:sz w:val="20"/>
      <w:szCs w:val="20"/>
    </w:rPr>
  </w:style>
  <w:style w:type="paragraph" w:styleId="Revision">
    <w:name w:val="Revision"/>
    <w:hidden/>
    <w:uiPriority w:val="99"/>
    <w:semiHidden/>
    <w:rsid w:val="00C63CD6"/>
    <w:pPr>
      <w:spacing w:after="0" w:line="240" w:lineRule="auto"/>
    </w:pPr>
  </w:style>
  <w:style w:type="paragraph" w:styleId="Header">
    <w:name w:val="header"/>
    <w:basedOn w:val="Normal"/>
    <w:link w:val="HeaderChar"/>
    <w:uiPriority w:val="99"/>
    <w:unhideWhenUsed/>
    <w:rsid w:val="005F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F0F"/>
  </w:style>
  <w:style w:type="paragraph" w:styleId="Footer">
    <w:name w:val="footer"/>
    <w:basedOn w:val="Normal"/>
    <w:link w:val="FooterChar"/>
    <w:uiPriority w:val="99"/>
    <w:unhideWhenUsed/>
    <w:rsid w:val="005F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F0F"/>
  </w:style>
  <w:style w:type="paragraph" w:styleId="EndnoteText">
    <w:name w:val="endnote text"/>
    <w:basedOn w:val="Normal"/>
    <w:link w:val="EndnoteTextChar"/>
    <w:uiPriority w:val="99"/>
    <w:semiHidden/>
    <w:unhideWhenUsed/>
    <w:rsid w:val="00722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ABD"/>
    <w:rPr>
      <w:sz w:val="20"/>
      <w:szCs w:val="20"/>
    </w:rPr>
  </w:style>
  <w:style w:type="character" w:styleId="EndnoteReference">
    <w:name w:val="endnote reference"/>
    <w:basedOn w:val="DefaultParagraphFont"/>
    <w:uiPriority w:val="99"/>
    <w:semiHidden/>
    <w:unhideWhenUsed/>
    <w:rsid w:val="00722ABD"/>
    <w:rPr>
      <w:vertAlign w:val="superscript"/>
    </w:rPr>
  </w:style>
  <w:style w:type="character" w:customStyle="1" w:styleId="Heading1Char">
    <w:name w:val="Heading 1 Char"/>
    <w:basedOn w:val="DefaultParagraphFont"/>
    <w:link w:val="Heading1"/>
    <w:uiPriority w:val="1"/>
    <w:rsid w:val="00FF0AC9"/>
    <w:rPr>
      <w:rFonts w:ascii="Arial" w:eastAsia="Arial" w:hAnsi="Arial"/>
      <w:sz w:val="20"/>
      <w:szCs w:val="20"/>
    </w:rPr>
  </w:style>
  <w:style w:type="character" w:styleId="FollowedHyperlink">
    <w:name w:val="FollowedHyperlink"/>
    <w:basedOn w:val="DefaultParagraphFont"/>
    <w:uiPriority w:val="99"/>
    <w:semiHidden/>
    <w:unhideWhenUsed/>
    <w:rsid w:val="00195F1E"/>
    <w:rPr>
      <w:color w:val="800080" w:themeColor="followedHyperlink"/>
      <w:u w:val="single"/>
    </w:rPr>
  </w:style>
  <w:style w:type="paragraph" w:styleId="HTMLPreformatted">
    <w:name w:val="HTML Preformatted"/>
    <w:basedOn w:val="Normal"/>
    <w:link w:val="HTMLPreformattedChar"/>
    <w:uiPriority w:val="99"/>
    <w:semiHidden/>
    <w:unhideWhenUsed/>
    <w:rsid w:val="00E4729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7293"/>
    <w:rPr>
      <w:rFonts w:ascii="Consolas" w:hAnsi="Consolas"/>
      <w:sz w:val="20"/>
      <w:szCs w:val="20"/>
    </w:rPr>
  </w:style>
  <w:style w:type="character" w:customStyle="1" w:styleId="Heading2Char">
    <w:name w:val="Heading 2 Char"/>
    <w:basedOn w:val="DefaultParagraphFont"/>
    <w:link w:val="Heading2"/>
    <w:uiPriority w:val="9"/>
    <w:semiHidden/>
    <w:rsid w:val="00E472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280">
      <w:bodyDiv w:val="1"/>
      <w:marLeft w:val="0"/>
      <w:marRight w:val="0"/>
      <w:marTop w:val="0"/>
      <w:marBottom w:val="0"/>
      <w:divBdr>
        <w:top w:val="none" w:sz="0" w:space="0" w:color="auto"/>
        <w:left w:val="none" w:sz="0" w:space="0" w:color="auto"/>
        <w:bottom w:val="none" w:sz="0" w:space="0" w:color="auto"/>
        <w:right w:val="none" w:sz="0" w:space="0" w:color="auto"/>
      </w:divBdr>
    </w:div>
    <w:div w:id="146211979">
      <w:bodyDiv w:val="1"/>
      <w:marLeft w:val="0"/>
      <w:marRight w:val="0"/>
      <w:marTop w:val="0"/>
      <w:marBottom w:val="0"/>
      <w:divBdr>
        <w:top w:val="none" w:sz="0" w:space="0" w:color="auto"/>
        <w:left w:val="none" w:sz="0" w:space="0" w:color="auto"/>
        <w:bottom w:val="none" w:sz="0" w:space="0" w:color="auto"/>
        <w:right w:val="none" w:sz="0" w:space="0" w:color="auto"/>
      </w:divBdr>
    </w:div>
    <w:div w:id="286547740">
      <w:bodyDiv w:val="1"/>
      <w:marLeft w:val="0"/>
      <w:marRight w:val="0"/>
      <w:marTop w:val="0"/>
      <w:marBottom w:val="0"/>
      <w:divBdr>
        <w:top w:val="none" w:sz="0" w:space="0" w:color="auto"/>
        <w:left w:val="none" w:sz="0" w:space="0" w:color="auto"/>
        <w:bottom w:val="none" w:sz="0" w:space="0" w:color="auto"/>
        <w:right w:val="none" w:sz="0" w:space="0" w:color="auto"/>
      </w:divBdr>
    </w:div>
    <w:div w:id="342325074">
      <w:bodyDiv w:val="1"/>
      <w:marLeft w:val="0"/>
      <w:marRight w:val="0"/>
      <w:marTop w:val="0"/>
      <w:marBottom w:val="0"/>
      <w:divBdr>
        <w:top w:val="none" w:sz="0" w:space="0" w:color="auto"/>
        <w:left w:val="none" w:sz="0" w:space="0" w:color="auto"/>
        <w:bottom w:val="none" w:sz="0" w:space="0" w:color="auto"/>
        <w:right w:val="none" w:sz="0" w:space="0" w:color="auto"/>
      </w:divBdr>
    </w:div>
    <w:div w:id="355738926">
      <w:bodyDiv w:val="1"/>
      <w:marLeft w:val="0"/>
      <w:marRight w:val="0"/>
      <w:marTop w:val="0"/>
      <w:marBottom w:val="0"/>
      <w:divBdr>
        <w:top w:val="none" w:sz="0" w:space="0" w:color="auto"/>
        <w:left w:val="none" w:sz="0" w:space="0" w:color="auto"/>
        <w:bottom w:val="none" w:sz="0" w:space="0" w:color="auto"/>
        <w:right w:val="none" w:sz="0" w:space="0" w:color="auto"/>
      </w:divBdr>
    </w:div>
    <w:div w:id="529413922">
      <w:bodyDiv w:val="1"/>
      <w:marLeft w:val="0"/>
      <w:marRight w:val="0"/>
      <w:marTop w:val="0"/>
      <w:marBottom w:val="0"/>
      <w:divBdr>
        <w:top w:val="none" w:sz="0" w:space="0" w:color="auto"/>
        <w:left w:val="none" w:sz="0" w:space="0" w:color="auto"/>
        <w:bottom w:val="none" w:sz="0" w:space="0" w:color="auto"/>
        <w:right w:val="none" w:sz="0" w:space="0" w:color="auto"/>
      </w:divBdr>
      <w:divsChild>
        <w:div w:id="1629970533">
          <w:marLeft w:val="0"/>
          <w:marRight w:val="0"/>
          <w:marTop w:val="0"/>
          <w:marBottom w:val="165"/>
          <w:divBdr>
            <w:top w:val="none" w:sz="0" w:space="0" w:color="auto"/>
            <w:left w:val="none" w:sz="0" w:space="0" w:color="auto"/>
            <w:bottom w:val="none" w:sz="0" w:space="0" w:color="auto"/>
            <w:right w:val="none" w:sz="0" w:space="0" w:color="auto"/>
          </w:divBdr>
        </w:div>
      </w:divsChild>
    </w:div>
    <w:div w:id="555818206">
      <w:bodyDiv w:val="1"/>
      <w:marLeft w:val="0"/>
      <w:marRight w:val="0"/>
      <w:marTop w:val="0"/>
      <w:marBottom w:val="0"/>
      <w:divBdr>
        <w:top w:val="none" w:sz="0" w:space="0" w:color="auto"/>
        <w:left w:val="none" w:sz="0" w:space="0" w:color="auto"/>
        <w:bottom w:val="none" w:sz="0" w:space="0" w:color="auto"/>
        <w:right w:val="none" w:sz="0" w:space="0" w:color="auto"/>
      </w:divBdr>
      <w:divsChild>
        <w:div w:id="1210992926">
          <w:marLeft w:val="0"/>
          <w:marRight w:val="0"/>
          <w:marTop w:val="0"/>
          <w:marBottom w:val="165"/>
          <w:divBdr>
            <w:top w:val="none" w:sz="0" w:space="0" w:color="auto"/>
            <w:left w:val="none" w:sz="0" w:space="0" w:color="auto"/>
            <w:bottom w:val="none" w:sz="0" w:space="0" w:color="auto"/>
            <w:right w:val="none" w:sz="0" w:space="0" w:color="auto"/>
          </w:divBdr>
        </w:div>
      </w:divsChild>
    </w:div>
    <w:div w:id="586500623">
      <w:bodyDiv w:val="1"/>
      <w:marLeft w:val="0"/>
      <w:marRight w:val="0"/>
      <w:marTop w:val="0"/>
      <w:marBottom w:val="0"/>
      <w:divBdr>
        <w:top w:val="none" w:sz="0" w:space="0" w:color="auto"/>
        <w:left w:val="none" w:sz="0" w:space="0" w:color="auto"/>
        <w:bottom w:val="none" w:sz="0" w:space="0" w:color="auto"/>
        <w:right w:val="none" w:sz="0" w:space="0" w:color="auto"/>
      </w:divBdr>
    </w:div>
    <w:div w:id="685250055">
      <w:bodyDiv w:val="1"/>
      <w:marLeft w:val="0"/>
      <w:marRight w:val="0"/>
      <w:marTop w:val="0"/>
      <w:marBottom w:val="0"/>
      <w:divBdr>
        <w:top w:val="none" w:sz="0" w:space="0" w:color="auto"/>
        <w:left w:val="none" w:sz="0" w:space="0" w:color="auto"/>
        <w:bottom w:val="none" w:sz="0" w:space="0" w:color="auto"/>
        <w:right w:val="none" w:sz="0" w:space="0" w:color="auto"/>
      </w:divBdr>
    </w:div>
    <w:div w:id="820078601">
      <w:bodyDiv w:val="1"/>
      <w:marLeft w:val="0"/>
      <w:marRight w:val="0"/>
      <w:marTop w:val="0"/>
      <w:marBottom w:val="0"/>
      <w:divBdr>
        <w:top w:val="none" w:sz="0" w:space="0" w:color="auto"/>
        <w:left w:val="none" w:sz="0" w:space="0" w:color="auto"/>
        <w:bottom w:val="none" w:sz="0" w:space="0" w:color="auto"/>
        <w:right w:val="none" w:sz="0" w:space="0" w:color="auto"/>
      </w:divBdr>
    </w:div>
    <w:div w:id="888615044">
      <w:bodyDiv w:val="1"/>
      <w:marLeft w:val="0"/>
      <w:marRight w:val="0"/>
      <w:marTop w:val="0"/>
      <w:marBottom w:val="0"/>
      <w:divBdr>
        <w:top w:val="none" w:sz="0" w:space="0" w:color="auto"/>
        <w:left w:val="none" w:sz="0" w:space="0" w:color="auto"/>
        <w:bottom w:val="none" w:sz="0" w:space="0" w:color="auto"/>
        <w:right w:val="none" w:sz="0" w:space="0" w:color="auto"/>
      </w:divBdr>
    </w:div>
    <w:div w:id="956595456">
      <w:bodyDiv w:val="1"/>
      <w:marLeft w:val="0"/>
      <w:marRight w:val="0"/>
      <w:marTop w:val="0"/>
      <w:marBottom w:val="0"/>
      <w:divBdr>
        <w:top w:val="none" w:sz="0" w:space="0" w:color="auto"/>
        <w:left w:val="none" w:sz="0" w:space="0" w:color="auto"/>
        <w:bottom w:val="none" w:sz="0" w:space="0" w:color="auto"/>
        <w:right w:val="none" w:sz="0" w:space="0" w:color="auto"/>
      </w:divBdr>
      <w:divsChild>
        <w:div w:id="1610502398">
          <w:marLeft w:val="0"/>
          <w:marRight w:val="0"/>
          <w:marTop w:val="0"/>
          <w:marBottom w:val="0"/>
          <w:divBdr>
            <w:top w:val="none" w:sz="0" w:space="0" w:color="auto"/>
            <w:left w:val="none" w:sz="0" w:space="0" w:color="auto"/>
            <w:bottom w:val="none" w:sz="0" w:space="0" w:color="auto"/>
            <w:right w:val="none" w:sz="0" w:space="0" w:color="auto"/>
          </w:divBdr>
        </w:div>
      </w:divsChild>
    </w:div>
    <w:div w:id="1036738040">
      <w:bodyDiv w:val="1"/>
      <w:marLeft w:val="0"/>
      <w:marRight w:val="0"/>
      <w:marTop w:val="0"/>
      <w:marBottom w:val="0"/>
      <w:divBdr>
        <w:top w:val="none" w:sz="0" w:space="0" w:color="auto"/>
        <w:left w:val="none" w:sz="0" w:space="0" w:color="auto"/>
        <w:bottom w:val="none" w:sz="0" w:space="0" w:color="auto"/>
        <w:right w:val="none" w:sz="0" w:space="0" w:color="auto"/>
      </w:divBdr>
    </w:div>
    <w:div w:id="1068302906">
      <w:bodyDiv w:val="1"/>
      <w:marLeft w:val="0"/>
      <w:marRight w:val="0"/>
      <w:marTop w:val="0"/>
      <w:marBottom w:val="0"/>
      <w:divBdr>
        <w:top w:val="none" w:sz="0" w:space="0" w:color="auto"/>
        <w:left w:val="none" w:sz="0" w:space="0" w:color="auto"/>
        <w:bottom w:val="none" w:sz="0" w:space="0" w:color="auto"/>
        <w:right w:val="none" w:sz="0" w:space="0" w:color="auto"/>
      </w:divBdr>
    </w:div>
    <w:div w:id="1180587167">
      <w:bodyDiv w:val="1"/>
      <w:marLeft w:val="0"/>
      <w:marRight w:val="0"/>
      <w:marTop w:val="0"/>
      <w:marBottom w:val="0"/>
      <w:divBdr>
        <w:top w:val="none" w:sz="0" w:space="0" w:color="auto"/>
        <w:left w:val="none" w:sz="0" w:space="0" w:color="auto"/>
        <w:bottom w:val="none" w:sz="0" w:space="0" w:color="auto"/>
        <w:right w:val="none" w:sz="0" w:space="0" w:color="auto"/>
      </w:divBdr>
    </w:div>
    <w:div w:id="1241017244">
      <w:bodyDiv w:val="1"/>
      <w:marLeft w:val="0"/>
      <w:marRight w:val="0"/>
      <w:marTop w:val="0"/>
      <w:marBottom w:val="0"/>
      <w:divBdr>
        <w:top w:val="none" w:sz="0" w:space="0" w:color="auto"/>
        <w:left w:val="none" w:sz="0" w:space="0" w:color="auto"/>
        <w:bottom w:val="none" w:sz="0" w:space="0" w:color="auto"/>
        <w:right w:val="none" w:sz="0" w:space="0" w:color="auto"/>
      </w:divBdr>
      <w:divsChild>
        <w:div w:id="2054184152">
          <w:marLeft w:val="0"/>
          <w:marRight w:val="0"/>
          <w:marTop w:val="0"/>
          <w:marBottom w:val="165"/>
          <w:divBdr>
            <w:top w:val="none" w:sz="0" w:space="0" w:color="auto"/>
            <w:left w:val="none" w:sz="0" w:space="0" w:color="auto"/>
            <w:bottom w:val="none" w:sz="0" w:space="0" w:color="auto"/>
            <w:right w:val="none" w:sz="0" w:space="0" w:color="auto"/>
          </w:divBdr>
        </w:div>
        <w:div w:id="1924795915">
          <w:marLeft w:val="0"/>
          <w:marRight w:val="0"/>
          <w:marTop w:val="0"/>
          <w:marBottom w:val="0"/>
          <w:divBdr>
            <w:top w:val="none" w:sz="0" w:space="0" w:color="auto"/>
            <w:left w:val="none" w:sz="0" w:space="0" w:color="auto"/>
            <w:bottom w:val="none" w:sz="0" w:space="0" w:color="auto"/>
            <w:right w:val="none" w:sz="0" w:space="0" w:color="auto"/>
          </w:divBdr>
        </w:div>
      </w:divsChild>
    </w:div>
    <w:div w:id="1273366929">
      <w:bodyDiv w:val="1"/>
      <w:marLeft w:val="0"/>
      <w:marRight w:val="0"/>
      <w:marTop w:val="0"/>
      <w:marBottom w:val="0"/>
      <w:divBdr>
        <w:top w:val="none" w:sz="0" w:space="0" w:color="auto"/>
        <w:left w:val="none" w:sz="0" w:space="0" w:color="auto"/>
        <w:bottom w:val="none" w:sz="0" w:space="0" w:color="auto"/>
        <w:right w:val="none" w:sz="0" w:space="0" w:color="auto"/>
      </w:divBdr>
    </w:div>
    <w:div w:id="1308589100">
      <w:bodyDiv w:val="1"/>
      <w:marLeft w:val="0"/>
      <w:marRight w:val="0"/>
      <w:marTop w:val="0"/>
      <w:marBottom w:val="0"/>
      <w:divBdr>
        <w:top w:val="none" w:sz="0" w:space="0" w:color="auto"/>
        <w:left w:val="none" w:sz="0" w:space="0" w:color="auto"/>
        <w:bottom w:val="none" w:sz="0" w:space="0" w:color="auto"/>
        <w:right w:val="none" w:sz="0" w:space="0" w:color="auto"/>
      </w:divBdr>
    </w:div>
    <w:div w:id="1320885043">
      <w:bodyDiv w:val="1"/>
      <w:marLeft w:val="0"/>
      <w:marRight w:val="0"/>
      <w:marTop w:val="0"/>
      <w:marBottom w:val="0"/>
      <w:divBdr>
        <w:top w:val="none" w:sz="0" w:space="0" w:color="auto"/>
        <w:left w:val="none" w:sz="0" w:space="0" w:color="auto"/>
        <w:bottom w:val="none" w:sz="0" w:space="0" w:color="auto"/>
        <w:right w:val="none" w:sz="0" w:space="0" w:color="auto"/>
      </w:divBdr>
    </w:div>
    <w:div w:id="1421291651">
      <w:bodyDiv w:val="1"/>
      <w:marLeft w:val="0"/>
      <w:marRight w:val="0"/>
      <w:marTop w:val="0"/>
      <w:marBottom w:val="0"/>
      <w:divBdr>
        <w:top w:val="none" w:sz="0" w:space="0" w:color="auto"/>
        <w:left w:val="none" w:sz="0" w:space="0" w:color="auto"/>
        <w:bottom w:val="none" w:sz="0" w:space="0" w:color="auto"/>
        <w:right w:val="none" w:sz="0" w:space="0" w:color="auto"/>
      </w:divBdr>
    </w:div>
    <w:div w:id="1437091938">
      <w:bodyDiv w:val="1"/>
      <w:marLeft w:val="0"/>
      <w:marRight w:val="0"/>
      <w:marTop w:val="0"/>
      <w:marBottom w:val="0"/>
      <w:divBdr>
        <w:top w:val="none" w:sz="0" w:space="0" w:color="auto"/>
        <w:left w:val="none" w:sz="0" w:space="0" w:color="auto"/>
        <w:bottom w:val="none" w:sz="0" w:space="0" w:color="auto"/>
        <w:right w:val="none" w:sz="0" w:space="0" w:color="auto"/>
      </w:divBdr>
    </w:div>
    <w:div w:id="1469198910">
      <w:bodyDiv w:val="1"/>
      <w:marLeft w:val="0"/>
      <w:marRight w:val="0"/>
      <w:marTop w:val="0"/>
      <w:marBottom w:val="0"/>
      <w:divBdr>
        <w:top w:val="none" w:sz="0" w:space="0" w:color="auto"/>
        <w:left w:val="none" w:sz="0" w:space="0" w:color="auto"/>
        <w:bottom w:val="none" w:sz="0" w:space="0" w:color="auto"/>
        <w:right w:val="none" w:sz="0" w:space="0" w:color="auto"/>
      </w:divBdr>
    </w:div>
    <w:div w:id="1470778708">
      <w:bodyDiv w:val="1"/>
      <w:marLeft w:val="0"/>
      <w:marRight w:val="0"/>
      <w:marTop w:val="0"/>
      <w:marBottom w:val="0"/>
      <w:divBdr>
        <w:top w:val="none" w:sz="0" w:space="0" w:color="auto"/>
        <w:left w:val="none" w:sz="0" w:space="0" w:color="auto"/>
        <w:bottom w:val="none" w:sz="0" w:space="0" w:color="auto"/>
        <w:right w:val="none" w:sz="0" w:space="0" w:color="auto"/>
      </w:divBdr>
    </w:div>
    <w:div w:id="1488593257">
      <w:bodyDiv w:val="1"/>
      <w:marLeft w:val="0"/>
      <w:marRight w:val="0"/>
      <w:marTop w:val="0"/>
      <w:marBottom w:val="0"/>
      <w:divBdr>
        <w:top w:val="none" w:sz="0" w:space="0" w:color="auto"/>
        <w:left w:val="none" w:sz="0" w:space="0" w:color="auto"/>
        <w:bottom w:val="none" w:sz="0" w:space="0" w:color="auto"/>
        <w:right w:val="none" w:sz="0" w:space="0" w:color="auto"/>
      </w:divBdr>
    </w:div>
    <w:div w:id="1510825923">
      <w:bodyDiv w:val="1"/>
      <w:marLeft w:val="0"/>
      <w:marRight w:val="0"/>
      <w:marTop w:val="0"/>
      <w:marBottom w:val="0"/>
      <w:divBdr>
        <w:top w:val="none" w:sz="0" w:space="0" w:color="auto"/>
        <w:left w:val="none" w:sz="0" w:space="0" w:color="auto"/>
        <w:bottom w:val="none" w:sz="0" w:space="0" w:color="auto"/>
        <w:right w:val="none" w:sz="0" w:space="0" w:color="auto"/>
      </w:divBdr>
    </w:div>
    <w:div w:id="1549301856">
      <w:bodyDiv w:val="1"/>
      <w:marLeft w:val="0"/>
      <w:marRight w:val="0"/>
      <w:marTop w:val="0"/>
      <w:marBottom w:val="0"/>
      <w:divBdr>
        <w:top w:val="none" w:sz="0" w:space="0" w:color="auto"/>
        <w:left w:val="none" w:sz="0" w:space="0" w:color="auto"/>
        <w:bottom w:val="none" w:sz="0" w:space="0" w:color="auto"/>
        <w:right w:val="none" w:sz="0" w:space="0" w:color="auto"/>
      </w:divBdr>
    </w:div>
    <w:div w:id="1621917272">
      <w:bodyDiv w:val="1"/>
      <w:marLeft w:val="0"/>
      <w:marRight w:val="0"/>
      <w:marTop w:val="0"/>
      <w:marBottom w:val="0"/>
      <w:divBdr>
        <w:top w:val="none" w:sz="0" w:space="0" w:color="auto"/>
        <w:left w:val="none" w:sz="0" w:space="0" w:color="auto"/>
        <w:bottom w:val="none" w:sz="0" w:space="0" w:color="auto"/>
        <w:right w:val="none" w:sz="0" w:space="0" w:color="auto"/>
      </w:divBdr>
      <w:divsChild>
        <w:div w:id="2063869690">
          <w:marLeft w:val="907"/>
          <w:marRight w:val="0"/>
          <w:marTop w:val="106"/>
          <w:marBottom w:val="360"/>
          <w:divBdr>
            <w:top w:val="none" w:sz="0" w:space="0" w:color="auto"/>
            <w:left w:val="none" w:sz="0" w:space="0" w:color="auto"/>
            <w:bottom w:val="none" w:sz="0" w:space="0" w:color="auto"/>
            <w:right w:val="none" w:sz="0" w:space="0" w:color="auto"/>
          </w:divBdr>
        </w:div>
      </w:divsChild>
    </w:div>
    <w:div w:id="1806501680">
      <w:bodyDiv w:val="1"/>
      <w:marLeft w:val="0"/>
      <w:marRight w:val="0"/>
      <w:marTop w:val="0"/>
      <w:marBottom w:val="0"/>
      <w:divBdr>
        <w:top w:val="none" w:sz="0" w:space="0" w:color="auto"/>
        <w:left w:val="none" w:sz="0" w:space="0" w:color="auto"/>
        <w:bottom w:val="none" w:sz="0" w:space="0" w:color="auto"/>
        <w:right w:val="none" w:sz="0" w:space="0" w:color="auto"/>
      </w:divBdr>
      <w:divsChild>
        <w:div w:id="556748661">
          <w:marLeft w:val="0"/>
          <w:marRight w:val="0"/>
          <w:marTop w:val="0"/>
          <w:marBottom w:val="300"/>
          <w:divBdr>
            <w:top w:val="none" w:sz="0" w:space="0" w:color="auto"/>
            <w:left w:val="none" w:sz="0" w:space="0" w:color="auto"/>
            <w:bottom w:val="none" w:sz="0" w:space="0" w:color="auto"/>
            <w:right w:val="none" w:sz="0" w:space="0" w:color="auto"/>
          </w:divBdr>
          <w:divsChild>
            <w:div w:id="1856528207">
              <w:marLeft w:val="0"/>
              <w:marRight w:val="0"/>
              <w:marTop w:val="0"/>
              <w:marBottom w:val="75"/>
              <w:divBdr>
                <w:top w:val="none" w:sz="0" w:space="0" w:color="auto"/>
                <w:left w:val="none" w:sz="0" w:space="0" w:color="auto"/>
                <w:bottom w:val="none" w:sz="0" w:space="0" w:color="auto"/>
                <w:right w:val="none" w:sz="0" w:space="0" w:color="auto"/>
              </w:divBdr>
            </w:div>
            <w:div w:id="1948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3428">
      <w:bodyDiv w:val="1"/>
      <w:marLeft w:val="0"/>
      <w:marRight w:val="0"/>
      <w:marTop w:val="0"/>
      <w:marBottom w:val="0"/>
      <w:divBdr>
        <w:top w:val="none" w:sz="0" w:space="0" w:color="auto"/>
        <w:left w:val="none" w:sz="0" w:space="0" w:color="auto"/>
        <w:bottom w:val="none" w:sz="0" w:space="0" w:color="auto"/>
        <w:right w:val="none" w:sz="0" w:space="0" w:color="auto"/>
      </w:divBdr>
    </w:div>
    <w:div w:id="1909921382">
      <w:bodyDiv w:val="1"/>
      <w:marLeft w:val="0"/>
      <w:marRight w:val="0"/>
      <w:marTop w:val="0"/>
      <w:marBottom w:val="0"/>
      <w:divBdr>
        <w:top w:val="none" w:sz="0" w:space="0" w:color="auto"/>
        <w:left w:val="none" w:sz="0" w:space="0" w:color="auto"/>
        <w:bottom w:val="none" w:sz="0" w:space="0" w:color="auto"/>
        <w:right w:val="none" w:sz="0" w:space="0" w:color="auto"/>
      </w:divBdr>
      <w:divsChild>
        <w:div w:id="1446387704">
          <w:marLeft w:val="907"/>
          <w:marRight w:val="0"/>
          <w:marTop w:val="106"/>
          <w:marBottom w:val="360"/>
          <w:divBdr>
            <w:top w:val="none" w:sz="0" w:space="0" w:color="auto"/>
            <w:left w:val="none" w:sz="0" w:space="0" w:color="auto"/>
            <w:bottom w:val="none" w:sz="0" w:space="0" w:color="auto"/>
            <w:right w:val="none" w:sz="0" w:space="0" w:color="auto"/>
          </w:divBdr>
        </w:div>
      </w:divsChild>
    </w:div>
    <w:div w:id="1960918667">
      <w:bodyDiv w:val="1"/>
      <w:marLeft w:val="0"/>
      <w:marRight w:val="0"/>
      <w:marTop w:val="0"/>
      <w:marBottom w:val="0"/>
      <w:divBdr>
        <w:top w:val="none" w:sz="0" w:space="0" w:color="auto"/>
        <w:left w:val="none" w:sz="0" w:space="0" w:color="auto"/>
        <w:bottom w:val="none" w:sz="0" w:space="0" w:color="auto"/>
        <w:right w:val="none" w:sz="0" w:space="0" w:color="auto"/>
      </w:divBdr>
    </w:div>
    <w:div w:id="2010206201">
      <w:bodyDiv w:val="1"/>
      <w:marLeft w:val="0"/>
      <w:marRight w:val="0"/>
      <w:marTop w:val="0"/>
      <w:marBottom w:val="0"/>
      <w:divBdr>
        <w:top w:val="none" w:sz="0" w:space="0" w:color="auto"/>
        <w:left w:val="none" w:sz="0" w:space="0" w:color="auto"/>
        <w:bottom w:val="none" w:sz="0" w:space="0" w:color="auto"/>
        <w:right w:val="none" w:sz="0" w:space="0" w:color="auto"/>
      </w:divBdr>
      <w:divsChild>
        <w:div w:id="94791455">
          <w:marLeft w:val="0"/>
          <w:marRight w:val="0"/>
          <w:marTop w:val="0"/>
          <w:marBottom w:val="165"/>
          <w:divBdr>
            <w:top w:val="none" w:sz="0" w:space="0" w:color="auto"/>
            <w:left w:val="none" w:sz="0" w:space="0" w:color="auto"/>
            <w:bottom w:val="none" w:sz="0" w:space="0" w:color="auto"/>
            <w:right w:val="none" w:sz="0" w:space="0" w:color="auto"/>
          </w:divBdr>
        </w:div>
        <w:div w:id="613632625">
          <w:marLeft w:val="0"/>
          <w:marRight w:val="0"/>
          <w:marTop w:val="0"/>
          <w:marBottom w:val="0"/>
          <w:divBdr>
            <w:top w:val="none" w:sz="0" w:space="0" w:color="auto"/>
            <w:left w:val="none" w:sz="0" w:space="0" w:color="auto"/>
            <w:bottom w:val="none" w:sz="0" w:space="0" w:color="auto"/>
            <w:right w:val="none" w:sz="0" w:space="0" w:color="auto"/>
          </w:divBdr>
        </w:div>
      </w:divsChild>
    </w:div>
    <w:div w:id="20763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health-care/about-this-rulemaking" TargetMode="External"/><Relationship Id="rId13" Type="http://schemas.openxmlformats.org/officeDocument/2006/relationships/hyperlink" Target="http://www.a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ata.org/find-your-reg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ta.org/factsheet/quicktips-t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ccess-board.go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6/j.dhjo.2016.03.001" TargetMode="External"/><Relationship Id="rId13" Type="http://schemas.openxmlformats.org/officeDocument/2006/relationships/hyperlink" Target="https://www.nursingworld.org/~495c56/globalassets/practiceandpolicy/healthy-nurse-healthy-nation/ana-healthriskappraisalsummary_2013-2016.pdf" TargetMode="External"/><Relationship Id="rId18" Type="http://schemas.openxmlformats.org/officeDocument/2006/relationships/hyperlink" Target="https://www.bls.gov/news.release/pdf/osh2.pdf" TargetMode="External"/><Relationship Id="rId3" Type="http://schemas.openxmlformats.org/officeDocument/2006/relationships/hyperlink" Target="https://www.researchgate.net/journal/1533-4406_New_England_Journal_of_Medicine" TargetMode="External"/><Relationship Id="rId21" Type="http://schemas.openxmlformats.org/officeDocument/2006/relationships/hyperlink" Target="https://www.kronos.com/about-us/newsroom/kronos-survey-finds-nurses-love-what-they-do-though-fatigue-pervasive-problem" TargetMode="External"/><Relationship Id="rId7" Type="http://schemas.openxmlformats.org/officeDocument/2006/relationships/hyperlink" Target="http://hrms.urban.org/quicktakes/Many-Adults-Have-Problems-Getting-Health-Care.html" TargetMode="External"/><Relationship Id="rId12" Type="http://schemas.openxmlformats.org/officeDocument/2006/relationships/hyperlink" Target="https://www.nylpi.org/images/FE/chain234siteType8/site203/client/breakingbarriers.pdf" TargetMode="External"/><Relationship Id="rId17" Type="http://schemas.openxmlformats.org/officeDocument/2006/relationships/hyperlink" Target="https://www.bls.gov/news.release/osh2.t18.htm" TargetMode="External"/><Relationship Id="rId2" Type="http://schemas.openxmlformats.org/officeDocument/2006/relationships/hyperlink" Target="https://www.access-board.gov/guidelines-and-standards/health-care/about-this-rulemaking/final-standards-2/text-of-the-proposed-standards-7" TargetMode="External"/><Relationship Id="rId16" Type="http://schemas.openxmlformats.org/officeDocument/2006/relationships/hyperlink" Target="http://cdn2.hubspot.net/hubfs/330425/2016_Liberty_Mutual_Workplace_Safety_Index.pdf" TargetMode="External"/><Relationship Id="rId20" Type="http://schemas.openxmlformats.org/officeDocument/2006/relationships/hyperlink" Target="https://www.bls.gov/ooh/healthcare/registered-nurses.htm" TargetMode="External"/><Relationship Id="rId1" Type="http://schemas.openxmlformats.org/officeDocument/2006/relationships/hyperlink" Target="https://www.access-board.gov/guidelines-and-standards/health-care/about-this-rulemaking" TargetMode="External"/><Relationship Id="rId6" Type="http://schemas.openxmlformats.org/officeDocument/2006/relationships/hyperlink" Target="https://www.cdc.gov/ncbddd/disabilityandhealth/disability-barriers.html" TargetMode="External"/><Relationship Id="rId11" Type="http://schemas.openxmlformats.org/officeDocument/2006/relationships/hyperlink" Target="https://www.psqh.com/analysis/alternatives-to-lifting-patients/" TargetMode="External"/><Relationship Id="rId5" Type="http://schemas.openxmlformats.org/officeDocument/2006/relationships/hyperlink" Target="http://dx.doi.org/10.5888/pcd14.160312" TargetMode="External"/><Relationship Id="rId15" Type="http://schemas.openxmlformats.org/officeDocument/2006/relationships/hyperlink" Target="https://www.libertymutualgroup.com/omapps/ContentServer?cid=1240029888340&amp;pagename=LMGResearchInstitute%2Fcms_document%2FShowDoc&amp;c=cms_document" TargetMode="External"/><Relationship Id="rId10" Type="http://schemas.openxmlformats.org/officeDocument/2006/relationships/hyperlink" Target="https://www.kff.org/medicaid/issue-brief/data-note-medicaids-role-in-providing-access-to-preventive-care-for-adults/" TargetMode="External"/><Relationship Id="rId19" Type="http://schemas.openxmlformats.org/officeDocument/2006/relationships/hyperlink" Target="https://www.theatlantic.com/health/archive/2016/02/nursing-shortage/459741/" TargetMode="External"/><Relationship Id="rId4" Type="http://schemas.openxmlformats.org/officeDocument/2006/relationships/hyperlink" Target="https://www.access-board.gov/guidelines-and-standards/health-care/about-this-rulemaking/final-standards" TargetMode="External"/><Relationship Id="rId9" Type="http://schemas.openxmlformats.org/officeDocument/2006/relationships/hyperlink" Target="https://www.nytimes.com/2018/01/29/upshot/preventive-health-care-costs.html" TargetMode="External"/><Relationship Id="rId14" Type="http://schemas.openxmlformats.org/officeDocument/2006/relationships/hyperlink" Target="https://pdfs.semanticscholar.org/0f55/e5255d5473c7f8c3b34d58a1bc4b0b387a5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Disparities in</a:t>
            </a:r>
            <a:r>
              <a:rPr lang="en-US" baseline="0"/>
              <a:t> Preventative Health Screenings for People with Disabilities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Persons with Disabilities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Pap Test</c:v>
                </c:pt>
                <c:pt idx="1">
                  <c:v>Colorectal Screening</c:v>
                </c:pt>
                <c:pt idx="2">
                  <c:v>Mammogram</c:v>
                </c:pt>
              </c:strCache>
            </c:strRef>
          </c:cat>
          <c:val>
            <c:numRef>
              <c:f>Sheet1!$B$2:$B$4</c:f>
              <c:numCache>
                <c:formatCode>0.00%</c:formatCode>
                <c:ptCount val="3"/>
                <c:pt idx="0">
                  <c:v>0.66100000000000003</c:v>
                </c:pt>
                <c:pt idx="1">
                  <c:v>0.48599999999999999</c:v>
                </c:pt>
                <c:pt idx="2">
                  <c:v>0.61199999999999999</c:v>
                </c:pt>
              </c:numCache>
            </c:numRef>
          </c:val>
          <c:extLst>
            <c:ext xmlns:c16="http://schemas.microsoft.com/office/drawing/2014/chart" uri="{C3380CC4-5D6E-409C-BE32-E72D297353CC}">
              <c16:uniqueId val="{00000000-B5DA-4E78-9B6A-44982C2BFBED}"/>
            </c:ext>
          </c:extLst>
        </c:ser>
        <c:ser>
          <c:idx val="1"/>
          <c:order val="1"/>
          <c:tx>
            <c:strRef>
              <c:f>Sheet1!$C$1</c:f>
              <c:strCache>
                <c:ptCount val="1"/>
                <c:pt idx="0">
                  <c:v>Persons without Disabilities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Pap Test</c:v>
                </c:pt>
                <c:pt idx="1">
                  <c:v>Colorectal Screening</c:v>
                </c:pt>
                <c:pt idx="2">
                  <c:v>Mammogram</c:v>
                </c:pt>
              </c:strCache>
            </c:strRef>
          </c:cat>
          <c:val>
            <c:numRef>
              <c:f>Sheet1!$C$2:$C$4</c:f>
              <c:numCache>
                <c:formatCode>0.00%</c:formatCode>
                <c:ptCount val="3"/>
                <c:pt idx="0">
                  <c:v>0.81399999999999995</c:v>
                </c:pt>
                <c:pt idx="1">
                  <c:v>0.56999999999999995</c:v>
                </c:pt>
                <c:pt idx="2">
                  <c:v>0.72799999999999998</c:v>
                </c:pt>
              </c:numCache>
            </c:numRef>
          </c:val>
          <c:extLst>
            <c:ext xmlns:c16="http://schemas.microsoft.com/office/drawing/2014/chart" uri="{C3380CC4-5D6E-409C-BE32-E72D297353CC}">
              <c16:uniqueId val="{00000001-B5DA-4E78-9B6A-44982C2BFBED}"/>
            </c:ext>
          </c:extLst>
        </c:ser>
        <c:dLbls>
          <c:showLegendKey val="0"/>
          <c:showVal val="0"/>
          <c:showCatName val="0"/>
          <c:showSerName val="0"/>
          <c:showPercent val="0"/>
          <c:showBubbleSize val="0"/>
        </c:dLbls>
        <c:gapWidth val="219"/>
        <c:overlap val="-27"/>
        <c:axId val="436778048"/>
        <c:axId val="436778704"/>
      </c:barChart>
      <c:catAx>
        <c:axId val="43677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778704"/>
        <c:crosses val="autoZero"/>
        <c:auto val="1"/>
        <c:lblAlgn val="ctr"/>
        <c:lblOffset val="100"/>
        <c:noMultiLvlLbl val="0"/>
      </c:catAx>
      <c:valAx>
        <c:axId val="436778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77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Barriers to Health Care Accessibility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Sheet1!$B$21</c:f>
              <c:strCache>
                <c:ptCount val="1"/>
                <c:pt idx="0">
                  <c:v>Persons with Disabilities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Sheet1!$A$22:$A$25</c:f>
              <c:strCache>
                <c:ptCount val="3"/>
                <c:pt idx="0">
                  <c:v>Difficulty Finding A Doctor</c:v>
                </c:pt>
                <c:pt idx="1">
                  <c:v>Difficulty Getting An Appointment When Needed</c:v>
                </c:pt>
                <c:pt idx="2">
                  <c:v>Unmet Needs</c:v>
                </c:pt>
              </c:strCache>
            </c:strRef>
          </c:cat>
          <c:val>
            <c:numRef>
              <c:f>Sheet1!$B$22:$B$25</c:f>
              <c:numCache>
                <c:formatCode>0.00%</c:formatCode>
                <c:ptCount val="4"/>
                <c:pt idx="0">
                  <c:v>7.3999999999999996E-2</c:v>
                </c:pt>
                <c:pt idx="1">
                  <c:v>0.20499999999999999</c:v>
                </c:pt>
                <c:pt idx="2">
                  <c:v>0.16800000000000001</c:v>
                </c:pt>
              </c:numCache>
            </c:numRef>
          </c:val>
          <c:extLst>
            <c:ext xmlns:c16="http://schemas.microsoft.com/office/drawing/2014/chart" uri="{C3380CC4-5D6E-409C-BE32-E72D297353CC}">
              <c16:uniqueId val="{00000000-43A7-4153-AEA3-3C4F2927C51B}"/>
            </c:ext>
          </c:extLst>
        </c:ser>
        <c:ser>
          <c:idx val="1"/>
          <c:order val="1"/>
          <c:tx>
            <c:strRef>
              <c:f>Sheet1!$C$21</c:f>
              <c:strCache>
                <c:ptCount val="1"/>
                <c:pt idx="0">
                  <c:v>Persons without Disabilities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Sheet1!$A$22:$A$25</c:f>
              <c:strCache>
                <c:ptCount val="3"/>
                <c:pt idx="0">
                  <c:v>Difficulty Finding A Doctor</c:v>
                </c:pt>
                <c:pt idx="1">
                  <c:v>Difficulty Getting An Appointment When Needed</c:v>
                </c:pt>
                <c:pt idx="2">
                  <c:v>Unmet Needs</c:v>
                </c:pt>
              </c:strCache>
            </c:strRef>
          </c:cat>
          <c:val>
            <c:numRef>
              <c:f>Sheet1!$C$22:$C$25</c:f>
              <c:numCache>
                <c:formatCode>0.00%</c:formatCode>
                <c:ptCount val="4"/>
                <c:pt idx="0">
                  <c:v>3.5000000000000003E-2</c:v>
                </c:pt>
                <c:pt idx="1">
                  <c:v>9.7000000000000003E-2</c:v>
                </c:pt>
                <c:pt idx="2">
                  <c:v>9.1999999999999998E-2</c:v>
                </c:pt>
              </c:numCache>
            </c:numRef>
          </c:val>
          <c:extLst>
            <c:ext xmlns:c16="http://schemas.microsoft.com/office/drawing/2014/chart" uri="{C3380CC4-5D6E-409C-BE32-E72D297353CC}">
              <c16:uniqueId val="{00000001-43A7-4153-AEA3-3C4F2927C51B}"/>
            </c:ext>
          </c:extLst>
        </c:ser>
        <c:dLbls>
          <c:showLegendKey val="0"/>
          <c:showVal val="0"/>
          <c:showCatName val="0"/>
          <c:showSerName val="0"/>
          <c:showPercent val="0"/>
          <c:showBubbleSize val="0"/>
        </c:dLbls>
        <c:gapWidth val="219"/>
        <c:overlap val="-27"/>
        <c:axId val="857186856"/>
        <c:axId val="857191776"/>
        <c:extLst>
          <c:ext xmlns:c15="http://schemas.microsoft.com/office/drawing/2012/chart" uri="{02D57815-91ED-43cb-92C2-25804820EDAC}">
            <c15:filteredBarSeries>
              <c15:ser>
                <c:idx val="2"/>
                <c:order val="2"/>
                <c:tx>
                  <c:strRef>
                    <c:extLst>
                      <c:ext uri="{02D57815-91ED-43cb-92C2-25804820EDAC}">
                        <c15:formulaRef>
                          <c15:sqref>Sheet1!$D$21</c15:sqref>
                        </c15:formulaRef>
                      </c:ext>
                    </c:extLst>
                    <c:strCache>
                      <c:ptCount val="1"/>
                    </c:strCache>
                  </c:strRef>
                </c:tx>
                <c:spPr>
                  <a:solidFill>
                    <a:schemeClr val="accent3"/>
                  </a:solidFill>
                  <a:ln>
                    <a:noFill/>
                  </a:ln>
                  <a:effectLst/>
                </c:spPr>
                <c:invertIfNegative val="0"/>
                <c:cat>
                  <c:strRef>
                    <c:extLst>
                      <c:ext uri="{02D57815-91ED-43cb-92C2-25804820EDAC}">
                        <c15:formulaRef>
                          <c15:sqref>Sheet1!$A$22:$A$25</c15:sqref>
                        </c15:formulaRef>
                      </c:ext>
                    </c:extLst>
                    <c:strCache>
                      <c:ptCount val="3"/>
                      <c:pt idx="0">
                        <c:v>Difficulty Finding A Doctor</c:v>
                      </c:pt>
                      <c:pt idx="1">
                        <c:v>Difficulty Getting An Appointment When Needed</c:v>
                      </c:pt>
                      <c:pt idx="2">
                        <c:v>Unmet Needs</c:v>
                      </c:pt>
                    </c:strCache>
                  </c:strRef>
                </c:cat>
                <c:val>
                  <c:numRef>
                    <c:extLst>
                      <c:ext uri="{02D57815-91ED-43cb-92C2-25804820EDAC}">
                        <c15:formulaRef>
                          <c15:sqref>Sheet1!$D$22:$D$25</c15:sqref>
                        </c15:formulaRef>
                      </c:ext>
                    </c:extLst>
                    <c:numCache>
                      <c:formatCode>General</c:formatCode>
                      <c:ptCount val="4"/>
                    </c:numCache>
                  </c:numRef>
                </c:val>
                <c:extLst>
                  <c:ext xmlns:c16="http://schemas.microsoft.com/office/drawing/2014/chart" uri="{C3380CC4-5D6E-409C-BE32-E72D297353CC}">
                    <c16:uniqueId val="{00000002-43A7-4153-AEA3-3C4F2927C51B}"/>
                  </c:ext>
                </c:extLst>
              </c15:ser>
            </c15:filteredBarSeries>
          </c:ext>
        </c:extLst>
      </c:barChart>
      <c:catAx>
        <c:axId val="85718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191776"/>
        <c:crosses val="autoZero"/>
        <c:auto val="1"/>
        <c:lblAlgn val="ctr"/>
        <c:lblOffset val="100"/>
        <c:noMultiLvlLbl val="0"/>
      </c:catAx>
      <c:valAx>
        <c:axId val="857191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1868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B22-7610-4B24-8024-80BCDBE7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dc:creator>
  <cp:lastModifiedBy>Chilton, Kelly (ACL) (CTR)</cp:lastModifiedBy>
  <cp:revision>2</cp:revision>
  <cp:lastPrinted>2019-05-08T00:33:00Z</cp:lastPrinted>
  <dcterms:created xsi:type="dcterms:W3CDTF">2019-07-23T13:14:00Z</dcterms:created>
  <dcterms:modified xsi:type="dcterms:W3CDTF">2019-07-23T13:14:00Z</dcterms:modified>
</cp:coreProperties>
</file>