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07F8" w14:textId="77777777" w:rsidR="00DF6632" w:rsidRDefault="00274BD2" w:rsidP="00DF6632">
      <w:pPr>
        <w:spacing w:after="0" w:line="240" w:lineRule="auto"/>
        <w:contextualSpacing/>
        <w:rPr>
          <w:b/>
          <w:bCs/>
          <w:sz w:val="68"/>
          <w:szCs w:val="68"/>
        </w:rPr>
      </w:pPr>
      <w:r w:rsidRPr="00913B3E">
        <w:rPr>
          <w:b/>
          <w:bCs/>
          <w:noProof/>
          <w:sz w:val="68"/>
          <w:szCs w:val="68"/>
        </w:rPr>
        <w:drawing>
          <wp:inline distT="0" distB="0" distL="0" distR="0" wp14:anchorId="796CCFFA" wp14:editId="0F3D2C94">
            <wp:extent cx="1263650" cy="1295400"/>
            <wp:effectExtent l="0" t="0" r="0" b="0"/>
            <wp:docPr id="15" name="Picture 2"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95400"/>
                    </a:xfrm>
                    <a:prstGeom prst="rect">
                      <a:avLst/>
                    </a:prstGeom>
                    <a:noFill/>
                    <a:ln>
                      <a:noFill/>
                    </a:ln>
                  </pic:spPr>
                </pic:pic>
              </a:graphicData>
            </a:graphic>
          </wp:inline>
        </w:drawing>
      </w:r>
    </w:p>
    <w:p w14:paraId="431A689A" w14:textId="38E3EE2D" w:rsidR="00B85439" w:rsidRPr="00913B3E" w:rsidRDefault="00B85439" w:rsidP="00B85439">
      <w:pPr>
        <w:spacing w:after="0" w:line="240" w:lineRule="auto"/>
        <w:contextualSpacing/>
        <w:jc w:val="right"/>
        <w:rPr>
          <w:b/>
          <w:bCs/>
          <w:sz w:val="68"/>
          <w:szCs w:val="68"/>
        </w:rPr>
      </w:pPr>
      <w:r>
        <w:rPr>
          <w:b/>
          <w:bCs/>
          <w:sz w:val="68"/>
          <w:szCs w:val="68"/>
        </w:rPr>
        <w:t>DEPARTMENT</w:t>
      </w:r>
      <w:r>
        <w:rPr>
          <w:b/>
          <w:bCs/>
          <w:sz w:val="68"/>
          <w:szCs w:val="68"/>
        </w:rPr>
        <w:br/>
        <w:t>of HEALTH</w:t>
      </w:r>
      <w:r>
        <w:rPr>
          <w:b/>
          <w:bCs/>
          <w:sz w:val="68"/>
          <w:szCs w:val="68"/>
        </w:rPr>
        <w:br/>
        <w:t>a</w:t>
      </w:r>
      <w:r w:rsidRPr="00913B3E">
        <w:rPr>
          <w:b/>
          <w:bCs/>
          <w:sz w:val="68"/>
          <w:szCs w:val="68"/>
        </w:rPr>
        <w:t>nd HUMAN</w:t>
      </w:r>
    </w:p>
    <w:p w14:paraId="00AE5FDB" w14:textId="143D9D7A" w:rsidR="00B85439" w:rsidRPr="006C27A7" w:rsidRDefault="00B85439" w:rsidP="00682136">
      <w:pPr>
        <w:spacing w:after="480" w:line="240" w:lineRule="auto"/>
        <w:contextualSpacing/>
        <w:jc w:val="right"/>
        <w:rPr>
          <w:b/>
          <w:bCs/>
          <w:sz w:val="68"/>
          <w:szCs w:val="68"/>
        </w:rPr>
      </w:pPr>
      <w:r w:rsidRPr="00913B3E">
        <w:rPr>
          <w:b/>
          <w:bCs/>
          <w:sz w:val="68"/>
          <w:szCs w:val="68"/>
        </w:rPr>
        <w:t>SERVICES</w:t>
      </w:r>
    </w:p>
    <w:p w14:paraId="14601D56" w14:textId="77777777" w:rsidR="00B85439" w:rsidRPr="003B3522" w:rsidRDefault="00B85439" w:rsidP="00682136">
      <w:pPr>
        <w:pStyle w:val="Title"/>
        <w:spacing w:after="480"/>
        <w:ind w:left="547"/>
        <w:jc w:val="center"/>
      </w:pPr>
      <w:r w:rsidRPr="003B3522">
        <w:t>National Institute on Disability, Independent Living, and Rehabilitation Research (NIDILRR)</w:t>
      </w:r>
    </w:p>
    <w:p w14:paraId="7225086F" w14:textId="2D4ABCAB" w:rsidR="00B85439" w:rsidRPr="00DF6632" w:rsidRDefault="00B85439" w:rsidP="00682136">
      <w:pPr>
        <w:pStyle w:val="Heading1"/>
        <w:spacing w:after="480"/>
        <w:ind w:left="547"/>
        <w:jc w:val="center"/>
        <w:rPr>
          <w:b/>
          <w:bCs/>
          <w:sz w:val="64"/>
          <w:szCs w:val="64"/>
        </w:rPr>
      </w:pPr>
      <w:r w:rsidRPr="00B0387E">
        <w:rPr>
          <w:rStyle w:val="Bold"/>
          <w:bCs/>
        </w:rPr>
        <w:t>2019 Report to Congress</w:t>
      </w:r>
    </w:p>
    <w:p w14:paraId="11C176AC" w14:textId="77777777" w:rsidR="00B85439" w:rsidRPr="00913B3E" w:rsidRDefault="00B85439" w:rsidP="00B85439">
      <w:pPr>
        <w:spacing w:after="0" w:line="240" w:lineRule="auto"/>
        <w:jc w:val="right"/>
        <w:rPr>
          <w:b/>
          <w:sz w:val="32"/>
          <w:szCs w:val="32"/>
        </w:rPr>
      </w:pPr>
      <w:r w:rsidRPr="00913B3E">
        <w:rPr>
          <w:b/>
          <w:sz w:val="32"/>
          <w:szCs w:val="32"/>
        </w:rPr>
        <w:t>Prepared by</w:t>
      </w:r>
    </w:p>
    <w:p w14:paraId="36307803" w14:textId="18E24020" w:rsidR="00DF6632" w:rsidRPr="00DF6632" w:rsidRDefault="00B85439" w:rsidP="00682136">
      <w:pPr>
        <w:spacing w:after="360" w:line="240" w:lineRule="auto"/>
        <w:contextualSpacing/>
        <w:jc w:val="right"/>
        <w:rPr>
          <w:b/>
          <w:sz w:val="32"/>
          <w:szCs w:val="32"/>
        </w:rPr>
      </w:pPr>
      <w:r w:rsidRPr="00913B3E">
        <w:rPr>
          <w:b/>
          <w:sz w:val="32"/>
          <w:szCs w:val="32"/>
        </w:rPr>
        <w:t>ADMINISTRATION FOR COMMUNITY LIVING</w:t>
      </w:r>
    </w:p>
    <w:p w14:paraId="3466CED6" w14:textId="5432ED5D" w:rsidR="00D45CA2" w:rsidRDefault="00B85439" w:rsidP="00DF6632">
      <w:pPr>
        <w:pStyle w:val="Title"/>
        <w:ind w:left="540"/>
        <w:jc w:val="right"/>
      </w:pPr>
      <w:r w:rsidRPr="00913B3E">
        <w:rPr>
          <w:b/>
          <w:i/>
          <w:noProof/>
          <w:sz w:val="32"/>
          <w:szCs w:val="32"/>
        </w:rPr>
        <w:drawing>
          <wp:inline distT="0" distB="0" distL="0" distR="0" wp14:anchorId="1614FC84" wp14:editId="006B15DE">
            <wp:extent cx="1831340" cy="826135"/>
            <wp:effectExtent l="0" t="0" r="0" b="0"/>
            <wp:docPr id="21" name="Picture 21" descr="Administration for Community Living (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dministration for Community Living (AC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340" cy="826135"/>
                    </a:xfrm>
                    <a:prstGeom prst="rect">
                      <a:avLst/>
                    </a:prstGeom>
                    <a:noFill/>
                  </pic:spPr>
                </pic:pic>
              </a:graphicData>
            </a:graphic>
          </wp:inline>
        </w:drawing>
      </w:r>
      <w:r w:rsidR="00BE2B39" w:rsidRPr="00F320BB">
        <w:br w:type="page"/>
      </w:r>
    </w:p>
    <w:p w14:paraId="6719C76C" w14:textId="77777777" w:rsidR="00B5011F" w:rsidRDefault="00B5011F" w:rsidP="00B0387E">
      <w:pPr>
        <w:pStyle w:val="Heading2"/>
      </w:pPr>
      <w:r>
        <w:lastRenderedPageBreak/>
        <w:t>Table of Contents</w:t>
      </w:r>
    </w:p>
    <w:p w14:paraId="630478B6" w14:textId="106DCC7C" w:rsidR="00B5011F" w:rsidRDefault="00B5011F" w:rsidP="0048487A">
      <w:pPr>
        <w:pStyle w:val="TOC2"/>
        <w:rPr>
          <w:rFonts w:eastAsiaTheme="minorEastAsia"/>
          <w:noProof/>
          <w:szCs w:val="24"/>
        </w:rPr>
      </w:pPr>
      <w:r>
        <w:fldChar w:fldCharType="begin"/>
      </w:r>
      <w:r>
        <w:instrText xml:space="preserve"> TOC \o "2-3" \h \z </w:instrText>
      </w:r>
      <w:r>
        <w:fldChar w:fldCharType="separate"/>
      </w:r>
      <w:hyperlink w:anchor="_Toc48042043" w:history="1">
        <w:r w:rsidRPr="00FD7C2C">
          <w:rPr>
            <w:rStyle w:val="Hyperlink"/>
            <w:noProof/>
          </w:rPr>
          <w:t>Acronyms</w:t>
        </w:r>
        <w:r>
          <w:rPr>
            <w:noProof/>
            <w:webHidden/>
          </w:rPr>
          <w:tab/>
        </w:r>
        <w:r>
          <w:rPr>
            <w:noProof/>
            <w:webHidden/>
          </w:rPr>
          <w:fldChar w:fldCharType="begin"/>
        </w:r>
        <w:r>
          <w:rPr>
            <w:noProof/>
            <w:webHidden/>
          </w:rPr>
          <w:instrText xml:space="preserve"> PAGEREF _Toc48042043 \h </w:instrText>
        </w:r>
        <w:r>
          <w:rPr>
            <w:noProof/>
            <w:webHidden/>
          </w:rPr>
        </w:r>
        <w:r>
          <w:rPr>
            <w:noProof/>
            <w:webHidden/>
          </w:rPr>
          <w:fldChar w:fldCharType="separate"/>
        </w:r>
        <w:r w:rsidR="0070181A">
          <w:rPr>
            <w:noProof/>
            <w:webHidden/>
          </w:rPr>
          <w:t>3</w:t>
        </w:r>
        <w:r>
          <w:rPr>
            <w:noProof/>
            <w:webHidden/>
          </w:rPr>
          <w:fldChar w:fldCharType="end"/>
        </w:r>
      </w:hyperlink>
    </w:p>
    <w:p w14:paraId="3D97CF56" w14:textId="5DBBDB9F" w:rsidR="00B5011F" w:rsidRDefault="00D1293B" w:rsidP="0048487A">
      <w:pPr>
        <w:pStyle w:val="TOC2"/>
        <w:rPr>
          <w:rFonts w:eastAsiaTheme="minorEastAsia"/>
          <w:noProof/>
          <w:szCs w:val="24"/>
        </w:rPr>
      </w:pPr>
      <w:hyperlink w:anchor="_Toc48042044" w:history="1">
        <w:r w:rsidR="00B5011F" w:rsidRPr="00FD7C2C">
          <w:rPr>
            <w:rStyle w:val="Hyperlink"/>
            <w:noProof/>
          </w:rPr>
          <w:t>Executive Summary</w:t>
        </w:r>
        <w:r w:rsidR="00B5011F">
          <w:rPr>
            <w:noProof/>
            <w:webHidden/>
          </w:rPr>
          <w:tab/>
        </w:r>
        <w:r w:rsidR="00B5011F">
          <w:rPr>
            <w:noProof/>
            <w:webHidden/>
          </w:rPr>
          <w:fldChar w:fldCharType="begin"/>
        </w:r>
        <w:r w:rsidR="00B5011F">
          <w:rPr>
            <w:noProof/>
            <w:webHidden/>
          </w:rPr>
          <w:instrText xml:space="preserve"> PAGEREF _Toc48042044 \h </w:instrText>
        </w:r>
        <w:r w:rsidR="00B5011F">
          <w:rPr>
            <w:noProof/>
            <w:webHidden/>
          </w:rPr>
        </w:r>
        <w:r w:rsidR="00B5011F">
          <w:rPr>
            <w:noProof/>
            <w:webHidden/>
          </w:rPr>
          <w:fldChar w:fldCharType="separate"/>
        </w:r>
        <w:r w:rsidR="0070181A">
          <w:rPr>
            <w:noProof/>
            <w:webHidden/>
          </w:rPr>
          <w:t>4</w:t>
        </w:r>
        <w:r w:rsidR="00B5011F">
          <w:rPr>
            <w:noProof/>
            <w:webHidden/>
          </w:rPr>
          <w:fldChar w:fldCharType="end"/>
        </w:r>
      </w:hyperlink>
    </w:p>
    <w:p w14:paraId="03F9DB54" w14:textId="16B1B8DD" w:rsidR="00B5011F" w:rsidRDefault="00D1293B">
      <w:pPr>
        <w:pStyle w:val="TOC3"/>
        <w:rPr>
          <w:rFonts w:eastAsiaTheme="minorEastAsia"/>
          <w:noProof/>
          <w:szCs w:val="24"/>
        </w:rPr>
      </w:pPr>
      <w:hyperlink w:anchor="_Toc48042045" w:history="1">
        <w:r w:rsidR="00B5011F" w:rsidRPr="00FD7C2C">
          <w:rPr>
            <w:rStyle w:val="Hyperlink"/>
            <w:noProof/>
          </w:rPr>
          <w:t>Funding and Grants Management</w:t>
        </w:r>
        <w:r w:rsidR="00B5011F">
          <w:rPr>
            <w:noProof/>
            <w:webHidden/>
          </w:rPr>
          <w:tab/>
        </w:r>
        <w:r w:rsidR="00B5011F">
          <w:rPr>
            <w:noProof/>
            <w:webHidden/>
          </w:rPr>
          <w:fldChar w:fldCharType="begin"/>
        </w:r>
        <w:r w:rsidR="00B5011F">
          <w:rPr>
            <w:noProof/>
            <w:webHidden/>
          </w:rPr>
          <w:instrText xml:space="preserve"> PAGEREF _Toc48042045 \h </w:instrText>
        </w:r>
        <w:r w:rsidR="00B5011F">
          <w:rPr>
            <w:noProof/>
            <w:webHidden/>
          </w:rPr>
        </w:r>
        <w:r w:rsidR="00B5011F">
          <w:rPr>
            <w:noProof/>
            <w:webHidden/>
          </w:rPr>
          <w:fldChar w:fldCharType="separate"/>
        </w:r>
        <w:r w:rsidR="0070181A">
          <w:rPr>
            <w:noProof/>
            <w:webHidden/>
          </w:rPr>
          <w:t>4</w:t>
        </w:r>
        <w:r w:rsidR="00B5011F">
          <w:rPr>
            <w:noProof/>
            <w:webHidden/>
          </w:rPr>
          <w:fldChar w:fldCharType="end"/>
        </w:r>
      </w:hyperlink>
    </w:p>
    <w:p w14:paraId="235FEB20" w14:textId="163C2F42" w:rsidR="00B5011F" w:rsidRDefault="00D1293B">
      <w:pPr>
        <w:pStyle w:val="TOC3"/>
        <w:rPr>
          <w:rFonts w:eastAsiaTheme="minorEastAsia"/>
          <w:noProof/>
          <w:szCs w:val="24"/>
        </w:rPr>
      </w:pPr>
      <w:hyperlink w:anchor="_Toc48042046" w:history="1">
        <w:r w:rsidR="00B5011F" w:rsidRPr="00FD7C2C">
          <w:rPr>
            <w:rStyle w:val="Hyperlink"/>
            <w:noProof/>
          </w:rPr>
          <w:t>Productivity and Accomplishments</w:t>
        </w:r>
        <w:r w:rsidR="00B5011F">
          <w:rPr>
            <w:noProof/>
            <w:webHidden/>
          </w:rPr>
          <w:tab/>
        </w:r>
        <w:r w:rsidR="00B5011F">
          <w:rPr>
            <w:noProof/>
            <w:webHidden/>
          </w:rPr>
          <w:fldChar w:fldCharType="begin"/>
        </w:r>
        <w:r w:rsidR="00B5011F">
          <w:rPr>
            <w:noProof/>
            <w:webHidden/>
          </w:rPr>
          <w:instrText xml:space="preserve"> PAGEREF _Toc48042046 \h </w:instrText>
        </w:r>
        <w:r w:rsidR="00B5011F">
          <w:rPr>
            <w:noProof/>
            <w:webHidden/>
          </w:rPr>
        </w:r>
        <w:r w:rsidR="00B5011F">
          <w:rPr>
            <w:noProof/>
            <w:webHidden/>
          </w:rPr>
          <w:fldChar w:fldCharType="separate"/>
        </w:r>
        <w:r w:rsidR="0070181A">
          <w:rPr>
            <w:noProof/>
            <w:webHidden/>
          </w:rPr>
          <w:t>4</w:t>
        </w:r>
        <w:r w:rsidR="00B5011F">
          <w:rPr>
            <w:noProof/>
            <w:webHidden/>
          </w:rPr>
          <w:fldChar w:fldCharType="end"/>
        </w:r>
      </w:hyperlink>
    </w:p>
    <w:p w14:paraId="31CBFAA6" w14:textId="406384D1" w:rsidR="00B5011F" w:rsidRDefault="00D1293B">
      <w:pPr>
        <w:pStyle w:val="TOC3"/>
        <w:rPr>
          <w:rFonts w:eastAsiaTheme="minorEastAsia"/>
          <w:noProof/>
          <w:szCs w:val="24"/>
        </w:rPr>
      </w:pPr>
      <w:hyperlink w:anchor="_Toc48042047" w:history="1">
        <w:r w:rsidR="00B5011F" w:rsidRPr="00FD7C2C">
          <w:rPr>
            <w:rStyle w:val="Hyperlink"/>
            <w:noProof/>
          </w:rPr>
          <w:t>Research Capacity Building</w:t>
        </w:r>
        <w:r w:rsidR="00B5011F">
          <w:rPr>
            <w:noProof/>
            <w:webHidden/>
          </w:rPr>
          <w:tab/>
        </w:r>
        <w:r w:rsidR="00B5011F">
          <w:rPr>
            <w:noProof/>
            <w:webHidden/>
          </w:rPr>
          <w:fldChar w:fldCharType="begin"/>
        </w:r>
        <w:r w:rsidR="00B5011F">
          <w:rPr>
            <w:noProof/>
            <w:webHidden/>
          </w:rPr>
          <w:instrText xml:space="preserve"> PAGEREF _Toc48042047 \h </w:instrText>
        </w:r>
        <w:r w:rsidR="00B5011F">
          <w:rPr>
            <w:noProof/>
            <w:webHidden/>
          </w:rPr>
        </w:r>
        <w:r w:rsidR="00B5011F">
          <w:rPr>
            <w:noProof/>
            <w:webHidden/>
          </w:rPr>
          <w:fldChar w:fldCharType="separate"/>
        </w:r>
        <w:r w:rsidR="0070181A">
          <w:rPr>
            <w:noProof/>
            <w:webHidden/>
          </w:rPr>
          <w:t>5</w:t>
        </w:r>
        <w:r w:rsidR="00B5011F">
          <w:rPr>
            <w:noProof/>
            <w:webHidden/>
          </w:rPr>
          <w:fldChar w:fldCharType="end"/>
        </w:r>
      </w:hyperlink>
    </w:p>
    <w:p w14:paraId="795B8BD7" w14:textId="0803D859" w:rsidR="00B5011F" w:rsidRDefault="00D1293B">
      <w:pPr>
        <w:pStyle w:val="TOC3"/>
        <w:rPr>
          <w:rFonts w:eastAsiaTheme="minorEastAsia"/>
          <w:noProof/>
          <w:szCs w:val="24"/>
        </w:rPr>
      </w:pPr>
      <w:hyperlink w:anchor="_Toc48042048" w:history="1">
        <w:r w:rsidR="00B5011F" w:rsidRPr="00FD7C2C">
          <w:rPr>
            <w:rStyle w:val="Hyperlink"/>
            <w:noProof/>
          </w:rPr>
          <w:t>Training and Technical Assistance on the Americans with Disabilities Act (ADA)</w:t>
        </w:r>
        <w:r w:rsidR="00B5011F">
          <w:rPr>
            <w:noProof/>
            <w:webHidden/>
          </w:rPr>
          <w:tab/>
        </w:r>
        <w:r w:rsidR="00B5011F">
          <w:rPr>
            <w:noProof/>
            <w:webHidden/>
          </w:rPr>
          <w:fldChar w:fldCharType="begin"/>
        </w:r>
        <w:r w:rsidR="00B5011F">
          <w:rPr>
            <w:noProof/>
            <w:webHidden/>
          </w:rPr>
          <w:instrText xml:space="preserve"> PAGEREF _Toc48042048 \h </w:instrText>
        </w:r>
        <w:r w:rsidR="00B5011F">
          <w:rPr>
            <w:noProof/>
            <w:webHidden/>
          </w:rPr>
        </w:r>
        <w:r w:rsidR="00B5011F">
          <w:rPr>
            <w:noProof/>
            <w:webHidden/>
          </w:rPr>
          <w:fldChar w:fldCharType="separate"/>
        </w:r>
        <w:r w:rsidR="0070181A">
          <w:rPr>
            <w:noProof/>
            <w:webHidden/>
          </w:rPr>
          <w:t>6</w:t>
        </w:r>
        <w:r w:rsidR="00B5011F">
          <w:rPr>
            <w:noProof/>
            <w:webHidden/>
          </w:rPr>
          <w:fldChar w:fldCharType="end"/>
        </w:r>
      </w:hyperlink>
    </w:p>
    <w:p w14:paraId="4810B9A1" w14:textId="1C11A140" w:rsidR="00B5011F" w:rsidRDefault="00D1293B">
      <w:pPr>
        <w:pStyle w:val="TOC3"/>
        <w:rPr>
          <w:rFonts w:eastAsiaTheme="minorEastAsia"/>
          <w:noProof/>
          <w:szCs w:val="24"/>
        </w:rPr>
      </w:pPr>
      <w:hyperlink w:anchor="_Toc48042049" w:history="1">
        <w:r w:rsidR="00B5011F" w:rsidRPr="00FD7C2C">
          <w:rPr>
            <w:rStyle w:val="Hyperlink"/>
            <w:noProof/>
          </w:rPr>
          <w:t>Knowledge Translation</w:t>
        </w:r>
        <w:r w:rsidR="00B5011F">
          <w:rPr>
            <w:noProof/>
            <w:webHidden/>
          </w:rPr>
          <w:tab/>
        </w:r>
        <w:r w:rsidR="00B5011F">
          <w:rPr>
            <w:noProof/>
            <w:webHidden/>
          </w:rPr>
          <w:fldChar w:fldCharType="begin"/>
        </w:r>
        <w:r w:rsidR="00B5011F">
          <w:rPr>
            <w:noProof/>
            <w:webHidden/>
          </w:rPr>
          <w:instrText xml:space="preserve"> PAGEREF _Toc48042049 \h </w:instrText>
        </w:r>
        <w:r w:rsidR="00B5011F">
          <w:rPr>
            <w:noProof/>
            <w:webHidden/>
          </w:rPr>
        </w:r>
        <w:r w:rsidR="00B5011F">
          <w:rPr>
            <w:noProof/>
            <w:webHidden/>
          </w:rPr>
          <w:fldChar w:fldCharType="separate"/>
        </w:r>
        <w:r w:rsidR="0070181A">
          <w:rPr>
            <w:noProof/>
            <w:webHidden/>
          </w:rPr>
          <w:t>6</w:t>
        </w:r>
        <w:r w:rsidR="00B5011F">
          <w:rPr>
            <w:noProof/>
            <w:webHidden/>
          </w:rPr>
          <w:fldChar w:fldCharType="end"/>
        </w:r>
      </w:hyperlink>
    </w:p>
    <w:p w14:paraId="44AE3F83" w14:textId="18E23E10" w:rsidR="00B5011F" w:rsidRDefault="00D1293B">
      <w:pPr>
        <w:pStyle w:val="TOC3"/>
        <w:rPr>
          <w:rFonts w:eastAsiaTheme="minorEastAsia"/>
          <w:noProof/>
          <w:szCs w:val="24"/>
        </w:rPr>
      </w:pPr>
      <w:hyperlink w:anchor="_Toc48042050" w:history="1">
        <w:r w:rsidR="00B5011F" w:rsidRPr="00FD7C2C">
          <w:rPr>
            <w:rStyle w:val="Hyperlink"/>
            <w:noProof/>
          </w:rPr>
          <w:t>Ongoing Activities</w:t>
        </w:r>
        <w:r w:rsidR="00B5011F">
          <w:rPr>
            <w:noProof/>
            <w:webHidden/>
          </w:rPr>
          <w:tab/>
        </w:r>
        <w:r w:rsidR="00B5011F">
          <w:rPr>
            <w:noProof/>
            <w:webHidden/>
          </w:rPr>
          <w:fldChar w:fldCharType="begin"/>
        </w:r>
        <w:r w:rsidR="00B5011F">
          <w:rPr>
            <w:noProof/>
            <w:webHidden/>
          </w:rPr>
          <w:instrText xml:space="preserve"> PAGEREF _Toc48042050 \h </w:instrText>
        </w:r>
        <w:r w:rsidR="00B5011F">
          <w:rPr>
            <w:noProof/>
            <w:webHidden/>
          </w:rPr>
        </w:r>
        <w:r w:rsidR="00B5011F">
          <w:rPr>
            <w:noProof/>
            <w:webHidden/>
          </w:rPr>
          <w:fldChar w:fldCharType="separate"/>
        </w:r>
        <w:r w:rsidR="0070181A">
          <w:rPr>
            <w:noProof/>
            <w:webHidden/>
          </w:rPr>
          <w:t>6</w:t>
        </w:r>
        <w:r w:rsidR="00B5011F">
          <w:rPr>
            <w:noProof/>
            <w:webHidden/>
          </w:rPr>
          <w:fldChar w:fldCharType="end"/>
        </w:r>
      </w:hyperlink>
    </w:p>
    <w:p w14:paraId="6BC75F40" w14:textId="26C2C83F" w:rsidR="00B5011F" w:rsidRDefault="00D1293B" w:rsidP="0048487A">
      <w:pPr>
        <w:pStyle w:val="TOC2"/>
        <w:rPr>
          <w:rFonts w:eastAsiaTheme="minorEastAsia"/>
          <w:noProof/>
          <w:szCs w:val="24"/>
        </w:rPr>
      </w:pPr>
      <w:hyperlink w:anchor="_Toc48042051" w:history="1">
        <w:r w:rsidR="00B5011F" w:rsidRPr="00FD7C2C">
          <w:rPr>
            <w:rStyle w:val="Hyperlink"/>
            <w:noProof/>
          </w:rPr>
          <w:t>Introduction</w:t>
        </w:r>
        <w:r w:rsidR="00B5011F">
          <w:rPr>
            <w:noProof/>
            <w:webHidden/>
          </w:rPr>
          <w:tab/>
        </w:r>
        <w:r w:rsidR="00B5011F">
          <w:rPr>
            <w:noProof/>
            <w:webHidden/>
          </w:rPr>
          <w:fldChar w:fldCharType="begin"/>
        </w:r>
        <w:r w:rsidR="00B5011F">
          <w:rPr>
            <w:noProof/>
            <w:webHidden/>
          </w:rPr>
          <w:instrText xml:space="preserve"> PAGEREF _Toc48042051 \h </w:instrText>
        </w:r>
        <w:r w:rsidR="00B5011F">
          <w:rPr>
            <w:noProof/>
            <w:webHidden/>
          </w:rPr>
        </w:r>
        <w:r w:rsidR="00B5011F">
          <w:rPr>
            <w:noProof/>
            <w:webHidden/>
          </w:rPr>
          <w:fldChar w:fldCharType="separate"/>
        </w:r>
        <w:r w:rsidR="0070181A">
          <w:rPr>
            <w:noProof/>
            <w:webHidden/>
          </w:rPr>
          <w:t>7</w:t>
        </w:r>
        <w:r w:rsidR="00B5011F">
          <w:rPr>
            <w:noProof/>
            <w:webHidden/>
          </w:rPr>
          <w:fldChar w:fldCharType="end"/>
        </w:r>
      </w:hyperlink>
    </w:p>
    <w:p w14:paraId="5A9E1235" w14:textId="325C6334" w:rsidR="00B5011F" w:rsidRDefault="00D1293B" w:rsidP="0048487A">
      <w:pPr>
        <w:pStyle w:val="TOC2"/>
        <w:rPr>
          <w:rFonts w:eastAsiaTheme="minorEastAsia"/>
          <w:noProof/>
          <w:szCs w:val="24"/>
        </w:rPr>
      </w:pPr>
      <w:hyperlink w:anchor="_Toc48042052" w:history="1">
        <w:r w:rsidR="00B5011F" w:rsidRPr="00FD7C2C">
          <w:rPr>
            <w:rStyle w:val="Hyperlink"/>
            <w:noProof/>
          </w:rPr>
          <w:t>Grant Competitions – Year in Review</w:t>
        </w:r>
        <w:r w:rsidR="00B5011F">
          <w:rPr>
            <w:noProof/>
            <w:webHidden/>
          </w:rPr>
          <w:tab/>
        </w:r>
        <w:r w:rsidR="00B5011F">
          <w:rPr>
            <w:noProof/>
            <w:webHidden/>
          </w:rPr>
          <w:fldChar w:fldCharType="begin"/>
        </w:r>
        <w:r w:rsidR="00B5011F">
          <w:rPr>
            <w:noProof/>
            <w:webHidden/>
          </w:rPr>
          <w:instrText xml:space="preserve"> PAGEREF _Toc48042052 \h </w:instrText>
        </w:r>
        <w:r w:rsidR="00B5011F">
          <w:rPr>
            <w:noProof/>
            <w:webHidden/>
          </w:rPr>
        </w:r>
        <w:r w:rsidR="00B5011F">
          <w:rPr>
            <w:noProof/>
            <w:webHidden/>
          </w:rPr>
          <w:fldChar w:fldCharType="separate"/>
        </w:r>
        <w:r w:rsidR="0070181A">
          <w:rPr>
            <w:noProof/>
            <w:webHidden/>
          </w:rPr>
          <w:t>9</w:t>
        </w:r>
        <w:r w:rsidR="00B5011F">
          <w:rPr>
            <w:noProof/>
            <w:webHidden/>
          </w:rPr>
          <w:fldChar w:fldCharType="end"/>
        </w:r>
      </w:hyperlink>
    </w:p>
    <w:p w14:paraId="7D2D741C" w14:textId="1FAC7A95" w:rsidR="00B5011F" w:rsidRDefault="00D1293B">
      <w:pPr>
        <w:pStyle w:val="TOC3"/>
        <w:rPr>
          <w:rFonts w:eastAsiaTheme="minorEastAsia"/>
          <w:noProof/>
          <w:szCs w:val="24"/>
        </w:rPr>
      </w:pPr>
      <w:hyperlink w:anchor="_Toc48042053" w:history="1">
        <w:r w:rsidR="00B5011F" w:rsidRPr="00FD7C2C">
          <w:rPr>
            <w:rStyle w:val="Hyperlink"/>
            <w:noProof/>
          </w:rPr>
          <w:t>Grant Competition and Peer Review Process</w:t>
        </w:r>
        <w:r w:rsidR="00B5011F">
          <w:rPr>
            <w:noProof/>
            <w:webHidden/>
          </w:rPr>
          <w:tab/>
        </w:r>
        <w:r w:rsidR="00B5011F">
          <w:rPr>
            <w:noProof/>
            <w:webHidden/>
          </w:rPr>
          <w:fldChar w:fldCharType="begin"/>
        </w:r>
        <w:r w:rsidR="00B5011F">
          <w:rPr>
            <w:noProof/>
            <w:webHidden/>
          </w:rPr>
          <w:instrText xml:space="preserve"> PAGEREF _Toc48042053 \h </w:instrText>
        </w:r>
        <w:r w:rsidR="00B5011F">
          <w:rPr>
            <w:noProof/>
            <w:webHidden/>
          </w:rPr>
        </w:r>
        <w:r w:rsidR="00B5011F">
          <w:rPr>
            <w:noProof/>
            <w:webHidden/>
          </w:rPr>
          <w:fldChar w:fldCharType="separate"/>
        </w:r>
        <w:r w:rsidR="0070181A">
          <w:rPr>
            <w:noProof/>
            <w:webHidden/>
          </w:rPr>
          <w:t>9</w:t>
        </w:r>
        <w:r w:rsidR="00B5011F">
          <w:rPr>
            <w:noProof/>
            <w:webHidden/>
          </w:rPr>
          <w:fldChar w:fldCharType="end"/>
        </w:r>
      </w:hyperlink>
    </w:p>
    <w:p w14:paraId="53CC55D9" w14:textId="6462811C" w:rsidR="00B5011F" w:rsidRDefault="00D1293B">
      <w:pPr>
        <w:pStyle w:val="TOC3"/>
        <w:rPr>
          <w:rFonts w:eastAsiaTheme="minorEastAsia"/>
          <w:noProof/>
          <w:szCs w:val="24"/>
        </w:rPr>
      </w:pPr>
      <w:hyperlink w:anchor="_Toc48042054" w:history="1">
        <w:r w:rsidR="00B5011F" w:rsidRPr="00FD7C2C">
          <w:rPr>
            <w:rStyle w:val="Hyperlink"/>
            <w:noProof/>
          </w:rPr>
          <w:t>Grant Competitions</w:t>
        </w:r>
        <w:r w:rsidR="00B5011F">
          <w:rPr>
            <w:noProof/>
            <w:webHidden/>
          </w:rPr>
          <w:tab/>
        </w:r>
        <w:r w:rsidR="00B5011F">
          <w:rPr>
            <w:noProof/>
            <w:webHidden/>
          </w:rPr>
          <w:fldChar w:fldCharType="begin"/>
        </w:r>
        <w:r w:rsidR="00B5011F">
          <w:rPr>
            <w:noProof/>
            <w:webHidden/>
          </w:rPr>
          <w:instrText xml:space="preserve"> PAGEREF _Toc48042054 \h </w:instrText>
        </w:r>
        <w:r w:rsidR="00B5011F">
          <w:rPr>
            <w:noProof/>
            <w:webHidden/>
          </w:rPr>
        </w:r>
        <w:r w:rsidR="00B5011F">
          <w:rPr>
            <w:noProof/>
            <w:webHidden/>
          </w:rPr>
          <w:fldChar w:fldCharType="separate"/>
        </w:r>
        <w:r w:rsidR="0070181A">
          <w:rPr>
            <w:noProof/>
            <w:webHidden/>
          </w:rPr>
          <w:t>9</w:t>
        </w:r>
        <w:r w:rsidR="00B5011F">
          <w:rPr>
            <w:noProof/>
            <w:webHidden/>
          </w:rPr>
          <w:fldChar w:fldCharType="end"/>
        </w:r>
      </w:hyperlink>
    </w:p>
    <w:p w14:paraId="61065373" w14:textId="4227C36D" w:rsidR="00B5011F" w:rsidRDefault="00D1293B">
      <w:pPr>
        <w:pStyle w:val="TOC3"/>
        <w:rPr>
          <w:rFonts w:eastAsiaTheme="minorEastAsia"/>
          <w:noProof/>
          <w:szCs w:val="24"/>
        </w:rPr>
      </w:pPr>
      <w:hyperlink w:anchor="_Toc48042055" w:history="1">
        <w:r w:rsidR="00B5011F" w:rsidRPr="00FD7C2C">
          <w:rPr>
            <w:rStyle w:val="Hyperlink"/>
            <w:noProof/>
          </w:rPr>
          <w:t>Monitoring and Oversight</w:t>
        </w:r>
        <w:r w:rsidR="00B5011F">
          <w:rPr>
            <w:noProof/>
            <w:webHidden/>
          </w:rPr>
          <w:tab/>
        </w:r>
        <w:r w:rsidR="00B5011F">
          <w:rPr>
            <w:noProof/>
            <w:webHidden/>
          </w:rPr>
          <w:fldChar w:fldCharType="begin"/>
        </w:r>
        <w:r w:rsidR="00B5011F">
          <w:rPr>
            <w:noProof/>
            <w:webHidden/>
          </w:rPr>
          <w:instrText xml:space="preserve"> PAGEREF _Toc48042055 \h </w:instrText>
        </w:r>
        <w:r w:rsidR="00B5011F">
          <w:rPr>
            <w:noProof/>
            <w:webHidden/>
          </w:rPr>
        </w:r>
        <w:r w:rsidR="00B5011F">
          <w:rPr>
            <w:noProof/>
            <w:webHidden/>
          </w:rPr>
          <w:fldChar w:fldCharType="separate"/>
        </w:r>
        <w:r w:rsidR="0070181A">
          <w:rPr>
            <w:noProof/>
            <w:webHidden/>
          </w:rPr>
          <w:t>10</w:t>
        </w:r>
        <w:r w:rsidR="00B5011F">
          <w:rPr>
            <w:noProof/>
            <w:webHidden/>
          </w:rPr>
          <w:fldChar w:fldCharType="end"/>
        </w:r>
      </w:hyperlink>
    </w:p>
    <w:p w14:paraId="4ABC5904" w14:textId="114B7A99" w:rsidR="00B5011F" w:rsidRDefault="00D1293B">
      <w:pPr>
        <w:pStyle w:val="TOC3"/>
        <w:rPr>
          <w:rFonts w:eastAsiaTheme="minorEastAsia"/>
          <w:noProof/>
          <w:szCs w:val="24"/>
        </w:rPr>
      </w:pPr>
      <w:hyperlink w:anchor="_Toc48042056" w:history="1">
        <w:r w:rsidR="00B5011F" w:rsidRPr="00FD7C2C">
          <w:rPr>
            <w:rStyle w:val="Hyperlink"/>
            <w:noProof/>
          </w:rPr>
          <w:t>Funding</w:t>
        </w:r>
        <w:r w:rsidR="00B5011F" w:rsidRPr="00FD7C2C">
          <w:rPr>
            <w:rStyle w:val="Hyperlink"/>
            <w:rFonts w:eastAsia="Times New Roman"/>
            <w:noProof/>
          </w:rPr>
          <w:t xml:space="preserve"> Overview</w:t>
        </w:r>
        <w:r w:rsidR="00B5011F">
          <w:rPr>
            <w:noProof/>
            <w:webHidden/>
          </w:rPr>
          <w:tab/>
        </w:r>
        <w:r w:rsidR="00B5011F">
          <w:rPr>
            <w:noProof/>
            <w:webHidden/>
          </w:rPr>
          <w:fldChar w:fldCharType="begin"/>
        </w:r>
        <w:r w:rsidR="00B5011F">
          <w:rPr>
            <w:noProof/>
            <w:webHidden/>
          </w:rPr>
          <w:instrText xml:space="preserve"> PAGEREF _Toc48042056 \h </w:instrText>
        </w:r>
        <w:r w:rsidR="00B5011F">
          <w:rPr>
            <w:noProof/>
            <w:webHidden/>
          </w:rPr>
        </w:r>
        <w:r w:rsidR="00B5011F">
          <w:rPr>
            <w:noProof/>
            <w:webHidden/>
          </w:rPr>
          <w:fldChar w:fldCharType="separate"/>
        </w:r>
        <w:r w:rsidR="0070181A">
          <w:rPr>
            <w:noProof/>
            <w:webHidden/>
          </w:rPr>
          <w:t>11</w:t>
        </w:r>
        <w:r w:rsidR="00B5011F">
          <w:rPr>
            <w:noProof/>
            <w:webHidden/>
          </w:rPr>
          <w:fldChar w:fldCharType="end"/>
        </w:r>
      </w:hyperlink>
    </w:p>
    <w:p w14:paraId="36AFBA0F" w14:textId="1501AF33" w:rsidR="00B5011F" w:rsidRDefault="00D1293B">
      <w:pPr>
        <w:pStyle w:val="TOC3"/>
        <w:rPr>
          <w:rFonts w:eastAsiaTheme="minorEastAsia"/>
          <w:noProof/>
          <w:szCs w:val="24"/>
        </w:rPr>
      </w:pPr>
      <w:hyperlink w:anchor="_Toc48042057" w:history="1">
        <w:r w:rsidR="00B5011F" w:rsidRPr="00FD7C2C">
          <w:rPr>
            <w:rStyle w:val="Hyperlink"/>
            <w:noProof/>
          </w:rPr>
          <w:t>Grantee Activities and Progress</w:t>
        </w:r>
        <w:r w:rsidR="00B5011F">
          <w:rPr>
            <w:noProof/>
            <w:webHidden/>
          </w:rPr>
          <w:tab/>
        </w:r>
        <w:r w:rsidR="00B5011F">
          <w:rPr>
            <w:noProof/>
            <w:webHidden/>
          </w:rPr>
          <w:fldChar w:fldCharType="begin"/>
        </w:r>
        <w:r w:rsidR="00B5011F">
          <w:rPr>
            <w:noProof/>
            <w:webHidden/>
          </w:rPr>
          <w:instrText xml:space="preserve"> PAGEREF _Toc48042057 \h </w:instrText>
        </w:r>
        <w:r w:rsidR="00B5011F">
          <w:rPr>
            <w:noProof/>
            <w:webHidden/>
          </w:rPr>
        </w:r>
        <w:r w:rsidR="00B5011F">
          <w:rPr>
            <w:noProof/>
            <w:webHidden/>
          </w:rPr>
          <w:fldChar w:fldCharType="separate"/>
        </w:r>
        <w:r w:rsidR="0070181A">
          <w:rPr>
            <w:noProof/>
            <w:webHidden/>
          </w:rPr>
          <w:t>13</w:t>
        </w:r>
        <w:r w:rsidR="00B5011F">
          <w:rPr>
            <w:noProof/>
            <w:webHidden/>
          </w:rPr>
          <w:fldChar w:fldCharType="end"/>
        </w:r>
      </w:hyperlink>
    </w:p>
    <w:p w14:paraId="0E818F7E" w14:textId="3A73AD60" w:rsidR="00B5011F" w:rsidRDefault="00D1293B">
      <w:pPr>
        <w:pStyle w:val="TOC3"/>
        <w:rPr>
          <w:rFonts w:eastAsiaTheme="minorEastAsia"/>
          <w:noProof/>
          <w:szCs w:val="24"/>
        </w:rPr>
      </w:pPr>
      <w:hyperlink w:anchor="_Toc48042058" w:history="1">
        <w:r w:rsidR="00B5011F" w:rsidRPr="00FD7C2C">
          <w:rPr>
            <w:rStyle w:val="Hyperlink"/>
            <w:noProof/>
          </w:rPr>
          <w:t>Sampling of Key Accomplishments by Funded Researchers</w:t>
        </w:r>
        <w:r w:rsidR="00B5011F">
          <w:rPr>
            <w:noProof/>
            <w:webHidden/>
          </w:rPr>
          <w:tab/>
        </w:r>
        <w:r w:rsidR="00B5011F">
          <w:rPr>
            <w:noProof/>
            <w:webHidden/>
          </w:rPr>
          <w:fldChar w:fldCharType="begin"/>
        </w:r>
        <w:r w:rsidR="00B5011F">
          <w:rPr>
            <w:noProof/>
            <w:webHidden/>
          </w:rPr>
          <w:instrText xml:space="preserve"> PAGEREF _Toc48042058 \h </w:instrText>
        </w:r>
        <w:r w:rsidR="00B5011F">
          <w:rPr>
            <w:noProof/>
            <w:webHidden/>
          </w:rPr>
        </w:r>
        <w:r w:rsidR="00B5011F">
          <w:rPr>
            <w:noProof/>
            <w:webHidden/>
          </w:rPr>
          <w:fldChar w:fldCharType="separate"/>
        </w:r>
        <w:r w:rsidR="0070181A">
          <w:rPr>
            <w:noProof/>
            <w:webHidden/>
          </w:rPr>
          <w:t>14</w:t>
        </w:r>
        <w:r w:rsidR="00B5011F">
          <w:rPr>
            <w:noProof/>
            <w:webHidden/>
          </w:rPr>
          <w:fldChar w:fldCharType="end"/>
        </w:r>
      </w:hyperlink>
    </w:p>
    <w:p w14:paraId="4AED28D2" w14:textId="02CF133F" w:rsidR="00B5011F" w:rsidRDefault="00B5011F">
      <w:pPr>
        <w:pStyle w:val="TOC3"/>
        <w:rPr>
          <w:rFonts w:eastAsiaTheme="minorEastAsia"/>
          <w:noProof/>
          <w:szCs w:val="24"/>
        </w:rPr>
      </w:pPr>
    </w:p>
    <w:p w14:paraId="0743CE38" w14:textId="77777777" w:rsidR="00B5011F" w:rsidRDefault="00B5011F" w:rsidP="00B5011F">
      <w:r>
        <w:fldChar w:fldCharType="end"/>
      </w:r>
      <w:r>
        <w:br w:type="page"/>
      </w:r>
    </w:p>
    <w:p w14:paraId="4F4AEA39" w14:textId="1B46F8B0" w:rsidR="00D45CA2" w:rsidRDefault="009A7684" w:rsidP="00B0387E">
      <w:pPr>
        <w:pStyle w:val="Heading2"/>
      </w:pPr>
      <w:bookmarkStart w:id="0" w:name="_Toc480972956"/>
      <w:bookmarkStart w:id="1" w:name="_Toc48042043"/>
      <w:r w:rsidRPr="001F6BE6">
        <w:lastRenderedPageBreak/>
        <w:t>A</w:t>
      </w:r>
      <w:r w:rsidR="00841078">
        <w:t>bbreviations</w:t>
      </w:r>
      <w:bookmarkEnd w:id="0"/>
      <w:bookmarkEnd w:id="1"/>
    </w:p>
    <w:p w14:paraId="0808692C" w14:textId="77777777" w:rsidR="00D45CA2" w:rsidRDefault="00315010" w:rsidP="00796491">
      <w:pPr>
        <w:pStyle w:val="NoSpacing"/>
        <w:ind w:left="2880" w:hanging="2160"/>
      </w:pPr>
      <w:r w:rsidRPr="002903C5">
        <w:rPr>
          <w:rStyle w:val="Bold"/>
        </w:rPr>
        <w:t>AAC</w:t>
      </w:r>
      <w:r w:rsidRPr="002903C5">
        <w:rPr>
          <w:rStyle w:val="Bold"/>
        </w:rPr>
        <w:tab/>
      </w:r>
      <w:r w:rsidRPr="002903C5">
        <w:t>Augmentative and Alternative Communication</w:t>
      </w:r>
    </w:p>
    <w:p w14:paraId="45B77601" w14:textId="77777777" w:rsidR="00D45CA2" w:rsidRDefault="00315010" w:rsidP="00796491">
      <w:pPr>
        <w:pStyle w:val="NoSpacing"/>
        <w:ind w:left="2880" w:hanging="2160"/>
      </w:pPr>
      <w:r w:rsidRPr="002903C5">
        <w:rPr>
          <w:rStyle w:val="Bold"/>
        </w:rPr>
        <w:t>AAC-RERC</w:t>
      </w:r>
      <w:r w:rsidRPr="002903C5">
        <w:rPr>
          <w:rStyle w:val="Bold"/>
        </w:rPr>
        <w:tab/>
      </w:r>
      <w:r w:rsidRPr="002903C5">
        <w:t>Augmentative and Alternative Communication Rehabilitation Engineering Research Center</w:t>
      </w:r>
    </w:p>
    <w:p w14:paraId="2A36E6F8" w14:textId="77777777" w:rsidR="00D45CA2" w:rsidRDefault="00315010" w:rsidP="00796491">
      <w:pPr>
        <w:pStyle w:val="NoSpacing"/>
        <w:ind w:left="2880" w:hanging="2160"/>
      </w:pPr>
      <w:r w:rsidRPr="002903C5">
        <w:rPr>
          <w:rStyle w:val="Bold"/>
        </w:rPr>
        <w:t>ABI</w:t>
      </w:r>
      <w:r w:rsidRPr="002903C5">
        <w:rPr>
          <w:rStyle w:val="Bold"/>
        </w:rPr>
        <w:tab/>
      </w:r>
      <w:r w:rsidRPr="002903C5">
        <w:t>Acquired Brain Injury</w:t>
      </w:r>
    </w:p>
    <w:p w14:paraId="1747936F" w14:textId="77777777" w:rsidR="00D45CA2" w:rsidRDefault="00315010" w:rsidP="00796491">
      <w:pPr>
        <w:pStyle w:val="NoSpacing"/>
        <w:ind w:left="2880" w:hanging="2160"/>
      </w:pPr>
      <w:r w:rsidRPr="002903C5">
        <w:rPr>
          <w:rStyle w:val="Bold"/>
        </w:rPr>
        <w:t>ACL</w:t>
      </w:r>
      <w:r w:rsidRPr="002903C5">
        <w:rPr>
          <w:rStyle w:val="Bold"/>
        </w:rPr>
        <w:tab/>
      </w:r>
      <w:r w:rsidRPr="002903C5">
        <w:t xml:space="preserve">Administration for Community Living </w:t>
      </w:r>
    </w:p>
    <w:p w14:paraId="2FEFCCE9" w14:textId="77777777" w:rsidR="00D45CA2" w:rsidRDefault="00315010" w:rsidP="00796491">
      <w:pPr>
        <w:pStyle w:val="NoSpacing"/>
        <w:ind w:left="2880" w:hanging="2160"/>
      </w:pPr>
      <w:r w:rsidRPr="002903C5">
        <w:rPr>
          <w:rStyle w:val="Bold"/>
        </w:rPr>
        <w:t>ADA</w:t>
      </w:r>
      <w:r w:rsidRPr="002903C5">
        <w:rPr>
          <w:rStyle w:val="Bold"/>
        </w:rPr>
        <w:tab/>
      </w:r>
      <w:r w:rsidRPr="002903C5">
        <w:t xml:space="preserve">Americans with Disabilities Act </w:t>
      </w:r>
    </w:p>
    <w:p w14:paraId="1D94DA58" w14:textId="77777777" w:rsidR="00D45CA2" w:rsidRDefault="00315010" w:rsidP="00796491">
      <w:pPr>
        <w:pStyle w:val="NoSpacing"/>
        <w:ind w:left="2880" w:hanging="2160"/>
      </w:pPr>
      <w:r w:rsidRPr="002903C5">
        <w:rPr>
          <w:rStyle w:val="Bold"/>
        </w:rPr>
        <w:t>APR</w:t>
      </w:r>
      <w:r w:rsidRPr="002903C5">
        <w:rPr>
          <w:rStyle w:val="Bold"/>
        </w:rPr>
        <w:tab/>
      </w:r>
      <w:r w:rsidRPr="002903C5">
        <w:t>Annual Performance Reporting System</w:t>
      </w:r>
    </w:p>
    <w:p w14:paraId="72891152" w14:textId="77777777" w:rsidR="00D45CA2" w:rsidRDefault="00315010" w:rsidP="00796491">
      <w:pPr>
        <w:pStyle w:val="NoSpacing"/>
        <w:ind w:left="2880" w:hanging="2160"/>
      </w:pPr>
      <w:r w:rsidRPr="002903C5">
        <w:rPr>
          <w:rStyle w:val="Bold"/>
        </w:rPr>
        <w:t>ARRT</w:t>
      </w:r>
      <w:r w:rsidRPr="002903C5">
        <w:rPr>
          <w:rStyle w:val="Bold"/>
        </w:rPr>
        <w:tab/>
      </w:r>
      <w:r w:rsidRPr="002903C5">
        <w:t xml:space="preserve">Advanced Rehabilitation Research Training Project </w:t>
      </w:r>
    </w:p>
    <w:p w14:paraId="0F6A6F34" w14:textId="77777777" w:rsidR="00D45CA2" w:rsidRDefault="00315010" w:rsidP="00796491">
      <w:pPr>
        <w:pStyle w:val="NoSpacing"/>
        <w:ind w:left="2880" w:hanging="2160"/>
      </w:pPr>
      <w:r w:rsidRPr="002903C5">
        <w:rPr>
          <w:rStyle w:val="Bold"/>
        </w:rPr>
        <w:t>ASTM</w:t>
      </w:r>
      <w:r w:rsidRPr="002903C5">
        <w:rPr>
          <w:rStyle w:val="Bold"/>
        </w:rPr>
        <w:tab/>
      </w:r>
      <w:r w:rsidRPr="002903C5">
        <w:t>American Society for Testing and Materials</w:t>
      </w:r>
    </w:p>
    <w:p w14:paraId="0138CD79" w14:textId="77777777" w:rsidR="00D45CA2" w:rsidRDefault="00315010" w:rsidP="00796491">
      <w:pPr>
        <w:pStyle w:val="NoSpacing"/>
        <w:ind w:left="2880" w:hanging="2160"/>
      </w:pPr>
      <w:r w:rsidRPr="002903C5">
        <w:rPr>
          <w:rStyle w:val="Bold"/>
        </w:rPr>
        <w:t>CL&amp;P</w:t>
      </w:r>
      <w:r w:rsidRPr="002903C5">
        <w:rPr>
          <w:rStyle w:val="Bold"/>
        </w:rPr>
        <w:tab/>
      </w:r>
      <w:r w:rsidRPr="002903C5">
        <w:t>Community Living &amp; Participation</w:t>
      </w:r>
    </w:p>
    <w:p w14:paraId="7B2F5B8B" w14:textId="77777777" w:rsidR="00D45CA2" w:rsidRDefault="00315010" w:rsidP="00796491">
      <w:pPr>
        <w:pStyle w:val="NoSpacing"/>
        <w:ind w:left="2880" w:hanging="2160"/>
      </w:pPr>
      <w:r w:rsidRPr="002903C5">
        <w:rPr>
          <w:rStyle w:val="Bold"/>
        </w:rPr>
        <w:t>CHRIL-F</w:t>
      </w:r>
      <w:r w:rsidRPr="002903C5">
        <w:rPr>
          <w:rStyle w:val="Bold"/>
        </w:rPr>
        <w:tab/>
      </w:r>
      <w:r w:rsidRPr="002903C5">
        <w:t>Collaborative on Health Reform and Independent Living Fellowship</w:t>
      </w:r>
    </w:p>
    <w:p w14:paraId="62D7D35D" w14:textId="77777777" w:rsidR="00D45CA2" w:rsidRDefault="00315010" w:rsidP="00796491">
      <w:pPr>
        <w:pStyle w:val="NoSpacing"/>
        <w:ind w:left="2880" w:hanging="2160"/>
      </w:pPr>
      <w:r w:rsidRPr="002903C5">
        <w:rPr>
          <w:rStyle w:val="Bold"/>
        </w:rPr>
        <w:t>DRRP</w:t>
      </w:r>
      <w:r w:rsidRPr="002903C5">
        <w:rPr>
          <w:rStyle w:val="Bold"/>
        </w:rPr>
        <w:tab/>
      </w:r>
      <w:r w:rsidRPr="002903C5">
        <w:t>Disability and Rehabilitation Research Project</w:t>
      </w:r>
    </w:p>
    <w:p w14:paraId="0CD48382" w14:textId="77777777" w:rsidR="00D45CA2" w:rsidRDefault="00315010" w:rsidP="00796491">
      <w:pPr>
        <w:pStyle w:val="NoSpacing"/>
        <w:ind w:left="2880" w:hanging="2160"/>
      </w:pPr>
      <w:r w:rsidRPr="002903C5">
        <w:rPr>
          <w:rStyle w:val="Bold"/>
        </w:rPr>
        <w:t>EMP</w:t>
      </w:r>
      <w:r w:rsidRPr="002903C5">
        <w:rPr>
          <w:rStyle w:val="Bold"/>
        </w:rPr>
        <w:tab/>
      </w:r>
      <w:r w:rsidRPr="002903C5">
        <w:t>Employment</w:t>
      </w:r>
    </w:p>
    <w:p w14:paraId="4FC5DB35" w14:textId="77777777" w:rsidR="00D45CA2" w:rsidRDefault="00315010" w:rsidP="00796491">
      <w:pPr>
        <w:pStyle w:val="NoSpacing"/>
        <w:ind w:left="2880" w:hanging="2160"/>
      </w:pPr>
      <w:r w:rsidRPr="002903C5">
        <w:rPr>
          <w:rStyle w:val="Bold"/>
        </w:rPr>
        <w:t>FCC</w:t>
      </w:r>
      <w:r w:rsidRPr="002903C5">
        <w:rPr>
          <w:rStyle w:val="Bold"/>
        </w:rPr>
        <w:tab/>
      </w:r>
      <w:r w:rsidRPr="002903C5">
        <w:t>Federal Communications Commission</w:t>
      </w:r>
    </w:p>
    <w:p w14:paraId="747756F1" w14:textId="77777777" w:rsidR="00D45CA2" w:rsidRDefault="00315010" w:rsidP="00796491">
      <w:pPr>
        <w:pStyle w:val="NoSpacing"/>
        <w:ind w:left="2880" w:hanging="2160"/>
      </w:pPr>
      <w:r w:rsidRPr="002903C5">
        <w:rPr>
          <w:rStyle w:val="Bold"/>
        </w:rPr>
        <w:t>FIP</w:t>
      </w:r>
      <w:r w:rsidRPr="002903C5">
        <w:rPr>
          <w:rStyle w:val="Bold"/>
        </w:rPr>
        <w:tab/>
      </w:r>
      <w:r w:rsidRPr="002903C5">
        <w:t xml:space="preserve">Field-Initiated Project </w:t>
      </w:r>
    </w:p>
    <w:p w14:paraId="214F61D3" w14:textId="77777777" w:rsidR="00D45CA2" w:rsidRDefault="00315010" w:rsidP="00796491">
      <w:pPr>
        <w:pStyle w:val="NoSpacing"/>
        <w:ind w:left="2880" w:hanging="2160"/>
      </w:pPr>
      <w:r w:rsidRPr="002903C5">
        <w:rPr>
          <w:rStyle w:val="Bold"/>
        </w:rPr>
        <w:t>FY</w:t>
      </w:r>
      <w:r w:rsidRPr="002903C5">
        <w:rPr>
          <w:rStyle w:val="Bold"/>
        </w:rPr>
        <w:tab/>
      </w:r>
      <w:r w:rsidRPr="002903C5">
        <w:t>Fiscal Year</w:t>
      </w:r>
    </w:p>
    <w:p w14:paraId="7D68A24E" w14:textId="77777777" w:rsidR="00D45CA2" w:rsidRDefault="00315010" w:rsidP="00796491">
      <w:pPr>
        <w:pStyle w:val="NoSpacing"/>
        <w:ind w:left="2880" w:hanging="2160"/>
      </w:pPr>
      <w:r w:rsidRPr="002903C5">
        <w:rPr>
          <w:rStyle w:val="Bold"/>
        </w:rPr>
        <w:t>GM</w:t>
      </w:r>
      <w:r w:rsidRPr="002903C5">
        <w:rPr>
          <w:rStyle w:val="Bold"/>
        </w:rPr>
        <w:tab/>
      </w:r>
      <w:r w:rsidRPr="002903C5">
        <w:t>General Motors</w:t>
      </w:r>
    </w:p>
    <w:p w14:paraId="3227958E" w14:textId="77777777" w:rsidR="00D45CA2" w:rsidRDefault="00315010" w:rsidP="00796491">
      <w:pPr>
        <w:pStyle w:val="NoSpacing"/>
        <w:ind w:left="2880" w:hanging="2160"/>
      </w:pPr>
      <w:r w:rsidRPr="002903C5">
        <w:rPr>
          <w:rStyle w:val="Bold"/>
        </w:rPr>
        <w:t>H&amp;F</w:t>
      </w:r>
      <w:r w:rsidRPr="002903C5">
        <w:rPr>
          <w:rStyle w:val="Bold"/>
        </w:rPr>
        <w:tab/>
      </w:r>
      <w:r w:rsidRPr="002903C5">
        <w:t>Health &amp; Function</w:t>
      </w:r>
    </w:p>
    <w:p w14:paraId="33A12EF2" w14:textId="77777777" w:rsidR="00D45CA2" w:rsidRDefault="00315010" w:rsidP="00796491">
      <w:pPr>
        <w:pStyle w:val="NoSpacing"/>
        <w:ind w:left="2880" w:hanging="2160"/>
      </w:pPr>
      <w:r w:rsidRPr="002903C5">
        <w:rPr>
          <w:rStyle w:val="Bold"/>
        </w:rPr>
        <w:t>HHS</w:t>
      </w:r>
      <w:r w:rsidRPr="002903C5">
        <w:rPr>
          <w:rStyle w:val="Bold"/>
        </w:rPr>
        <w:tab/>
      </w:r>
      <w:r w:rsidRPr="002903C5">
        <w:t xml:space="preserve">Department of Health and Human Services </w:t>
      </w:r>
    </w:p>
    <w:p w14:paraId="4992C2E5" w14:textId="77777777" w:rsidR="00D45CA2" w:rsidRDefault="00315010" w:rsidP="00796491">
      <w:pPr>
        <w:pStyle w:val="NoSpacing"/>
        <w:ind w:left="2880" w:hanging="2160"/>
      </w:pPr>
      <w:r w:rsidRPr="002903C5">
        <w:rPr>
          <w:rStyle w:val="Bold"/>
        </w:rPr>
        <w:t>ICDR</w:t>
      </w:r>
      <w:r w:rsidRPr="002903C5">
        <w:rPr>
          <w:rStyle w:val="Bold"/>
        </w:rPr>
        <w:tab/>
      </w:r>
      <w:r w:rsidRPr="002903C5">
        <w:t xml:space="preserve">Interagency Committee on Disability Research </w:t>
      </w:r>
    </w:p>
    <w:p w14:paraId="1E4BA1E3" w14:textId="77777777" w:rsidR="00D45CA2" w:rsidRDefault="00315010" w:rsidP="00796491">
      <w:pPr>
        <w:pStyle w:val="NoSpacing"/>
        <w:ind w:left="2880" w:hanging="2160"/>
      </w:pPr>
      <w:r w:rsidRPr="002903C5">
        <w:rPr>
          <w:rStyle w:val="Bold"/>
        </w:rPr>
        <w:t>IDD</w:t>
      </w:r>
      <w:r w:rsidRPr="002903C5">
        <w:rPr>
          <w:rStyle w:val="Bold"/>
        </w:rPr>
        <w:tab/>
      </w:r>
      <w:r w:rsidRPr="002903C5">
        <w:t xml:space="preserve">Intellectual and Developmental Disabilities </w:t>
      </w:r>
    </w:p>
    <w:p w14:paraId="568E3B02" w14:textId="77777777" w:rsidR="00D45CA2" w:rsidRDefault="00315010" w:rsidP="00796491">
      <w:pPr>
        <w:pStyle w:val="NoSpacing"/>
        <w:ind w:left="2880" w:hanging="2160"/>
      </w:pPr>
      <w:r w:rsidRPr="002903C5">
        <w:rPr>
          <w:rStyle w:val="Bold"/>
        </w:rPr>
        <w:t>KT</w:t>
      </w:r>
      <w:r w:rsidRPr="002903C5">
        <w:rPr>
          <w:rStyle w:val="Bold"/>
        </w:rPr>
        <w:tab/>
      </w:r>
      <w:r w:rsidRPr="002903C5">
        <w:t xml:space="preserve">Knowledge Translation </w:t>
      </w:r>
    </w:p>
    <w:p w14:paraId="297AA8C0" w14:textId="77777777" w:rsidR="00D45CA2" w:rsidRDefault="00315010" w:rsidP="00796491">
      <w:pPr>
        <w:pStyle w:val="NoSpacing"/>
        <w:ind w:left="2880" w:hanging="2160"/>
      </w:pPr>
      <w:r w:rsidRPr="002903C5">
        <w:rPr>
          <w:rStyle w:val="Bold"/>
        </w:rPr>
        <w:t>MSI</w:t>
      </w:r>
      <w:r w:rsidRPr="002903C5">
        <w:rPr>
          <w:rStyle w:val="Bold"/>
        </w:rPr>
        <w:tab/>
      </w:r>
      <w:r w:rsidRPr="002903C5">
        <w:t xml:space="preserve">Minority-Serving Institution </w:t>
      </w:r>
    </w:p>
    <w:p w14:paraId="61A88C3D" w14:textId="77777777" w:rsidR="00D45CA2" w:rsidRDefault="00315010" w:rsidP="00796491">
      <w:pPr>
        <w:pStyle w:val="NoSpacing"/>
        <w:ind w:left="2880" w:hanging="2160"/>
      </w:pPr>
      <w:r w:rsidRPr="002903C5">
        <w:rPr>
          <w:rStyle w:val="Bold"/>
        </w:rPr>
        <w:t>NIDILRR</w:t>
      </w:r>
      <w:r w:rsidRPr="002903C5">
        <w:rPr>
          <w:rStyle w:val="Bold"/>
        </w:rPr>
        <w:tab/>
      </w:r>
      <w:r w:rsidRPr="002903C5">
        <w:t>National Institute on Disability, Independent Living, and Rehabilitation Research</w:t>
      </w:r>
    </w:p>
    <w:p w14:paraId="1A18ECBC" w14:textId="77777777" w:rsidR="00D45CA2" w:rsidRDefault="00315010" w:rsidP="00796491">
      <w:pPr>
        <w:pStyle w:val="NoSpacing"/>
        <w:ind w:left="2880" w:hanging="2160"/>
      </w:pPr>
      <w:r w:rsidRPr="002903C5">
        <w:rPr>
          <w:rStyle w:val="Bold"/>
        </w:rPr>
        <w:t>NRTC</w:t>
      </w:r>
      <w:r w:rsidRPr="002903C5">
        <w:rPr>
          <w:rStyle w:val="Bold"/>
        </w:rPr>
        <w:tab/>
      </w:r>
      <w:r w:rsidRPr="002903C5">
        <w:t xml:space="preserve">National Research and Training Center on Blindness and Low Vision </w:t>
      </w:r>
    </w:p>
    <w:p w14:paraId="493EA357" w14:textId="77777777" w:rsidR="00D45CA2" w:rsidRDefault="00315010" w:rsidP="00796491">
      <w:pPr>
        <w:pStyle w:val="NoSpacing"/>
        <w:ind w:left="2880" w:hanging="2160"/>
      </w:pPr>
      <w:r w:rsidRPr="002903C5">
        <w:rPr>
          <w:rStyle w:val="Bold"/>
        </w:rPr>
        <w:t>PE</w:t>
      </w:r>
      <w:r w:rsidRPr="002903C5">
        <w:rPr>
          <w:rStyle w:val="Bold"/>
        </w:rPr>
        <w:tab/>
      </w:r>
      <w:r w:rsidRPr="002903C5">
        <w:t>Progressive Employment</w:t>
      </w:r>
    </w:p>
    <w:p w14:paraId="030D1F8B" w14:textId="77777777" w:rsidR="00D45CA2" w:rsidRDefault="00315010" w:rsidP="00796491">
      <w:pPr>
        <w:pStyle w:val="NoSpacing"/>
        <w:ind w:left="2880" w:hanging="2160"/>
      </w:pPr>
      <w:r w:rsidRPr="002903C5">
        <w:rPr>
          <w:rStyle w:val="Bold"/>
        </w:rPr>
        <w:t>RERC</w:t>
      </w:r>
      <w:r w:rsidRPr="002903C5">
        <w:rPr>
          <w:rStyle w:val="Bold"/>
        </w:rPr>
        <w:tab/>
      </w:r>
      <w:r w:rsidRPr="002903C5">
        <w:t>Rehabilitation Engineering Research Center</w:t>
      </w:r>
    </w:p>
    <w:p w14:paraId="297FD04B" w14:textId="77777777" w:rsidR="00D45CA2" w:rsidRDefault="00315010" w:rsidP="00796491">
      <w:pPr>
        <w:pStyle w:val="NoSpacing"/>
        <w:ind w:left="2880" w:hanging="2160"/>
      </w:pPr>
      <w:r w:rsidRPr="002903C5">
        <w:rPr>
          <w:rStyle w:val="Bold"/>
        </w:rPr>
        <w:t>RRTC</w:t>
      </w:r>
      <w:r w:rsidRPr="002903C5">
        <w:rPr>
          <w:rStyle w:val="Bold"/>
        </w:rPr>
        <w:tab/>
      </w:r>
      <w:r w:rsidRPr="002903C5">
        <w:t>Rehabilitation Research and Training Center</w:t>
      </w:r>
    </w:p>
    <w:p w14:paraId="27669AF3" w14:textId="77777777" w:rsidR="00D45CA2" w:rsidRDefault="00315010" w:rsidP="00796491">
      <w:pPr>
        <w:pStyle w:val="NoSpacing"/>
        <w:ind w:left="2880" w:hanging="2160"/>
      </w:pPr>
      <w:r w:rsidRPr="002903C5">
        <w:rPr>
          <w:rStyle w:val="Bold"/>
        </w:rPr>
        <w:t>RTT</w:t>
      </w:r>
      <w:r w:rsidRPr="002903C5">
        <w:rPr>
          <w:rStyle w:val="Bold"/>
        </w:rPr>
        <w:tab/>
      </w:r>
      <w:r w:rsidRPr="002903C5">
        <w:t>Real-Time Text</w:t>
      </w:r>
    </w:p>
    <w:p w14:paraId="2653349F" w14:textId="77777777" w:rsidR="00D45CA2" w:rsidRDefault="00315010" w:rsidP="00796491">
      <w:pPr>
        <w:pStyle w:val="NoSpacing"/>
        <w:ind w:left="2880" w:hanging="2160"/>
      </w:pPr>
      <w:r w:rsidRPr="002903C5">
        <w:rPr>
          <w:rStyle w:val="Bold"/>
        </w:rPr>
        <w:t>SBIR</w:t>
      </w:r>
      <w:r w:rsidRPr="002903C5">
        <w:rPr>
          <w:rStyle w:val="Bold"/>
        </w:rPr>
        <w:tab/>
      </w:r>
      <w:r w:rsidRPr="002903C5">
        <w:t xml:space="preserve">Small Business Innovation Research </w:t>
      </w:r>
    </w:p>
    <w:p w14:paraId="61167128" w14:textId="77777777" w:rsidR="00D45CA2" w:rsidRDefault="00315010" w:rsidP="00796491">
      <w:pPr>
        <w:pStyle w:val="NoSpacing"/>
        <w:ind w:left="2880" w:hanging="2160"/>
      </w:pPr>
      <w:r w:rsidRPr="002903C5">
        <w:rPr>
          <w:rStyle w:val="Bold"/>
        </w:rPr>
        <w:t>SCI</w:t>
      </w:r>
      <w:r w:rsidRPr="002903C5">
        <w:rPr>
          <w:rStyle w:val="Bold"/>
        </w:rPr>
        <w:tab/>
      </w:r>
      <w:r w:rsidRPr="002903C5">
        <w:t xml:space="preserve">Spinal Cord Injury </w:t>
      </w:r>
    </w:p>
    <w:p w14:paraId="34FFEA9E" w14:textId="77777777" w:rsidR="00D45CA2" w:rsidRDefault="00315010" w:rsidP="00796491">
      <w:pPr>
        <w:pStyle w:val="NoSpacing"/>
        <w:ind w:left="2880" w:hanging="2160"/>
      </w:pPr>
      <w:r w:rsidRPr="002903C5">
        <w:rPr>
          <w:rStyle w:val="Bold"/>
        </w:rPr>
        <w:t>STI</w:t>
      </w:r>
      <w:r w:rsidRPr="002903C5">
        <w:rPr>
          <w:rStyle w:val="Bold"/>
        </w:rPr>
        <w:tab/>
      </w:r>
      <w:r w:rsidRPr="002903C5">
        <w:t>Strategies, Techniques, and Interventions</w:t>
      </w:r>
    </w:p>
    <w:p w14:paraId="58D87621" w14:textId="77777777" w:rsidR="00D45CA2" w:rsidRDefault="00315010" w:rsidP="00796491">
      <w:pPr>
        <w:pStyle w:val="NoSpacing"/>
        <w:ind w:left="2880" w:hanging="2160"/>
      </w:pPr>
      <w:r w:rsidRPr="002903C5">
        <w:rPr>
          <w:rStyle w:val="Bold"/>
        </w:rPr>
        <w:t>TBI</w:t>
      </w:r>
      <w:r w:rsidRPr="002903C5">
        <w:rPr>
          <w:rStyle w:val="Bold"/>
        </w:rPr>
        <w:tab/>
      </w:r>
      <w:r w:rsidRPr="002903C5">
        <w:t xml:space="preserve">Traumatic Brain Injury </w:t>
      </w:r>
    </w:p>
    <w:p w14:paraId="0338BBD0" w14:textId="77777777" w:rsidR="00D45CA2" w:rsidRDefault="00315010" w:rsidP="00796491">
      <w:pPr>
        <w:pStyle w:val="NoSpacing"/>
        <w:ind w:left="2880" w:hanging="2160"/>
      </w:pPr>
      <w:r w:rsidRPr="002903C5">
        <w:rPr>
          <w:rStyle w:val="Bold"/>
        </w:rPr>
        <w:t>VR</w:t>
      </w:r>
      <w:r w:rsidRPr="002903C5">
        <w:rPr>
          <w:rStyle w:val="Bold"/>
        </w:rPr>
        <w:tab/>
      </w:r>
      <w:r w:rsidRPr="002903C5">
        <w:t>Vocational Rehabilitation</w:t>
      </w:r>
    </w:p>
    <w:p w14:paraId="3289DCA7" w14:textId="77777777" w:rsidR="00D45CA2" w:rsidRDefault="00315010" w:rsidP="00796491">
      <w:pPr>
        <w:pStyle w:val="NoSpacing"/>
        <w:ind w:left="2880" w:hanging="2160"/>
      </w:pPr>
      <w:r w:rsidRPr="002903C5">
        <w:rPr>
          <w:rStyle w:val="Bold"/>
        </w:rPr>
        <w:t>VSD</w:t>
      </w:r>
      <w:r w:rsidRPr="002903C5">
        <w:rPr>
          <w:rStyle w:val="Bold"/>
        </w:rPr>
        <w:tab/>
      </w:r>
      <w:r w:rsidRPr="002903C5">
        <w:t>Visual Scene Display</w:t>
      </w:r>
    </w:p>
    <w:p w14:paraId="6DE2AE16" w14:textId="77777777" w:rsidR="00D45CA2" w:rsidRDefault="00315010" w:rsidP="00796491">
      <w:pPr>
        <w:pStyle w:val="NoSpacing"/>
        <w:ind w:left="2880" w:hanging="2160"/>
      </w:pPr>
      <w:r w:rsidRPr="002903C5">
        <w:rPr>
          <w:rStyle w:val="Bold"/>
        </w:rPr>
        <w:t>WSU</w:t>
      </w:r>
      <w:r w:rsidRPr="002903C5">
        <w:rPr>
          <w:rStyle w:val="Bold"/>
        </w:rPr>
        <w:tab/>
      </w:r>
      <w:r w:rsidRPr="002903C5">
        <w:t>Washington State University</w:t>
      </w:r>
    </w:p>
    <w:p w14:paraId="2C3D7469" w14:textId="77777777" w:rsidR="00D45CA2" w:rsidRDefault="00193415" w:rsidP="00EF4262">
      <w:pPr>
        <w:spacing w:after="0" w:line="240" w:lineRule="auto"/>
      </w:pPr>
      <w:r>
        <w:br w:type="page"/>
      </w:r>
    </w:p>
    <w:p w14:paraId="4CA7A1B5" w14:textId="77777777" w:rsidR="00D45CA2" w:rsidRDefault="009A7684" w:rsidP="00B0387E">
      <w:pPr>
        <w:pStyle w:val="Heading2"/>
      </w:pPr>
      <w:bookmarkStart w:id="2" w:name="_Toc480972957"/>
      <w:bookmarkStart w:id="3" w:name="_Toc48042044"/>
      <w:r w:rsidRPr="00F10F2C">
        <w:lastRenderedPageBreak/>
        <w:t xml:space="preserve">Executive </w:t>
      </w:r>
      <w:r w:rsidRPr="00002EE3">
        <w:t>Summary</w:t>
      </w:r>
      <w:bookmarkEnd w:id="2"/>
      <w:bookmarkEnd w:id="3"/>
    </w:p>
    <w:p w14:paraId="55F3741F" w14:textId="7B5536A6" w:rsidR="00D45CA2" w:rsidRDefault="004746FB" w:rsidP="0095770E">
      <w:r>
        <w:t>The</w:t>
      </w:r>
      <w:r w:rsidRPr="00A26B93">
        <w:t xml:space="preserve"> </w:t>
      </w:r>
      <w:r w:rsidR="00807025">
        <w:t xml:space="preserve">mission of the </w:t>
      </w:r>
      <w:r w:rsidR="00274BD2">
        <w:t xml:space="preserve">Administration for Community Living’s (ACL) </w:t>
      </w:r>
      <w:r w:rsidRPr="00A26B93">
        <w:t>National Institute on Disability, Independent Living, and Rehabilitation Research</w:t>
      </w:r>
      <w:r>
        <w:t xml:space="preserve"> (</w:t>
      </w:r>
      <w:r w:rsidRPr="00A44450">
        <w:t>NIDILRR</w:t>
      </w:r>
      <w:r>
        <w:t>)</w:t>
      </w:r>
      <w:r w:rsidRPr="00A44450">
        <w:t xml:space="preserve"> is to generate new knowledge and to promote its effective use to </w:t>
      </w:r>
      <w:r w:rsidR="009F3A8D">
        <w:t xml:space="preserve">maximize the full inclusion and integration into society, employment, independent living, family support, and economic and social self-sufficiency of individuals with disabilities of all ages. </w:t>
      </w:r>
    </w:p>
    <w:p w14:paraId="77BA9B28" w14:textId="5D22036B" w:rsidR="00D45CA2" w:rsidRDefault="004746FB" w:rsidP="00315010">
      <w:r w:rsidRPr="00A44450">
        <w:t>NIDILRR programs address a wide range of disabilities and impairments</w:t>
      </w:r>
      <w:r w:rsidR="00977070">
        <w:t xml:space="preserve"> — </w:t>
      </w:r>
      <w:r w:rsidRPr="00A44450">
        <w:t>across all age groups</w:t>
      </w:r>
      <w:r w:rsidR="00977070">
        <w:t xml:space="preserve"> — </w:t>
      </w:r>
      <w:r w:rsidRPr="00A44450">
        <w:t>and promote health and function, community living and participation, and employment.</w:t>
      </w:r>
      <w:r w:rsidR="00076D10">
        <w:t xml:space="preserve"> </w:t>
      </w:r>
      <w:r w:rsidRPr="00A44450">
        <w:t xml:space="preserve">To accomplish these goals, </w:t>
      </w:r>
      <w:r w:rsidR="00274BD2">
        <w:t>ACL</w:t>
      </w:r>
      <w:r w:rsidRPr="00A44450">
        <w:t xml:space="preserve"> invests in research, </w:t>
      </w:r>
      <w:r>
        <w:t xml:space="preserve">knowledge translation, </w:t>
      </w:r>
      <w:r w:rsidRPr="00A44450">
        <w:t>and capacity-bui</w:t>
      </w:r>
      <w:r>
        <w:t>lding activities through its</w:t>
      </w:r>
      <w:r w:rsidRPr="00A44450">
        <w:t xml:space="preserve"> discretionary grant</w:t>
      </w:r>
      <w:r>
        <w:t>-</w:t>
      </w:r>
      <w:r w:rsidRPr="00A44450">
        <w:t>funding mechanisms.</w:t>
      </w:r>
    </w:p>
    <w:p w14:paraId="4CDF3BD3" w14:textId="77777777" w:rsidR="00D45CA2" w:rsidRDefault="0017362F" w:rsidP="003364E6">
      <w:pPr>
        <w:pStyle w:val="Heading3"/>
      </w:pPr>
      <w:bookmarkStart w:id="4" w:name="_Toc480972958"/>
      <w:bookmarkStart w:id="5" w:name="_Toc48042045"/>
      <w:r w:rsidRPr="003364E6">
        <w:t>Funding and Grants Management</w:t>
      </w:r>
      <w:bookmarkEnd w:id="4"/>
      <w:bookmarkEnd w:id="5"/>
    </w:p>
    <w:p w14:paraId="2B06F5E1" w14:textId="5E232033" w:rsidR="00D45CA2" w:rsidRDefault="00CA2D0D" w:rsidP="0095770E">
      <w:r>
        <w:t xml:space="preserve">ACL funded a total of </w:t>
      </w:r>
      <w:r w:rsidRPr="00476435">
        <w:rPr>
          <w:rFonts w:eastAsia="ヒラギノ角ゴ Pro W3"/>
        </w:rPr>
        <w:t>$100,935,565</w:t>
      </w:r>
      <w:r>
        <w:rPr>
          <w:rFonts w:eastAsia="ヒラギノ角ゴ Pro W3"/>
        </w:rPr>
        <w:t xml:space="preserve"> to </w:t>
      </w:r>
      <w:r w:rsidR="004746FB" w:rsidRPr="00476435">
        <w:t xml:space="preserve">NIDILRR </w:t>
      </w:r>
      <w:r w:rsidR="00274BD2">
        <w:t xml:space="preserve">program </w:t>
      </w:r>
      <w:r w:rsidR="004746FB" w:rsidRPr="00476435">
        <w:t>grant</w:t>
      </w:r>
      <w:r>
        <w:t>ees</w:t>
      </w:r>
      <w:r w:rsidR="004746FB" w:rsidRPr="00476435">
        <w:t xml:space="preserve"> </w:t>
      </w:r>
      <w:r>
        <w:t xml:space="preserve">in </w:t>
      </w:r>
      <w:r w:rsidR="004746FB" w:rsidRPr="00476435">
        <w:t xml:space="preserve">FY </w:t>
      </w:r>
      <w:r w:rsidR="00476435" w:rsidRPr="00476435">
        <w:t>2019</w:t>
      </w:r>
      <w:r w:rsidR="004746FB" w:rsidRPr="00476435">
        <w:t xml:space="preserve">. In addition, </w:t>
      </w:r>
      <w:r w:rsidR="00274BD2">
        <w:t>ACL</w:t>
      </w:r>
      <w:r w:rsidR="004746FB" w:rsidRPr="00476435">
        <w:t xml:space="preserve"> </w:t>
      </w:r>
      <w:r w:rsidR="004746FB" w:rsidRPr="00315010">
        <w:t xml:space="preserve">awarded </w:t>
      </w:r>
      <w:r w:rsidR="00476435" w:rsidRPr="00315010">
        <w:t>$8,034,435</w:t>
      </w:r>
      <w:r w:rsidR="00871DE4" w:rsidRPr="00315010">
        <w:t xml:space="preserve"> </w:t>
      </w:r>
      <w:r w:rsidR="004746FB" w:rsidRPr="00315010">
        <w:t>in contracts</w:t>
      </w:r>
      <w:r w:rsidR="004746FB" w:rsidRPr="00476435">
        <w:t xml:space="preserve"> and other support activities in FY </w:t>
      </w:r>
      <w:r w:rsidR="00476435" w:rsidRPr="00476435">
        <w:t>2019</w:t>
      </w:r>
      <w:r w:rsidR="004746FB" w:rsidRPr="00476435">
        <w:t>.</w:t>
      </w:r>
      <w:r w:rsidR="00076D10">
        <w:t xml:space="preserve"> </w:t>
      </w:r>
      <w:r w:rsidR="004746FB" w:rsidRPr="00476435">
        <w:t xml:space="preserve">These funds supported </w:t>
      </w:r>
      <w:r w:rsidR="00871DE4" w:rsidRPr="00476435">
        <w:t xml:space="preserve">220 </w:t>
      </w:r>
      <w:r w:rsidR="004746FB" w:rsidRPr="00476435">
        <w:t xml:space="preserve">grant awards in </w:t>
      </w:r>
      <w:r w:rsidR="00476435" w:rsidRPr="00476435">
        <w:t>2019</w:t>
      </w:r>
      <w:r w:rsidR="004746FB" w:rsidRPr="00476435">
        <w:t>.</w:t>
      </w:r>
    </w:p>
    <w:p w14:paraId="4513859D" w14:textId="049730A7" w:rsidR="00D45CA2" w:rsidRDefault="00CA2D0D" w:rsidP="0095770E">
      <w:r>
        <w:t xml:space="preserve">The </w:t>
      </w:r>
      <w:r w:rsidR="004746FB" w:rsidRPr="00690C8A">
        <w:t xml:space="preserve">peer review process for </w:t>
      </w:r>
      <w:r>
        <w:t xml:space="preserve">NIDILRR program </w:t>
      </w:r>
      <w:r w:rsidR="004746FB" w:rsidRPr="00690C8A">
        <w:t xml:space="preserve">grant competitions is highly rigorous, with </w:t>
      </w:r>
      <w:r w:rsidR="00343E38" w:rsidRPr="00690C8A">
        <w:t>1</w:t>
      </w:r>
      <w:r w:rsidR="00690C8A" w:rsidRPr="00690C8A">
        <w:t>4</w:t>
      </w:r>
      <w:r w:rsidR="003B5FE1" w:rsidRPr="00690C8A">
        <w:t xml:space="preserve"> percent</w:t>
      </w:r>
      <w:r w:rsidR="004746FB" w:rsidRPr="00690C8A">
        <w:t xml:space="preserve"> of applicants </w:t>
      </w:r>
      <w:r w:rsidR="006B10D1" w:rsidRPr="00690C8A">
        <w:t xml:space="preserve">receiving new grant </w:t>
      </w:r>
      <w:r w:rsidR="004746FB" w:rsidRPr="00690C8A">
        <w:t xml:space="preserve">funding during FY </w:t>
      </w:r>
      <w:r w:rsidR="00476435" w:rsidRPr="00690C8A">
        <w:t>2019</w:t>
      </w:r>
      <w:r w:rsidR="00343E38" w:rsidRPr="00690C8A">
        <w:t xml:space="preserve"> (</w:t>
      </w:r>
      <w:r w:rsidR="00076D10">
        <w:t>s</w:t>
      </w:r>
      <w:r w:rsidR="00343E38" w:rsidRPr="00690C8A">
        <w:t>ee Table 1)</w:t>
      </w:r>
      <w:r w:rsidR="004746FB" w:rsidRPr="00690C8A">
        <w:t>.</w:t>
      </w:r>
    </w:p>
    <w:p w14:paraId="18F9BFD0" w14:textId="77777777" w:rsidR="00D45CA2" w:rsidRDefault="0017362F" w:rsidP="003364E6">
      <w:pPr>
        <w:pStyle w:val="Heading3"/>
      </w:pPr>
      <w:bookmarkStart w:id="6" w:name="_Toc480972959"/>
      <w:bookmarkStart w:id="7" w:name="_Toc48042046"/>
      <w:r w:rsidRPr="0044424E">
        <w:t>Productivity and Accomplishments</w:t>
      </w:r>
      <w:bookmarkEnd w:id="6"/>
      <w:bookmarkEnd w:id="7"/>
    </w:p>
    <w:p w14:paraId="404057FE" w14:textId="1B25B801" w:rsidR="00D45CA2" w:rsidRDefault="00274BD2" w:rsidP="0095770E">
      <w:r>
        <w:t>ACL</w:t>
      </w:r>
      <w:r w:rsidR="004746FB" w:rsidRPr="00E67F0B">
        <w:t xml:space="preserve"> funds research toward the development of new knowledge and innovative technological devices, prototypes, measurement tools, intervention</w:t>
      </w:r>
      <w:r w:rsidR="00343E38">
        <w:t>s</w:t>
      </w:r>
      <w:r w:rsidR="004746FB" w:rsidRPr="00E67F0B">
        <w:t>, and informational products to enhance community living, health and function, and employment among people with disabilities.</w:t>
      </w:r>
      <w:r w:rsidR="00076D10">
        <w:t xml:space="preserve"> </w:t>
      </w:r>
      <w:r w:rsidR="004746FB" w:rsidRPr="00E67F0B">
        <w:t>Grantees employ advanced methodologies to conduct research, including randomized controlled trials, lon</w:t>
      </w:r>
      <w:r w:rsidR="004746FB" w:rsidRPr="009228D2">
        <w:t>gitudinal studies, and qualitative studies.</w:t>
      </w:r>
      <w:r w:rsidR="00076D10">
        <w:t xml:space="preserve"> </w:t>
      </w:r>
      <w:r w:rsidR="004746FB" w:rsidRPr="009228D2">
        <w:t>These investments produce peer-reviewed publications, intervention protocols, software, databases</w:t>
      </w:r>
      <w:r w:rsidR="006B10D1" w:rsidRPr="00B54694">
        <w:t>, and a wide range of other outputs and outcomes</w:t>
      </w:r>
      <w:r w:rsidR="004746FB" w:rsidRPr="007C61A1">
        <w:t xml:space="preserve">. Selected examples of grantee accomplishments in FY </w:t>
      </w:r>
      <w:r w:rsidR="00D70FEC" w:rsidRPr="007C61A1">
        <w:t>201</w:t>
      </w:r>
      <w:r w:rsidR="00FE60A7">
        <w:t>9</w:t>
      </w:r>
      <w:r w:rsidR="00D70FEC" w:rsidRPr="007C61A1">
        <w:t xml:space="preserve"> </w:t>
      </w:r>
      <w:r w:rsidR="004746FB" w:rsidRPr="00193415">
        <w:t>include:</w:t>
      </w:r>
    </w:p>
    <w:p w14:paraId="7F7C8569" w14:textId="77777777" w:rsidR="00D45CA2" w:rsidRPr="00B0387E" w:rsidRDefault="00286EBE" w:rsidP="00B0387E">
      <w:pPr>
        <w:pStyle w:val="Heading4"/>
        <w:rPr>
          <w:u w:val="single"/>
        </w:rPr>
      </w:pPr>
      <w:r w:rsidRPr="00B0387E">
        <w:rPr>
          <w:rStyle w:val="Underline"/>
          <w:bCs w:val="0"/>
        </w:rPr>
        <w:t>FIRST CLINICAL PRACTICE GUIDELINE FOR MANAGING CARDIOMETABOLIC RISK AFTER SPINAL CORD INJUR</w:t>
      </w:r>
      <w:r w:rsidR="001F68AE" w:rsidRPr="00B0387E">
        <w:rPr>
          <w:rStyle w:val="Underline"/>
          <w:bCs w:val="0"/>
        </w:rPr>
        <w:t>Y (SCI)</w:t>
      </w:r>
    </w:p>
    <w:p w14:paraId="6716FAB0" w14:textId="3E05C30B" w:rsidR="00D45CA2" w:rsidRDefault="00286EBE" w:rsidP="00286092">
      <w:r w:rsidRPr="00002EE3">
        <w:t xml:space="preserve">Cardiometabolic risk factors </w:t>
      </w:r>
      <w:r w:rsidR="003B5243">
        <w:t xml:space="preserve">are known to </w:t>
      </w:r>
      <w:r w:rsidRPr="00002EE3">
        <w:t xml:space="preserve">affect people </w:t>
      </w:r>
      <w:r w:rsidR="003B5243">
        <w:t xml:space="preserve">with or </w:t>
      </w:r>
      <w:r w:rsidRPr="00002EE3">
        <w:t xml:space="preserve">without disabilities. </w:t>
      </w:r>
      <w:r w:rsidR="00337BA1">
        <w:t>C</w:t>
      </w:r>
      <w:r w:rsidRPr="00002EE3">
        <w:t xml:space="preserve">ardiometabolic risk factors are often termed the “silent killer” </w:t>
      </w:r>
      <w:r w:rsidR="00337BA1">
        <w:t xml:space="preserve">because individuals may never know they carry these risk factors. </w:t>
      </w:r>
      <w:r w:rsidRPr="00002EE3">
        <w:t xml:space="preserve">Despite the presence of these risk factors following </w:t>
      </w:r>
      <w:r w:rsidR="001F68AE" w:rsidRPr="00002EE3">
        <w:t>SCI</w:t>
      </w:r>
      <w:r w:rsidRPr="00002EE3">
        <w:t xml:space="preserve">, no clinical practice guidelines on this topic are available for use </w:t>
      </w:r>
      <w:r w:rsidRPr="00286EBE">
        <w:t>by physicians and other health care providers.</w:t>
      </w:r>
      <w:r>
        <w:t xml:space="preserve"> </w:t>
      </w:r>
      <w:r w:rsidRPr="00286EBE">
        <w:t xml:space="preserve">As a result of their hard work, Dr. Mark Nash and his colleagues </w:t>
      </w:r>
      <w:r w:rsidR="008C142F">
        <w:t xml:space="preserve">at the University of Miami </w:t>
      </w:r>
      <w:r w:rsidRPr="00286EBE">
        <w:t xml:space="preserve">have produced the first clinical practice guideline for managing cardiometabolic risk after </w:t>
      </w:r>
      <w:r w:rsidR="001F68AE">
        <w:t>SCI</w:t>
      </w:r>
      <w:r w:rsidRPr="00286EBE">
        <w:t xml:space="preserve">. A description and discussion of this guideline can be found </w:t>
      </w:r>
      <w:r w:rsidR="00BC6BE1">
        <w:t>in</w:t>
      </w:r>
      <w:r w:rsidR="001F68AE">
        <w:t xml:space="preserve"> the</w:t>
      </w:r>
      <w:r w:rsidR="00BC6BE1">
        <w:t xml:space="preserve"> </w:t>
      </w:r>
      <w:hyperlink w:anchor="_Sampling_of_Key" w:history="1">
        <w:r w:rsidR="00BC6BE1" w:rsidRPr="00337BA1">
          <w:rPr>
            <w:rStyle w:val="Hyperlink"/>
          </w:rPr>
          <w:t xml:space="preserve">Sampling of Key Accomplishments </w:t>
        </w:r>
        <w:r w:rsidR="001F68AE" w:rsidRPr="00337BA1">
          <w:rPr>
            <w:rStyle w:val="Hyperlink"/>
          </w:rPr>
          <w:t>F</w:t>
        </w:r>
        <w:r w:rsidR="00BC6BE1" w:rsidRPr="00337BA1">
          <w:rPr>
            <w:rStyle w:val="Hyperlink"/>
          </w:rPr>
          <w:t>unded</w:t>
        </w:r>
      </w:hyperlink>
      <w:r w:rsidR="00BC6BE1" w:rsidRPr="00BC6BE1">
        <w:t xml:space="preserve"> Researchers</w:t>
      </w:r>
      <w:r w:rsidR="00BC6BE1">
        <w:t xml:space="preserve"> section of this report.</w:t>
      </w:r>
    </w:p>
    <w:p w14:paraId="779C215A" w14:textId="5DEAE584" w:rsidR="00D45CA2" w:rsidRDefault="00002EE3" w:rsidP="00B0387E">
      <w:pPr>
        <w:pStyle w:val="Heading4"/>
        <w:rPr>
          <w:rStyle w:val="Underline"/>
        </w:rPr>
      </w:pPr>
      <w:r w:rsidRPr="00002EE3">
        <w:rPr>
          <w:rStyle w:val="Underline"/>
        </w:rPr>
        <w:lastRenderedPageBreak/>
        <w:t>MANUFACTURERS AND DEVELOPERS OF AUGMENTATIVE AND ALTERNATIVE COMMUNICATION (A</w:t>
      </w:r>
      <w:r w:rsidR="00841078">
        <w:rPr>
          <w:rStyle w:val="Underline"/>
        </w:rPr>
        <w:t>A</w:t>
      </w:r>
      <w:r w:rsidRPr="00002EE3">
        <w:rPr>
          <w:rStyle w:val="Underline"/>
        </w:rPr>
        <w:t>C) HAVE ADOPTED VISUAL SCENE DISPLAYS (VSD)</w:t>
      </w:r>
    </w:p>
    <w:p w14:paraId="3BB87DB8" w14:textId="6CB9DA19" w:rsidR="00D45CA2" w:rsidRDefault="00BC6BE1" w:rsidP="00800E49">
      <w:pPr>
        <w:rPr>
          <w:bCs/>
        </w:rPr>
      </w:pPr>
      <w:r w:rsidRPr="00BC6BE1">
        <w:t xml:space="preserve">Prior to the development of </w:t>
      </w:r>
      <w:r w:rsidR="0047493A">
        <w:t>VSDs</w:t>
      </w:r>
      <w:r w:rsidR="00200E77">
        <w:t xml:space="preserve"> </w:t>
      </w:r>
      <w:r w:rsidR="00CA2D0D">
        <w:t xml:space="preserve">funded by a grant to the </w:t>
      </w:r>
      <w:r w:rsidRPr="00BC6BE1">
        <w:t xml:space="preserve">Augmentative and Alternative Communication Rehabilitation Engineering Research Center (AAC-RERC), the only AAC option was traditional grid displays with isolated symbols presented in rows and columns. </w:t>
      </w:r>
      <w:r w:rsidR="00337BA1">
        <w:t>Therefore, i</w:t>
      </w:r>
      <w:r w:rsidRPr="00BC6BE1">
        <w:t xml:space="preserve">t was difficult for many adults with </w:t>
      </w:r>
      <w:r w:rsidR="008C142F">
        <w:t>disabilities to use these traditional grid displays,</w:t>
      </w:r>
      <w:r w:rsidRPr="00BC6BE1">
        <w:t xml:space="preserve"> resulting in significant language and cognitive limitations.</w:t>
      </w:r>
    </w:p>
    <w:p w14:paraId="2FBBD7C8" w14:textId="46790825" w:rsidR="00D45CA2" w:rsidRDefault="00BC6BE1" w:rsidP="00800E49">
      <w:r w:rsidRPr="00BC6BE1">
        <w:t xml:space="preserve">VSDs offer an easier alternative to traditional grid displays. They go beyond standard pictures and symbols organized in rows and columns by providing information on the situation or context. As a result of the continued efforts of the AAC-RERC and their partners, this VSD technology has been successfully transferred to </w:t>
      </w:r>
      <w:r w:rsidR="008C142F">
        <w:t xml:space="preserve">a wide range of </w:t>
      </w:r>
      <w:r w:rsidRPr="00BC6BE1">
        <w:t>major AAC manufacturers and app developers.</w:t>
      </w:r>
    </w:p>
    <w:p w14:paraId="5451E8A0" w14:textId="77777777" w:rsidR="00D45CA2" w:rsidRDefault="003367A4" w:rsidP="00B0387E">
      <w:pPr>
        <w:pStyle w:val="Heading4"/>
        <w:rPr>
          <w:rStyle w:val="Underline"/>
        </w:rPr>
      </w:pPr>
      <w:r w:rsidRPr="00800E49">
        <w:rPr>
          <w:rStyle w:val="Underline"/>
        </w:rPr>
        <w:t>“YOUDESCRIBE” IS CREATING UNPRECEDENTED ACCESS TO VIDEO MATERIALS</w:t>
      </w:r>
      <w:r w:rsidR="00523AE3" w:rsidRPr="00800E49">
        <w:rPr>
          <w:rStyle w:val="Underline"/>
        </w:rPr>
        <w:t xml:space="preserve"> FOR BLIND STUDENTS AND ADULTS</w:t>
      </w:r>
    </w:p>
    <w:p w14:paraId="65561B36" w14:textId="7E184958" w:rsidR="00D45CA2" w:rsidRDefault="00337BA1" w:rsidP="0095770E">
      <w:r>
        <w:t xml:space="preserve">Currently, blind individuals </w:t>
      </w:r>
      <w:r w:rsidR="003367A4" w:rsidRPr="003367A4">
        <w:t>have virtually no access to video materials unless they pay for a professional service</w:t>
      </w:r>
      <w:r w:rsidR="004704A3">
        <w:t>,</w:t>
      </w:r>
      <w:r w:rsidR="003367A4" w:rsidRPr="003367A4">
        <w:t xml:space="preserve"> which </w:t>
      </w:r>
      <w:r>
        <w:t>can be extremely expensive and a cost burden on the individual</w:t>
      </w:r>
      <w:r w:rsidR="003367A4" w:rsidRPr="003367A4">
        <w:t xml:space="preserve">. </w:t>
      </w:r>
      <w:r w:rsidR="00CA2D0D">
        <w:t>R</w:t>
      </w:r>
      <w:r w:rsidR="003367A4" w:rsidRPr="003367A4">
        <w:t>esearchers and engineers at the Smith-</w:t>
      </w:r>
      <w:proofErr w:type="spellStart"/>
      <w:r w:rsidR="003367A4" w:rsidRPr="003367A4">
        <w:t>Kettlewell</w:t>
      </w:r>
      <w:proofErr w:type="spellEnd"/>
      <w:r w:rsidR="003367A4" w:rsidRPr="003367A4">
        <w:t xml:space="preserve"> Eye Research Institute have </w:t>
      </w:r>
      <w:r>
        <w:t>created</w:t>
      </w:r>
      <w:r w:rsidR="003367A4" w:rsidRPr="003367A4">
        <w:t xml:space="preserve"> a better</w:t>
      </w:r>
      <w:r w:rsidR="004704A3">
        <w:t>,</w:t>
      </w:r>
      <w:r w:rsidR="003367A4" w:rsidRPr="003367A4">
        <w:t xml:space="preserve"> more cost-effective solution to this problem</w:t>
      </w:r>
      <w:r>
        <w:t xml:space="preserve"> called</w:t>
      </w:r>
      <w:r w:rsidR="003367A4" w:rsidRPr="003367A4">
        <w:t xml:space="preserve"> “</w:t>
      </w:r>
      <w:proofErr w:type="spellStart"/>
      <w:r w:rsidR="003367A4" w:rsidRPr="003367A4">
        <w:t>YouDescribe</w:t>
      </w:r>
      <w:proofErr w:type="spellEnd"/>
      <w:r w:rsidR="00200E77">
        <w:t>.</w:t>
      </w:r>
      <w:r w:rsidR="003367A4" w:rsidRPr="003367A4">
        <w:t>”</w:t>
      </w:r>
      <w:r w:rsidR="00076D10">
        <w:t xml:space="preserve"> </w:t>
      </w:r>
      <w:r w:rsidR="003367A4" w:rsidRPr="003367A4">
        <w:t>Since</w:t>
      </w:r>
      <w:r>
        <w:t xml:space="preserve"> blind</w:t>
      </w:r>
      <w:r w:rsidR="003367A4" w:rsidRPr="003367A4">
        <w:t xml:space="preserve"> individuals </w:t>
      </w:r>
      <w:r>
        <w:t>are limited with experiencing a visual experience with videos</w:t>
      </w:r>
      <w:r w:rsidR="00814351">
        <w:t xml:space="preserve">, </w:t>
      </w:r>
      <w:r w:rsidR="003367A4" w:rsidRPr="003367A4">
        <w:t>they must rely on audio description</w:t>
      </w:r>
      <w:r>
        <w:t>s</w:t>
      </w:r>
      <w:r w:rsidR="003367A4" w:rsidRPr="003367A4">
        <w:t xml:space="preserve">. Audio description is an extra soundtrack added by a describer so that </w:t>
      </w:r>
      <w:r>
        <w:t xml:space="preserve">the blind </w:t>
      </w:r>
      <w:r w:rsidR="003367A4" w:rsidRPr="003367A4">
        <w:t xml:space="preserve">viewer </w:t>
      </w:r>
      <w:r>
        <w:t xml:space="preserve">is aware of </w:t>
      </w:r>
      <w:r w:rsidR="003367A4" w:rsidRPr="003367A4">
        <w:t xml:space="preserve">what is </w:t>
      </w:r>
      <w:r>
        <w:t xml:space="preserve">occurring </w:t>
      </w:r>
      <w:r w:rsidR="003367A4" w:rsidRPr="003367A4">
        <w:t>on the screen. Family members, educators, friends</w:t>
      </w:r>
      <w:r w:rsidR="0006359C">
        <w:t>,</w:t>
      </w:r>
      <w:r w:rsidR="003367A4" w:rsidRPr="003367A4">
        <w:t xml:space="preserve"> and service providers volunteer to </w:t>
      </w:r>
      <w:r>
        <w:t xml:space="preserve">develop the audio </w:t>
      </w:r>
      <w:r w:rsidR="003367A4" w:rsidRPr="003367A4">
        <w:t xml:space="preserve">descriptions. For more information on how </w:t>
      </w:r>
      <w:r>
        <w:t>“</w:t>
      </w:r>
      <w:proofErr w:type="spellStart"/>
      <w:r w:rsidR="003367A4" w:rsidRPr="003367A4">
        <w:t>YouDescribe</w:t>
      </w:r>
      <w:proofErr w:type="spellEnd"/>
      <w:r>
        <w:t>”</w:t>
      </w:r>
      <w:r w:rsidR="003367A4" w:rsidRPr="003367A4">
        <w:t>, visit their support and user information page</w:t>
      </w:r>
      <w:r>
        <w:t xml:space="preserve"> at</w:t>
      </w:r>
      <w:r w:rsidR="002C1870">
        <w:t xml:space="preserve"> </w:t>
      </w:r>
      <w:hyperlink r:id="rId10" w:history="1">
        <w:r w:rsidR="002C1870">
          <w:rPr>
            <w:rStyle w:val="Hyperlink"/>
          </w:rPr>
          <w:t>https://youdescribe.org/</w:t>
        </w:r>
      </w:hyperlink>
      <w:r>
        <w:rPr>
          <w:rStyle w:val="Hyperlink"/>
        </w:rPr>
        <w:t>.</w:t>
      </w:r>
    </w:p>
    <w:p w14:paraId="335EE5B2" w14:textId="77777777" w:rsidR="00D45CA2" w:rsidRDefault="0017362F" w:rsidP="003364E6">
      <w:pPr>
        <w:pStyle w:val="Heading3"/>
      </w:pPr>
      <w:bookmarkStart w:id="8" w:name="_Toc480972960"/>
      <w:bookmarkStart w:id="9" w:name="_Toc48042047"/>
      <w:r w:rsidRPr="0017362F">
        <w:t xml:space="preserve">Research Capacity </w:t>
      </w:r>
      <w:r w:rsidRPr="001F6BE6">
        <w:t>Building</w:t>
      </w:r>
      <w:bookmarkEnd w:id="8"/>
      <w:bookmarkEnd w:id="9"/>
    </w:p>
    <w:p w14:paraId="5A9EB9E6" w14:textId="07EA8655" w:rsidR="00D45CA2" w:rsidRDefault="004746FB" w:rsidP="0095770E">
      <w:pPr>
        <w:rPr>
          <w:color w:val="2E74B5" w:themeColor="accent1" w:themeShade="BF"/>
          <w:sz w:val="32"/>
        </w:rPr>
      </w:pPr>
      <w:r w:rsidRPr="00C861D3">
        <w:t>Research capacity</w:t>
      </w:r>
      <w:r w:rsidRPr="00BD241A">
        <w:t>-</w:t>
      </w:r>
      <w:r w:rsidRPr="00AB0FC6">
        <w:t>bu</w:t>
      </w:r>
      <w:r w:rsidRPr="0012659A">
        <w:t xml:space="preserve">ilding efforts under the </w:t>
      </w:r>
      <w:r w:rsidRPr="0059758E">
        <w:rPr>
          <w:bCs/>
        </w:rPr>
        <w:t>Advanced Rehabilitation Research Training Projects</w:t>
      </w:r>
      <w:r w:rsidR="006B10D1">
        <w:t>,</w:t>
      </w:r>
      <w:r w:rsidRPr="0059758E">
        <w:t xml:space="preserve"> Switzer Fellowship </w:t>
      </w:r>
      <w:r w:rsidRPr="00B86613">
        <w:t>Program</w:t>
      </w:r>
      <w:r w:rsidR="006B10D1">
        <w:t xml:space="preserve">, and </w:t>
      </w:r>
      <w:r w:rsidR="00CA2D0D" w:rsidRPr="00CA2D0D">
        <w:t>Disability and Rehabilitation Research Center</w:t>
      </w:r>
      <w:r w:rsidR="00CA2D0D">
        <w:t xml:space="preserve"> </w:t>
      </w:r>
      <w:r w:rsidR="006B10D1">
        <w:t xml:space="preserve">grant </w:t>
      </w:r>
      <w:r w:rsidR="00CA2D0D">
        <w:t>efforts</w:t>
      </w:r>
      <w:r w:rsidR="00EF1A81">
        <w:t>,</w:t>
      </w:r>
      <w:r w:rsidRPr="00B86613">
        <w:t xml:space="preserve"> </w:t>
      </w:r>
      <w:r>
        <w:t>develop</w:t>
      </w:r>
      <w:r w:rsidRPr="00B86613">
        <w:t xml:space="preserve"> a diverse cadre of </w:t>
      </w:r>
      <w:r>
        <w:t>emerging disability and rehabilitation researchers</w:t>
      </w:r>
      <w:r w:rsidRPr="00B86613">
        <w:t>.</w:t>
      </w:r>
      <w:r w:rsidR="00076D10">
        <w:t xml:space="preserve"> </w:t>
      </w:r>
      <w:r>
        <w:t xml:space="preserve">In addition, </w:t>
      </w:r>
      <w:r w:rsidR="00CA2D0D">
        <w:t>ACL</w:t>
      </w:r>
      <w:r>
        <w:t xml:space="preserve"> directs targeted resources to minority-serving institutions, such as Historically Black Colleges and Universities and Tribal Colleges and Universities, to develop and implement programs to build disability and rehabilitation research capacity</w:t>
      </w:r>
      <w:r w:rsidR="004351C4">
        <w:t>.</w:t>
      </w:r>
    </w:p>
    <w:p w14:paraId="164E9D66" w14:textId="77777777" w:rsidR="00D45CA2" w:rsidRDefault="0017362F" w:rsidP="003364E6">
      <w:pPr>
        <w:pStyle w:val="Heading3"/>
      </w:pPr>
      <w:bookmarkStart w:id="10" w:name="_Toc480972961"/>
      <w:bookmarkStart w:id="11" w:name="_Toc48042048"/>
      <w:r w:rsidRPr="0017362F">
        <w:t xml:space="preserve">Training and Technical </w:t>
      </w:r>
      <w:r w:rsidRPr="001F6BE6">
        <w:t>Assistance</w:t>
      </w:r>
      <w:r w:rsidRPr="0017362F">
        <w:t xml:space="preserve"> on the Americans with Disabilities Act (ADA)</w:t>
      </w:r>
      <w:bookmarkEnd w:id="10"/>
      <w:bookmarkEnd w:id="11"/>
    </w:p>
    <w:p w14:paraId="60F91AA9" w14:textId="10513780" w:rsidR="00D45CA2" w:rsidRDefault="00CA2D0D" w:rsidP="0095770E">
      <w:r>
        <w:t>ACL</w:t>
      </w:r>
      <w:r w:rsidR="004746FB" w:rsidRPr="00C861D3">
        <w:t xml:space="preserve"> </w:t>
      </w:r>
      <w:r w:rsidR="004746FB">
        <w:t>sponsors</w:t>
      </w:r>
      <w:r w:rsidR="004746FB" w:rsidRPr="00C861D3">
        <w:t xml:space="preserve"> the </w:t>
      </w:r>
      <w:r w:rsidR="004746FB" w:rsidRPr="001A62DB">
        <w:t>ADA</w:t>
      </w:r>
      <w:r w:rsidR="004746FB" w:rsidRPr="0012659A">
        <w:t xml:space="preserve"> National Network, which delivers </w:t>
      </w:r>
      <w:r w:rsidR="004746FB">
        <w:t xml:space="preserve">training, </w:t>
      </w:r>
      <w:r w:rsidR="004746FB" w:rsidRPr="0012659A">
        <w:t xml:space="preserve">technical assistance, </w:t>
      </w:r>
      <w:r w:rsidR="004746FB">
        <w:t xml:space="preserve">and dissemination of materials </w:t>
      </w:r>
      <w:r w:rsidR="00BF1DE0">
        <w:t xml:space="preserve">to </w:t>
      </w:r>
      <w:r w:rsidR="004746FB">
        <w:t xml:space="preserve">stakeholders with rights and responsibilities </w:t>
      </w:r>
      <w:r w:rsidR="004746FB" w:rsidRPr="00B86613">
        <w:t>under the ADA.</w:t>
      </w:r>
      <w:r w:rsidR="00076D10">
        <w:t xml:space="preserve"> </w:t>
      </w:r>
      <w:r w:rsidR="004746FB" w:rsidRPr="00B86613">
        <w:t>The ADA Participatory Action Research Consortium</w:t>
      </w:r>
      <w:r w:rsidR="004746FB" w:rsidRPr="00C861D3">
        <w:t xml:space="preserve"> complements the Network’s activities through </w:t>
      </w:r>
      <w:r w:rsidR="004746FB" w:rsidRPr="00C861D3">
        <w:lastRenderedPageBreak/>
        <w:t xml:space="preserve">research </w:t>
      </w:r>
      <w:r w:rsidR="004746FB" w:rsidRPr="001A62DB">
        <w:t>on factors influencing the community living of</w:t>
      </w:r>
      <w:r w:rsidR="00975DD6">
        <w:t xml:space="preserve"> </w:t>
      </w:r>
      <w:r w:rsidR="00F152F4">
        <w:t xml:space="preserve">individuals </w:t>
      </w:r>
      <w:r w:rsidR="004746FB" w:rsidRPr="001A62DB">
        <w:t>with disabilities</w:t>
      </w:r>
      <w:r w:rsidR="00B00764">
        <w:t xml:space="preserve"> at </w:t>
      </w:r>
      <w:r w:rsidR="00EF1A81">
        <w:t xml:space="preserve">regional, </w:t>
      </w:r>
      <w:r w:rsidR="004746FB" w:rsidRPr="00B86613">
        <w:t>state</w:t>
      </w:r>
      <w:r w:rsidR="004746FB">
        <w:t>,</w:t>
      </w:r>
      <w:r w:rsidR="004746FB" w:rsidRPr="00B86613">
        <w:t xml:space="preserve"> and community levels.</w:t>
      </w:r>
    </w:p>
    <w:p w14:paraId="4F809F9C" w14:textId="77777777" w:rsidR="00D45CA2" w:rsidRDefault="0017362F" w:rsidP="003364E6">
      <w:pPr>
        <w:pStyle w:val="Heading3"/>
      </w:pPr>
      <w:bookmarkStart w:id="12" w:name="_Toc480972962"/>
      <w:bookmarkStart w:id="13" w:name="_Toc48042049"/>
      <w:r w:rsidRPr="001F6BE6">
        <w:t>Knowledge</w:t>
      </w:r>
      <w:r w:rsidRPr="0017362F">
        <w:t xml:space="preserve"> Translation</w:t>
      </w:r>
      <w:bookmarkEnd w:id="12"/>
      <w:bookmarkEnd w:id="13"/>
    </w:p>
    <w:p w14:paraId="1477F1D3" w14:textId="1E096BEA" w:rsidR="00D45CA2" w:rsidRDefault="00CA2D0D" w:rsidP="0095770E">
      <w:r>
        <w:t>ACL</w:t>
      </w:r>
      <w:r w:rsidR="004746FB" w:rsidRPr="00C861D3">
        <w:t xml:space="preserve"> is committed to ensuring that </w:t>
      </w:r>
      <w:r w:rsidR="004746FB">
        <w:t xml:space="preserve">the products of its sponsored research and development are used to </w:t>
      </w:r>
      <w:r w:rsidR="004746FB" w:rsidRPr="00C861D3">
        <w:t xml:space="preserve">promote </w:t>
      </w:r>
      <w:r w:rsidR="004746FB">
        <w:t xml:space="preserve">the </w:t>
      </w:r>
      <w:r w:rsidR="004746FB" w:rsidRPr="00C861D3">
        <w:t>independent living</w:t>
      </w:r>
      <w:r w:rsidR="004746FB">
        <w:t>, health and function, employment, and community living outcomes</w:t>
      </w:r>
      <w:r w:rsidR="004746FB" w:rsidRPr="00C861D3">
        <w:t xml:space="preserve"> of individuals with disabiliti</w:t>
      </w:r>
      <w:r w:rsidR="004746FB" w:rsidRPr="00BD241A">
        <w:t>es.</w:t>
      </w:r>
      <w:r w:rsidR="00076D10">
        <w:t xml:space="preserve"> </w:t>
      </w:r>
      <w:r w:rsidR="004746FB" w:rsidRPr="00BD241A">
        <w:t>Through its Knowledge Tra</w:t>
      </w:r>
      <w:r w:rsidR="004746FB" w:rsidRPr="001A62DB">
        <w:t>nslation</w:t>
      </w:r>
      <w:r w:rsidR="004746FB" w:rsidRPr="0012659A">
        <w:t xml:space="preserve"> </w:t>
      </w:r>
      <w:r w:rsidR="004746FB" w:rsidRPr="00C861D3">
        <w:t>C</w:t>
      </w:r>
      <w:r w:rsidR="004746FB" w:rsidRPr="001A62DB">
        <w:t>enter</w:t>
      </w:r>
      <w:r w:rsidR="004746FB">
        <w:t>s</w:t>
      </w:r>
      <w:r w:rsidR="004746FB" w:rsidRPr="0012659A">
        <w:t xml:space="preserve">, </w:t>
      </w:r>
      <w:r>
        <w:t>ACL</w:t>
      </w:r>
      <w:r w:rsidR="004746FB" w:rsidRPr="00C861D3">
        <w:t xml:space="preserve"> ensures that new knowledge and products gained through</w:t>
      </w:r>
      <w:r w:rsidR="004746FB">
        <w:t xml:space="preserve"> </w:t>
      </w:r>
      <w:r w:rsidR="004746FB" w:rsidRPr="00C861D3">
        <w:t>research and development are effectively communicated to stakeholders and used to improve the lives of individuals with disabi</w:t>
      </w:r>
      <w:r w:rsidR="004746FB" w:rsidRPr="001A62DB">
        <w:t>lities.</w:t>
      </w:r>
    </w:p>
    <w:p w14:paraId="5884F06F" w14:textId="6A7DBE7D" w:rsidR="00D45CA2" w:rsidRDefault="00F80647" w:rsidP="003364E6">
      <w:pPr>
        <w:pStyle w:val="Heading3"/>
      </w:pPr>
      <w:bookmarkStart w:id="14" w:name="_Toc48042050"/>
      <w:bookmarkStart w:id="15" w:name="_Toc480972963"/>
      <w:r w:rsidRPr="00853BA6">
        <w:t xml:space="preserve">Ongoing </w:t>
      </w:r>
      <w:r w:rsidRPr="001F6BE6">
        <w:t>Activities</w:t>
      </w:r>
      <w:bookmarkEnd w:id="14"/>
      <w:r w:rsidRPr="00853BA6">
        <w:t xml:space="preserve"> </w:t>
      </w:r>
    </w:p>
    <w:bookmarkEnd w:id="15"/>
    <w:p w14:paraId="7F08C8C8" w14:textId="5A9E2EFC" w:rsidR="00D45CA2" w:rsidRDefault="001F2E7E" w:rsidP="0095770E">
      <w:r>
        <w:t xml:space="preserve">In March 2019, ACL published </w:t>
      </w:r>
      <w:r w:rsidR="00F4622F" w:rsidRPr="00A00E55">
        <w:t>NIDILRR</w:t>
      </w:r>
      <w:r w:rsidR="00F4622F">
        <w:t xml:space="preserve">’s </w:t>
      </w:r>
      <w:r w:rsidR="00F4622F" w:rsidRPr="00A00E55">
        <w:t>FY 2018–202</w:t>
      </w:r>
      <w:r w:rsidR="009228E5">
        <w:t>3</w:t>
      </w:r>
      <w:r w:rsidR="00F4622F" w:rsidRPr="00A00E55">
        <w:t xml:space="preserve"> Long-Range Plan</w:t>
      </w:r>
      <w:r>
        <w:t>, which</w:t>
      </w:r>
      <w:r w:rsidR="00F4622F">
        <w:t xml:space="preserve"> </w:t>
      </w:r>
      <w:r w:rsidR="006A6AFC">
        <w:t>outlines</w:t>
      </w:r>
      <w:r w:rsidR="0077569D">
        <w:t xml:space="preserve"> the </w:t>
      </w:r>
      <w:r w:rsidR="00F4622F" w:rsidRPr="00A00E55">
        <w:t>vision</w:t>
      </w:r>
      <w:r w:rsidR="0077569D">
        <w:t xml:space="preserve"> </w:t>
      </w:r>
      <w:r w:rsidR="006A6AFC">
        <w:t xml:space="preserve">and research agenda for NIDILRR programs </w:t>
      </w:r>
      <w:r w:rsidR="0077569D">
        <w:t xml:space="preserve">for the </w:t>
      </w:r>
      <w:r w:rsidR="006277AB">
        <w:t>coming</w:t>
      </w:r>
      <w:r w:rsidR="0077569D">
        <w:t xml:space="preserve"> years.</w:t>
      </w:r>
      <w:r w:rsidR="00076D10">
        <w:t xml:space="preserve"> </w:t>
      </w:r>
      <w:r w:rsidR="00A00E55">
        <w:t xml:space="preserve">The </w:t>
      </w:r>
      <w:r w:rsidR="00BF1DE0">
        <w:t xml:space="preserve">ACL </w:t>
      </w:r>
      <w:r w:rsidR="00A00E55">
        <w:t xml:space="preserve">Administrator </w:t>
      </w:r>
      <w:r w:rsidR="00C019D2">
        <w:t xml:space="preserve">has identified five </w:t>
      </w:r>
      <w:r w:rsidR="009E0450">
        <w:t>p</w:t>
      </w:r>
      <w:r w:rsidR="00C019D2">
        <w:t>illars</w:t>
      </w:r>
      <w:r w:rsidR="004E446B">
        <w:t xml:space="preserve">: </w:t>
      </w:r>
      <w:r w:rsidR="00C019D2" w:rsidRPr="009E1B80">
        <w:rPr>
          <w:i/>
          <w:iCs/>
        </w:rPr>
        <w:t>Connecting People to Resources</w:t>
      </w:r>
      <w:r w:rsidR="0086634B" w:rsidRPr="009E1B80">
        <w:rPr>
          <w:i/>
          <w:iCs/>
        </w:rPr>
        <w:t>,</w:t>
      </w:r>
      <w:r w:rsidR="00C019D2" w:rsidRPr="009E1B80">
        <w:rPr>
          <w:i/>
          <w:iCs/>
        </w:rPr>
        <w:t xml:space="preserve"> Supporting Families and Caregivers, Strengthening the Networks, Protecting Rights and Preventing Abuse</w:t>
      </w:r>
      <w:r w:rsidR="003E3876" w:rsidRPr="009E1B80">
        <w:rPr>
          <w:i/>
          <w:iCs/>
        </w:rPr>
        <w:t>,</w:t>
      </w:r>
      <w:r w:rsidR="00C019D2" w:rsidRPr="009E1B80">
        <w:rPr>
          <w:i/>
          <w:iCs/>
        </w:rPr>
        <w:t xml:space="preserve"> and Expanding Employment Opportunities</w:t>
      </w:r>
      <w:r w:rsidR="00C019D2">
        <w:t>.</w:t>
      </w:r>
      <w:r w:rsidR="00076D10">
        <w:t xml:space="preserve"> </w:t>
      </w:r>
      <w:r w:rsidR="005E0C5B">
        <w:t>The</w:t>
      </w:r>
      <w:r w:rsidR="0086634B">
        <w:t>se</w:t>
      </w:r>
      <w:r w:rsidR="00621860">
        <w:t xml:space="preserve"> </w:t>
      </w:r>
      <w:r w:rsidR="009E0450">
        <w:t>p</w:t>
      </w:r>
      <w:r w:rsidR="00621860">
        <w:t xml:space="preserve">illars </w:t>
      </w:r>
      <w:r w:rsidR="002736CB">
        <w:t xml:space="preserve">encompass </w:t>
      </w:r>
      <w:r w:rsidR="005E0C5B">
        <w:t>both aging and disability</w:t>
      </w:r>
      <w:r w:rsidR="002736CB">
        <w:t xml:space="preserve">, </w:t>
      </w:r>
      <w:r w:rsidR="005E0C5B">
        <w:t>and NIDILRR</w:t>
      </w:r>
      <w:r w:rsidR="006A6AFC">
        <w:t>’s</w:t>
      </w:r>
      <w:r w:rsidR="005E0C5B">
        <w:t xml:space="preserve"> </w:t>
      </w:r>
      <w:r w:rsidR="00621860">
        <w:t xml:space="preserve">research and </w:t>
      </w:r>
      <w:r w:rsidR="0086634B">
        <w:t xml:space="preserve">subject matter </w:t>
      </w:r>
      <w:r w:rsidR="00621860">
        <w:t xml:space="preserve">expertise </w:t>
      </w:r>
      <w:r w:rsidR="006A6AFC">
        <w:t>will support planning and implementation efforts in all</w:t>
      </w:r>
      <w:r w:rsidR="0086634B">
        <w:t xml:space="preserve"> </w:t>
      </w:r>
      <w:r w:rsidR="006A6AFC">
        <w:t xml:space="preserve">five </w:t>
      </w:r>
      <w:r w:rsidR="0086634B">
        <w:t>areas</w:t>
      </w:r>
      <w:r w:rsidR="00621860">
        <w:t>.</w:t>
      </w:r>
    </w:p>
    <w:p w14:paraId="4D26BE15" w14:textId="36502DE7" w:rsidR="00D45CA2" w:rsidRDefault="002736CB" w:rsidP="00315010">
      <w:r w:rsidRPr="00A00E55">
        <w:t>Strategic partnerships with other agencies in</w:t>
      </w:r>
      <w:r w:rsidR="003E3876">
        <w:t xml:space="preserve"> the </w:t>
      </w:r>
      <w:r w:rsidR="003E3876" w:rsidRPr="003E3876">
        <w:t>Department of Health and Human Services</w:t>
      </w:r>
      <w:r w:rsidRPr="00A00E55">
        <w:t xml:space="preserve"> </w:t>
      </w:r>
      <w:r w:rsidR="003E3876">
        <w:t>(</w:t>
      </w:r>
      <w:r w:rsidRPr="00A00E55">
        <w:t>HHS</w:t>
      </w:r>
      <w:r w:rsidR="003E3876">
        <w:t>)</w:t>
      </w:r>
      <w:r w:rsidRPr="00A00E55">
        <w:t xml:space="preserve"> and across the federal government </w:t>
      </w:r>
      <w:r w:rsidR="006A6AFC">
        <w:t>are also</w:t>
      </w:r>
      <w:r w:rsidRPr="00A00E55">
        <w:t xml:space="preserve"> instrumental in advancing </w:t>
      </w:r>
      <w:r w:rsidR="006A6AFC">
        <w:t xml:space="preserve">the research and impact of ACL’s </w:t>
      </w:r>
      <w:r w:rsidRPr="00A00E55">
        <w:t>NIDILRR.</w:t>
      </w:r>
      <w:r w:rsidR="00076D10">
        <w:t xml:space="preserve"> </w:t>
      </w:r>
      <w:r>
        <w:t>A</w:t>
      </w:r>
      <w:r w:rsidR="006A6AFC">
        <w:t>CL</w:t>
      </w:r>
      <w:r w:rsidR="00621860">
        <w:t xml:space="preserve"> will continue to </w:t>
      </w:r>
      <w:r w:rsidR="00D960EA">
        <w:t xml:space="preserve">enhance </w:t>
      </w:r>
      <w:r w:rsidR="008F7AAD">
        <w:t xml:space="preserve">its existing </w:t>
      </w:r>
      <w:r w:rsidR="00A00E55" w:rsidRPr="00A00E55">
        <w:t xml:space="preserve">partnerships </w:t>
      </w:r>
      <w:r w:rsidR="008F7AAD">
        <w:t xml:space="preserve">and seek out new collaborative opportunities within HHS and </w:t>
      </w:r>
      <w:r>
        <w:t xml:space="preserve">more broadly across the </w:t>
      </w:r>
      <w:r w:rsidR="003E3876">
        <w:t>f</w:t>
      </w:r>
      <w:r w:rsidR="008F7AAD">
        <w:t xml:space="preserve">ederal </w:t>
      </w:r>
      <w:r w:rsidR="00A00E55" w:rsidRPr="00A00E55">
        <w:t>disability and rehabilitation research communities</w:t>
      </w:r>
      <w:r>
        <w:t>.</w:t>
      </w:r>
      <w:r w:rsidR="00076D10">
        <w:t xml:space="preserve"> </w:t>
      </w:r>
      <w:r w:rsidR="006A6AFC">
        <w:t xml:space="preserve">ACL’s Director of </w:t>
      </w:r>
      <w:r w:rsidR="00A00E55" w:rsidRPr="00A00E55">
        <w:t>NIDILRR serves as the</w:t>
      </w:r>
      <w:r w:rsidR="005924AA">
        <w:t xml:space="preserve"> delegated </w:t>
      </w:r>
      <w:r w:rsidR="00A00E55" w:rsidRPr="00A00E55">
        <w:t xml:space="preserve">Chair of the Interagency Committee on Disability Research (ICDR). </w:t>
      </w:r>
      <w:r w:rsidR="008F5B96">
        <w:t xml:space="preserve">Under the ICDR </w:t>
      </w:r>
      <w:r w:rsidR="00BF1DE0">
        <w:t xml:space="preserve">Chair’s </w:t>
      </w:r>
      <w:r w:rsidR="008F5B96">
        <w:t xml:space="preserve">leadership, efforts will focus on building </w:t>
      </w:r>
      <w:r w:rsidR="008063A5">
        <w:t>up</w:t>
      </w:r>
      <w:r w:rsidR="00A00E55" w:rsidRPr="00A00E55">
        <w:t>on the ongoing work of the ICDR</w:t>
      </w:r>
      <w:r w:rsidR="006A6AFC">
        <w:t xml:space="preserve"> and</w:t>
      </w:r>
      <w:r w:rsidR="008F5B96">
        <w:t xml:space="preserve"> the achievement of </w:t>
      </w:r>
      <w:r w:rsidR="008F7AAD">
        <w:t xml:space="preserve">goals set forth in the recently drafted </w:t>
      </w:r>
      <w:r w:rsidR="00A00E55" w:rsidRPr="00A00E55">
        <w:t>government-wide disability and rehabilitation research strategic plan</w:t>
      </w:r>
      <w:r w:rsidR="00BE2B39">
        <w:t>.</w:t>
      </w:r>
      <w:bookmarkStart w:id="16" w:name="_Toc480972964"/>
      <w:r w:rsidR="00CB60F8">
        <w:br w:type="page"/>
      </w:r>
    </w:p>
    <w:p w14:paraId="625715E0" w14:textId="77777777" w:rsidR="00D45CA2" w:rsidRPr="000C05AB" w:rsidRDefault="001064C4" w:rsidP="00106F79">
      <w:pPr>
        <w:pStyle w:val="Heading1"/>
        <w:ind w:hanging="540"/>
        <w:jc w:val="center"/>
        <w:rPr>
          <w:b/>
          <w:bCs/>
          <w:color w:val="002060"/>
          <w:sz w:val="48"/>
          <w:szCs w:val="48"/>
        </w:rPr>
      </w:pPr>
      <w:bookmarkStart w:id="17" w:name="_Toc480972965"/>
      <w:bookmarkEnd w:id="16"/>
      <w:r w:rsidRPr="000C05AB">
        <w:rPr>
          <w:b/>
          <w:bCs/>
          <w:color w:val="002060"/>
          <w:sz w:val="48"/>
          <w:szCs w:val="48"/>
        </w:rPr>
        <w:lastRenderedPageBreak/>
        <w:t>201</w:t>
      </w:r>
      <w:r w:rsidR="00AE74AA" w:rsidRPr="000C05AB">
        <w:rPr>
          <w:b/>
          <w:bCs/>
          <w:color w:val="002060"/>
          <w:sz w:val="48"/>
          <w:szCs w:val="48"/>
        </w:rPr>
        <w:t>9</w:t>
      </w:r>
      <w:r w:rsidRPr="000C05AB">
        <w:rPr>
          <w:b/>
          <w:bCs/>
          <w:color w:val="002060"/>
          <w:sz w:val="48"/>
          <w:szCs w:val="48"/>
        </w:rPr>
        <w:t xml:space="preserve"> Report to Congress</w:t>
      </w:r>
      <w:bookmarkEnd w:id="17"/>
    </w:p>
    <w:p w14:paraId="41EF21F2" w14:textId="77777777" w:rsidR="00D45CA2" w:rsidRPr="000C05AB" w:rsidRDefault="001064C4" w:rsidP="00106F79">
      <w:pPr>
        <w:pStyle w:val="Heading2"/>
        <w:ind w:left="0"/>
        <w:jc w:val="center"/>
        <w:rPr>
          <w:b/>
          <w:bCs/>
          <w:color w:val="002060"/>
        </w:rPr>
      </w:pPr>
      <w:bookmarkStart w:id="18" w:name="_Toc480972966"/>
      <w:bookmarkStart w:id="19" w:name="_Toc48042051"/>
      <w:r w:rsidRPr="000C05AB">
        <w:rPr>
          <w:b/>
          <w:bCs/>
          <w:color w:val="002060"/>
        </w:rPr>
        <w:t>Introduction</w:t>
      </w:r>
      <w:bookmarkEnd w:id="18"/>
      <w:bookmarkEnd w:id="19"/>
    </w:p>
    <w:p w14:paraId="0DF60627" w14:textId="20219474" w:rsidR="00D45CA2" w:rsidRDefault="007D10E4" w:rsidP="0095770E">
      <w:r w:rsidRPr="005A561B">
        <w:t>The National Institute on Disability, Independent Living, and Rehabilitation Research (NIDILRR) is committed to improving independent living and community participation</w:t>
      </w:r>
      <w:r w:rsidR="00807025">
        <w:t xml:space="preserve"> among people with disabilities</w:t>
      </w:r>
      <w:r w:rsidRPr="005A561B">
        <w:t xml:space="preserve"> by funding research and development in the areas of community living and participation, health and function, and employment. This Annual Report to Congress will describe </w:t>
      </w:r>
      <w:r w:rsidR="00343E38">
        <w:t xml:space="preserve">activities and accomplishments </w:t>
      </w:r>
      <w:r w:rsidRPr="005A561B">
        <w:t xml:space="preserve">during the </w:t>
      </w:r>
      <w:r w:rsidR="004F17C8">
        <w:t>201</w:t>
      </w:r>
      <w:r w:rsidR="00AE74AA">
        <w:t>9</w:t>
      </w:r>
      <w:r w:rsidR="004F17C8" w:rsidRPr="005A561B">
        <w:t xml:space="preserve"> </w:t>
      </w:r>
      <w:r w:rsidRPr="005A561B">
        <w:t>fiscal year.</w:t>
      </w:r>
      <w:r w:rsidR="00076D10">
        <w:t xml:space="preserve"> </w:t>
      </w:r>
      <w:r w:rsidRPr="005A561B">
        <w:t xml:space="preserve">It begins with a summary of the organization’s historical foundation, </w:t>
      </w:r>
      <w:r w:rsidR="006B10D1">
        <w:t>provides</w:t>
      </w:r>
      <w:r w:rsidRPr="005A561B">
        <w:t xml:space="preserve"> a description of its funding process and fiscal allocations, and follows with descriptions of </w:t>
      </w:r>
      <w:r w:rsidR="00B55CA8" w:rsidRPr="005A561B">
        <w:t xml:space="preserve">programmatic </w:t>
      </w:r>
      <w:r w:rsidRPr="005A561B">
        <w:t>ou</w:t>
      </w:r>
      <w:r w:rsidR="00B55CA8" w:rsidRPr="005A561B">
        <w:t>tcomes impacting the community</w:t>
      </w:r>
      <w:r w:rsidR="001C15AE">
        <w:t>.</w:t>
      </w:r>
      <w:r w:rsidR="00076D10">
        <w:t xml:space="preserve"> </w:t>
      </w:r>
      <w:r w:rsidRPr="005A561B">
        <w:t>This repor</w:t>
      </w:r>
      <w:r w:rsidR="009A001F">
        <w:t>t concludes by describing ongoing</w:t>
      </w:r>
      <w:r w:rsidRPr="005A561B">
        <w:t xml:space="preserve"> initiatives and directions within the organization.</w:t>
      </w:r>
    </w:p>
    <w:p w14:paraId="3256B35A" w14:textId="5F15F9F2" w:rsidR="00D45CA2" w:rsidRDefault="007D10E4" w:rsidP="0095770E">
      <w:r w:rsidRPr="005A561B">
        <w:t xml:space="preserve">NIDILRR </w:t>
      </w:r>
      <w:r w:rsidR="00B55CA8" w:rsidRPr="005A561B">
        <w:t xml:space="preserve">was established by Congress to </w:t>
      </w:r>
      <w:r w:rsidR="00F152F4">
        <w:t xml:space="preserve">conduct research that would lead to improved </w:t>
      </w:r>
      <w:r w:rsidR="00343E38">
        <w:t xml:space="preserve">health and function, employment, and </w:t>
      </w:r>
      <w:r w:rsidR="00807025">
        <w:t xml:space="preserve">community living </w:t>
      </w:r>
      <w:r w:rsidR="00605926">
        <w:t>outcomes of individuals with disabilities.</w:t>
      </w:r>
      <w:r w:rsidR="00076D10">
        <w:t xml:space="preserve"> </w:t>
      </w:r>
      <w:r w:rsidR="00B55CA8" w:rsidRPr="005A561B">
        <w:t>First constituted</w:t>
      </w:r>
      <w:r w:rsidRPr="005A561B">
        <w:t xml:space="preserve"> as </w:t>
      </w:r>
      <w:r w:rsidRPr="00315010">
        <w:t>the National Institute on Handicapped Research by the Rehabilitation, Comprehensive Services, and Developmental Disabilities Amendments of 1978 (P.L. 95</w:t>
      </w:r>
      <w:r w:rsidR="008063A5" w:rsidRPr="00315010">
        <w:t>–</w:t>
      </w:r>
      <w:r w:rsidRPr="00315010">
        <w:t>602), amending the Rehabilitation Act of 1973</w:t>
      </w:r>
      <w:r w:rsidR="00B55CA8" w:rsidRPr="00315010">
        <w:t>, t</w:t>
      </w:r>
      <w:r w:rsidRPr="00315010">
        <w:t>he organization was originally housed in the Department of Health, Education, and Welfare, and later the Department of Education.</w:t>
      </w:r>
      <w:r w:rsidR="00076D10" w:rsidRPr="00315010">
        <w:t xml:space="preserve"> </w:t>
      </w:r>
      <w:r w:rsidRPr="00315010">
        <w:t xml:space="preserve">The 1986 amendments to the Rehabilitation Act changed the agency’s name to the National </w:t>
      </w:r>
      <w:r w:rsidRPr="005A561B">
        <w:t>Institute on Disability and Rehabilitation Research.</w:t>
      </w:r>
      <w:r w:rsidR="00076D10">
        <w:t xml:space="preserve"> </w:t>
      </w:r>
      <w:r w:rsidRPr="005A561B">
        <w:t xml:space="preserve">On July 22, 2014, the agency was renamed the National Institute on Disability, Independent Living, and Rehabilitation Research and transferred </w:t>
      </w:r>
      <w:r w:rsidRPr="00315010">
        <w:t xml:space="preserve">from </w:t>
      </w:r>
      <w:r w:rsidR="0035171C" w:rsidRPr="00315010">
        <w:t xml:space="preserve">the Department of Education </w:t>
      </w:r>
      <w:r w:rsidRPr="00315010">
        <w:t>to</w:t>
      </w:r>
      <w:r w:rsidRPr="005A561B">
        <w:t xml:space="preserve"> the Administration for Community Living (ACL) within the Department of Health and Human Services (HHS)</w:t>
      </w:r>
      <w:r w:rsidR="00C046E6">
        <w:t>.</w:t>
      </w:r>
      <w:r w:rsidR="00975DD6">
        <w:t xml:space="preserve"> </w:t>
      </w:r>
      <w:r w:rsidR="00C046E6">
        <w:t xml:space="preserve">This change occurred with the passage of </w:t>
      </w:r>
      <w:r w:rsidRPr="005A561B">
        <w:t>P.L. 113</w:t>
      </w:r>
      <w:r w:rsidR="008063A5" w:rsidRPr="00315010">
        <w:t>–</w:t>
      </w:r>
      <w:r w:rsidRPr="005A561B">
        <w:t>128, the Workforce Innovation and Opportunity Act.</w:t>
      </w:r>
      <w:r w:rsidR="00076D10">
        <w:t xml:space="preserve"> </w:t>
      </w:r>
      <w:r w:rsidR="00F07C62">
        <w:t xml:space="preserve">Thereafter, </w:t>
      </w:r>
      <w:r w:rsidRPr="005A561B">
        <w:t xml:space="preserve">NIDILRR personnel officially became HHS/ACL employees </w:t>
      </w:r>
      <w:r w:rsidR="00F07C62">
        <w:t>in</w:t>
      </w:r>
      <w:r w:rsidRPr="005A561B">
        <w:t xml:space="preserve"> February 2015</w:t>
      </w:r>
      <w:r w:rsidRPr="00315010">
        <w:t>.</w:t>
      </w:r>
    </w:p>
    <w:p w14:paraId="432B4B7A" w14:textId="04C2B8B2" w:rsidR="00D45CA2" w:rsidRDefault="00B00764" w:rsidP="0095770E">
      <w:r w:rsidRPr="00315010">
        <w:t xml:space="preserve">NIDILRR'S </w:t>
      </w:r>
      <w:r w:rsidR="007D10E4" w:rsidRPr="00633571">
        <w:t xml:space="preserve">mission is to generate new knowledge and promote its effective use to </w:t>
      </w:r>
      <w:r w:rsidR="00B745A2">
        <w:t>maximize the full inclusion and integration into society, employment, independent living, family support, and economic and social self-sufficiency of individuals with disabilities of all ages.</w:t>
      </w:r>
      <w:r w:rsidR="00076D10">
        <w:t xml:space="preserve"> </w:t>
      </w:r>
      <w:r w:rsidR="007D10E4" w:rsidRPr="00633571">
        <w:t>To accomplish this mission</w:t>
      </w:r>
      <w:r w:rsidR="00105B6F">
        <w:t>,</w:t>
      </w:r>
      <w:r w:rsidR="007D10E4" w:rsidRPr="00633571">
        <w:t xml:space="preserve"> NIDILRR:</w:t>
      </w:r>
    </w:p>
    <w:p w14:paraId="6EFB619B" w14:textId="77777777" w:rsidR="00D45CA2" w:rsidRDefault="007D10E4" w:rsidP="002E6495">
      <w:pPr>
        <w:pStyle w:val="ListParagraph"/>
      </w:pPr>
      <w:r w:rsidRPr="00633571">
        <w:t>Supports research, development, training, technical assistance, and related activities to build new knowledge.</w:t>
      </w:r>
    </w:p>
    <w:p w14:paraId="3CDC72CA" w14:textId="1945F42F" w:rsidR="00D45CA2" w:rsidRDefault="007D10E4" w:rsidP="002E6495">
      <w:pPr>
        <w:pStyle w:val="ListParagraph"/>
      </w:pPr>
      <w:r w:rsidRPr="00633571">
        <w:t>Promotes the transfer, use</w:t>
      </w:r>
      <w:r w:rsidR="00105B6F">
        <w:t>,</w:t>
      </w:r>
      <w:r w:rsidRPr="00633571">
        <w:t xml:space="preserve"> and adoption of technology for individuals with disabilities to improve </w:t>
      </w:r>
      <w:r w:rsidR="006B10D1">
        <w:t>health and function, employment, and community living and participation outcomes</w:t>
      </w:r>
      <w:r w:rsidRPr="00633571">
        <w:t>.</w:t>
      </w:r>
    </w:p>
    <w:p w14:paraId="702C9668" w14:textId="77777777" w:rsidR="00D45CA2" w:rsidRDefault="007D10E4" w:rsidP="002E6495">
      <w:pPr>
        <w:pStyle w:val="ListParagraph"/>
      </w:pPr>
      <w:r w:rsidRPr="00633571">
        <w:t xml:space="preserve">Provides for </w:t>
      </w:r>
      <w:r w:rsidR="00B745A2">
        <w:t xml:space="preserve">advanced </w:t>
      </w:r>
      <w:r w:rsidRPr="00633571">
        <w:t>research training to increase the number of qualified researchers, including researchers with disabilities and from minority backgrounds.</w:t>
      </w:r>
    </w:p>
    <w:p w14:paraId="79930A9D" w14:textId="2BB56267" w:rsidR="00D45CA2" w:rsidRDefault="007D10E4" w:rsidP="002E6495">
      <w:pPr>
        <w:pStyle w:val="ListParagraph"/>
      </w:pPr>
      <w:r w:rsidRPr="00633571">
        <w:lastRenderedPageBreak/>
        <w:t xml:space="preserve">Fosters widespread dissemination </w:t>
      </w:r>
      <w:r w:rsidR="000F5CBF">
        <w:t xml:space="preserve">and use </w:t>
      </w:r>
      <w:r w:rsidRPr="00633571">
        <w:t xml:space="preserve">of scientific and technological information to advance policy, practice, and services </w:t>
      </w:r>
      <w:r w:rsidR="000F5CBF">
        <w:t>that</w:t>
      </w:r>
      <w:r w:rsidRPr="00633571">
        <w:t xml:space="preserve"> improve outcomes </w:t>
      </w:r>
      <w:r w:rsidR="00B745A2">
        <w:t>of</w:t>
      </w:r>
      <w:r w:rsidRPr="00633571">
        <w:t xml:space="preserve"> people with disabilities.</w:t>
      </w:r>
    </w:p>
    <w:p w14:paraId="190B2C89" w14:textId="69229DD7" w:rsidR="00D45CA2" w:rsidRDefault="001064C4" w:rsidP="0095770E">
      <w:r w:rsidRPr="00AB0FC6">
        <w:t xml:space="preserve">NIDILRR programs </w:t>
      </w:r>
      <w:r w:rsidRPr="0012659A">
        <w:t xml:space="preserve">address </w:t>
      </w:r>
      <w:r w:rsidRPr="00B86613">
        <w:t>community living and participation, health and function, and employment</w:t>
      </w:r>
      <w:r>
        <w:t xml:space="preserve"> outcomes of people with disabilities</w:t>
      </w:r>
      <w:r w:rsidRPr="00315010">
        <w:t>.</w:t>
      </w:r>
      <w:r w:rsidR="00076D10" w:rsidRPr="00315010">
        <w:t xml:space="preserve"> </w:t>
      </w:r>
      <w:r w:rsidR="00F07C62">
        <w:t>I</w:t>
      </w:r>
      <w:r w:rsidRPr="00315010">
        <w:t xml:space="preserve">nvestments in research, development, knowledge translation, and capacity-building activities are carried out through the following discretionary grant-funding mechanisms: </w:t>
      </w:r>
    </w:p>
    <w:p w14:paraId="5CB85537" w14:textId="77777777" w:rsidR="00D45CA2" w:rsidRDefault="001064C4" w:rsidP="002E6495">
      <w:pPr>
        <w:pStyle w:val="ListParagraph"/>
      </w:pPr>
      <w:r w:rsidRPr="00315010">
        <w:rPr>
          <w:rStyle w:val="Bold"/>
        </w:rPr>
        <w:t>Rehabilitation Research and Training Centers (RRTC)</w:t>
      </w:r>
      <w:r w:rsidRPr="00315010">
        <w:t xml:space="preserve"> </w:t>
      </w:r>
      <w:r w:rsidRPr="0059758E">
        <w:t xml:space="preserve">conduct advanced research and training on </w:t>
      </w:r>
      <w:r w:rsidR="000F5CBF">
        <w:t xml:space="preserve">a wide variety of </w:t>
      </w:r>
      <w:r w:rsidRPr="0059758E">
        <w:t xml:space="preserve">health, </w:t>
      </w:r>
      <w:r>
        <w:t xml:space="preserve">rehabilitation, </w:t>
      </w:r>
      <w:r w:rsidRPr="0059758E">
        <w:t>employment</w:t>
      </w:r>
      <w:r>
        <w:t>,</w:t>
      </w:r>
      <w:r w:rsidRPr="00B86613">
        <w:t xml:space="preserve"> and community living topics.</w:t>
      </w:r>
    </w:p>
    <w:p w14:paraId="26AA09D5" w14:textId="77777777" w:rsidR="00D45CA2" w:rsidRDefault="001064C4" w:rsidP="002E6495">
      <w:pPr>
        <w:pStyle w:val="ListParagraph"/>
      </w:pPr>
      <w:r w:rsidRPr="00315010">
        <w:rPr>
          <w:rStyle w:val="Bold"/>
        </w:rPr>
        <w:t>Rehabilitation Engineering Research Centers (RERC)</w:t>
      </w:r>
      <w:r w:rsidRPr="00315010">
        <w:t xml:space="preserve"> c</w:t>
      </w:r>
      <w:r>
        <w:t>onduct</w:t>
      </w:r>
      <w:r w:rsidRPr="00B86613">
        <w:t xml:space="preserve"> </w:t>
      </w:r>
      <w:r w:rsidR="000F5CBF">
        <w:t xml:space="preserve">rehabilitation </w:t>
      </w:r>
      <w:r w:rsidRPr="00B86613">
        <w:t xml:space="preserve">engineering research and development </w:t>
      </w:r>
      <w:r w:rsidR="000F5CBF">
        <w:t xml:space="preserve">toward </w:t>
      </w:r>
      <w:r w:rsidRPr="00B86613">
        <w:t>techn</w:t>
      </w:r>
      <w:r>
        <w:t>ological</w:t>
      </w:r>
      <w:r w:rsidRPr="00B86613">
        <w:t xml:space="preserve"> solutions to rehabilitation problems or environmental barriers.</w:t>
      </w:r>
    </w:p>
    <w:p w14:paraId="6447E49A" w14:textId="3554AFF3" w:rsidR="00D45CA2" w:rsidRDefault="001064C4" w:rsidP="002E6495">
      <w:pPr>
        <w:pStyle w:val="ListParagraph"/>
      </w:pPr>
      <w:r w:rsidRPr="00315010">
        <w:rPr>
          <w:rStyle w:val="Bold"/>
        </w:rPr>
        <w:t>Disability and Rehabilitation Research Projects (DRRP)</w:t>
      </w:r>
      <w:r w:rsidRPr="00315010">
        <w:t xml:space="preserve"> conduct research, development, technical assistance, training, and utilization activities </w:t>
      </w:r>
      <w:r w:rsidR="00B745A2">
        <w:t xml:space="preserve">related to </w:t>
      </w:r>
      <w:r w:rsidRPr="00315010">
        <w:t>health, rehabilitation, employment, and community living topics.</w:t>
      </w:r>
    </w:p>
    <w:p w14:paraId="3519D8F0" w14:textId="77777777" w:rsidR="00D45CA2" w:rsidRDefault="001064C4" w:rsidP="002E6495">
      <w:pPr>
        <w:pStyle w:val="ListParagraph"/>
      </w:pPr>
      <w:r w:rsidRPr="00315010">
        <w:rPr>
          <w:rStyle w:val="Bold"/>
        </w:rPr>
        <w:t>Americans with Disabilities Act (ADA) National Network</w:t>
      </w:r>
      <w:r w:rsidRPr="00315010">
        <w:t xml:space="preserve"> projects conduct research and provide information, training</w:t>
      </w:r>
      <w:r w:rsidR="00105B6F" w:rsidRPr="00315010">
        <w:t>,</w:t>
      </w:r>
      <w:r w:rsidRPr="00315010">
        <w:t xml:space="preserve"> and technical assistance to ADA stakeholders.</w:t>
      </w:r>
    </w:p>
    <w:p w14:paraId="3BA445BB" w14:textId="77777777" w:rsidR="00D45CA2" w:rsidRDefault="001064C4" w:rsidP="002E6495">
      <w:pPr>
        <w:pStyle w:val="ListParagraph"/>
      </w:pPr>
      <w:r w:rsidRPr="00315010">
        <w:rPr>
          <w:rStyle w:val="Bold"/>
        </w:rPr>
        <w:t>Small Business Innovation Research (SBIR)</w:t>
      </w:r>
      <w:r w:rsidRPr="00315010">
        <w:t xml:space="preserve"> projects support small businesses to explore </w:t>
      </w:r>
      <w:r w:rsidR="00B745A2">
        <w:t xml:space="preserve">the </w:t>
      </w:r>
      <w:r w:rsidRPr="00315010">
        <w:t>feasibility</w:t>
      </w:r>
      <w:r w:rsidR="00105B6F" w:rsidRPr="00315010">
        <w:t xml:space="preserve"> and</w:t>
      </w:r>
      <w:r w:rsidRPr="00315010">
        <w:t xml:space="preserve"> develop or evaluate the commercialization potential of new technology products for people with disabilities.</w:t>
      </w:r>
    </w:p>
    <w:p w14:paraId="2813E8E8" w14:textId="700E34A4" w:rsidR="00D45CA2" w:rsidRDefault="001064C4" w:rsidP="002E6495">
      <w:pPr>
        <w:pStyle w:val="ListParagraph"/>
      </w:pPr>
      <w:r w:rsidRPr="00315010">
        <w:rPr>
          <w:rStyle w:val="Bold"/>
        </w:rPr>
        <w:t>Knowledge Translation</w:t>
      </w:r>
      <w:r w:rsidRPr="00315010">
        <w:t xml:space="preserve"> projects promote the use of research-based knowledge </w:t>
      </w:r>
      <w:r w:rsidR="00B745A2">
        <w:t>and products among</w:t>
      </w:r>
      <w:r w:rsidRPr="00315010">
        <w:t xml:space="preserve"> </w:t>
      </w:r>
      <w:r w:rsidR="00F07C62">
        <w:t>the community of disability research</w:t>
      </w:r>
      <w:r w:rsidRPr="00315010">
        <w:t xml:space="preserve"> stakeholders.</w:t>
      </w:r>
    </w:p>
    <w:p w14:paraId="1EDADB2F" w14:textId="40B6F778" w:rsidR="00D45CA2" w:rsidRDefault="001064C4" w:rsidP="002E6495">
      <w:pPr>
        <w:pStyle w:val="ListParagraph"/>
      </w:pPr>
      <w:r w:rsidRPr="00315010">
        <w:rPr>
          <w:rStyle w:val="Bold"/>
        </w:rPr>
        <w:t>Field-Initiated Projects (FIP)</w:t>
      </w:r>
      <w:r w:rsidRPr="00315010">
        <w:t xml:space="preserve"> conduct </w:t>
      </w:r>
      <w:r w:rsidR="0035171C" w:rsidRPr="00315010">
        <w:t>3</w:t>
      </w:r>
      <w:r w:rsidRPr="00315010">
        <w:t xml:space="preserve">-year studies on topics proposed by applicants to address </w:t>
      </w:r>
      <w:r w:rsidR="00B745A2">
        <w:t xml:space="preserve">a wide range of </w:t>
      </w:r>
      <w:r w:rsidRPr="00315010">
        <w:t xml:space="preserve">disability and rehabilitation </w:t>
      </w:r>
      <w:r w:rsidR="00B745A2">
        <w:t>topics</w:t>
      </w:r>
      <w:r w:rsidRPr="00315010">
        <w:t>.</w:t>
      </w:r>
    </w:p>
    <w:p w14:paraId="4D1757D1" w14:textId="77777777" w:rsidR="00D45CA2" w:rsidRDefault="001064C4" w:rsidP="002E6495">
      <w:pPr>
        <w:pStyle w:val="ListParagraph"/>
      </w:pPr>
      <w:r w:rsidRPr="00315010">
        <w:rPr>
          <w:rStyle w:val="Bold"/>
        </w:rPr>
        <w:t>Model Systems</w:t>
      </w:r>
      <w:r w:rsidRPr="00315010">
        <w:t xml:space="preserve"> programs in spinal cord injury</w:t>
      </w:r>
      <w:r w:rsidR="0003471F" w:rsidRPr="00315010">
        <w:t xml:space="preserve"> (SCI)</w:t>
      </w:r>
      <w:r w:rsidRPr="00315010">
        <w:t>, traumatic brain injury</w:t>
      </w:r>
      <w:r w:rsidR="0003471F" w:rsidRPr="00315010">
        <w:t xml:space="preserve"> (TBI)</w:t>
      </w:r>
      <w:r w:rsidRPr="00315010">
        <w:t>, and burn injury conduct research on rehabilitation and long-term outcomes of individuals with these conditions. Research in these programs includes collaborative, multisite research and collection and analysis of longitudinal data.</w:t>
      </w:r>
    </w:p>
    <w:p w14:paraId="1390BA2E" w14:textId="77777777" w:rsidR="00D45CA2" w:rsidRDefault="001064C4" w:rsidP="002E6495">
      <w:pPr>
        <w:pStyle w:val="ListParagraph"/>
      </w:pPr>
      <w:r w:rsidRPr="00315010">
        <w:rPr>
          <w:rStyle w:val="Bold"/>
        </w:rPr>
        <w:t>Advanced Rehabilitation Research Training Projects (ARRT)</w:t>
      </w:r>
      <w:r w:rsidRPr="00315010">
        <w:t xml:space="preserve"> support institutions of higher education to provide advanced interdisciplinary research training to postdoctoral Fellows.</w:t>
      </w:r>
    </w:p>
    <w:p w14:paraId="3243349A" w14:textId="77777777" w:rsidR="00D45CA2" w:rsidRDefault="001064C4" w:rsidP="002E6495">
      <w:pPr>
        <w:pStyle w:val="ListParagraph"/>
      </w:pPr>
      <w:r w:rsidRPr="00315010">
        <w:rPr>
          <w:rStyle w:val="Bold"/>
        </w:rPr>
        <w:t>Research Fellowship Program</w:t>
      </w:r>
      <w:r w:rsidR="00F773FC" w:rsidRPr="00315010">
        <w:rPr>
          <w:rStyle w:val="Bold"/>
        </w:rPr>
        <w:t>s</w:t>
      </w:r>
      <w:r w:rsidRPr="00315010">
        <w:rPr>
          <w:rStyle w:val="Bold"/>
        </w:rPr>
        <w:t>, or Mary E. Switzer Fellowships,</w:t>
      </w:r>
      <w:r w:rsidRPr="00315010">
        <w:t xml:space="preserve"> are awarded to qualified individuals to conduct </w:t>
      </w:r>
      <w:r w:rsidR="0035171C" w:rsidRPr="00315010">
        <w:t>1</w:t>
      </w:r>
      <w:r w:rsidRPr="00315010">
        <w:t>-year independent research projects.</w:t>
      </w:r>
    </w:p>
    <w:p w14:paraId="5745D322" w14:textId="7D5393E3" w:rsidR="00106F79" w:rsidRDefault="001064C4" w:rsidP="002E6495">
      <w:pPr>
        <w:pStyle w:val="ListParagraph"/>
      </w:pPr>
      <w:r w:rsidRPr="00315010">
        <w:rPr>
          <w:rStyle w:val="Bold"/>
        </w:rPr>
        <w:t>Section 21</w:t>
      </w:r>
      <w:r w:rsidRPr="00315010">
        <w:t xml:space="preserve"> projects focus on research capacity building for minority-serving institutions, including Historically Black Colleges and Universities and other institutions with significant racial/ethnic minority student populations.</w:t>
      </w:r>
      <w:r w:rsidR="00076D10" w:rsidRPr="00315010">
        <w:t xml:space="preserve"> </w:t>
      </w:r>
      <w:r w:rsidRPr="00315010">
        <w:t>Section 21 of the Rehabilitation Act requires that 1</w:t>
      </w:r>
      <w:r w:rsidR="00105B6F" w:rsidRPr="00315010">
        <w:t> percent</w:t>
      </w:r>
      <w:r w:rsidRPr="00315010">
        <w:t xml:space="preserve"> of NIDILRR </w:t>
      </w:r>
      <w:r w:rsidR="00F07C62">
        <w:t xml:space="preserve">program </w:t>
      </w:r>
      <w:r w:rsidRPr="00315010">
        <w:t xml:space="preserve">appropriations be </w:t>
      </w:r>
      <w:r w:rsidR="00FB3D2B" w:rsidRPr="00315010">
        <w:t xml:space="preserve">invested </w:t>
      </w:r>
      <w:r w:rsidRPr="00315010">
        <w:t>to address traditionally underserved populations.</w:t>
      </w:r>
    </w:p>
    <w:p w14:paraId="2CC19B5D" w14:textId="77777777" w:rsidR="00106F79" w:rsidRDefault="00106F79">
      <w:pPr>
        <w:spacing w:after="160" w:line="259" w:lineRule="auto"/>
        <w:rPr>
          <w:sz w:val="22"/>
        </w:rPr>
      </w:pPr>
      <w:r>
        <w:br w:type="page"/>
      </w:r>
    </w:p>
    <w:p w14:paraId="1A721ABA" w14:textId="77777777" w:rsidR="00D45CA2" w:rsidRPr="00106F79" w:rsidRDefault="001064C4" w:rsidP="00106F79">
      <w:pPr>
        <w:pStyle w:val="Heading2"/>
        <w:ind w:hanging="540"/>
        <w:jc w:val="center"/>
        <w:rPr>
          <w:b/>
          <w:bCs/>
          <w:color w:val="002060"/>
        </w:rPr>
      </w:pPr>
      <w:bookmarkStart w:id="20" w:name="_Toc480972967"/>
      <w:bookmarkStart w:id="21" w:name="_Toc48042052"/>
      <w:r w:rsidRPr="00106F79">
        <w:rPr>
          <w:b/>
          <w:bCs/>
          <w:color w:val="002060"/>
        </w:rPr>
        <w:lastRenderedPageBreak/>
        <w:t xml:space="preserve">Grant </w:t>
      </w:r>
      <w:r w:rsidR="00FE60A7" w:rsidRPr="00106F79">
        <w:rPr>
          <w:b/>
          <w:bCs/>
          <w:color w:val="002060"/>
        </w:rPr>
        <w:t>Competitions – Year in Review</w:t>
      </w:r>
      <w:bookmarkEnd w:id="20"/>
      <w:bookmarkEnd w:id="21"/>
    </w:p>
    <w:p w14:paraId="2678002D" w14:textId="77777777" w:rsidR="00D45CA2" w:rsidRDefault="001064C4" w:rsidP="003364E6">
      <w:pPr>
        <w:pStyle w:val="Heading3"/>
      </w:pPr>
      <w:bookmarkStart w:id="22" w:name="_Toc480972968"/>
      <w:bookmarkStart w:id="23" w:name="_Toc48042053"/>
      <w:r w:rsidRPr="000C719C">
        <w:t xml:space="preserve">Grant </w:t>
      </w:r>
      <w:r w:rsidRPr="001F6BE6">
        <w:t>Competition</w:t>
      </w:r>
      <w:r w:rsidRPr="000C719C">
        <w:t xml:space="preserve"> and Peer Review Process</w:t>
      </w:r>
      <w:bookmarkEnd w:id="22"/>
      <w:bookmarkEnd w:id="23"/>
    </w:p>
    <w:p w14:paraId="64AB976F" w14:textId="3D3444BA" w:rsidR="00D45CA2" w:rsidRDefault="00F07C62" w:rsidP="0095770E">
      <w:r>
        <w:t xml:space="preserve">ACL’s </w:t>
      </w:r>
      <w:r w:rsidR="000961F8" w:rsidRPr="005A561B">
        <w:t xml:space="preserve">NIDILRR sponsors disability </w:t>
      </w:r>
      <w:r w:rsidR="00EF0ABA">
        <w:t xml:space="preserve">and rehabilitation </w:t>
      </w:r>
      <w:r w:rsidR="000961F8" w:rsidRPr="005A561B">
        <w:t xml:space="preserve">research </w:t>
      </w:r>
      <w:r w:rsidR="00515D78">
        <w:t xml:space="preserve">and development </w:t>
      </w:r>
      <w:r w:rsidR="000961F8" w:rsidRPr="005A561B">
        <w:t xml:space="preserve">in the </w:t>
      </w:r>
      <w:r w:rsidR="00515D78">
        <w:t xml:space="preserve">outcome </w:t>
      </w:r>
      <w:r w:rsidR="000961F8" w:rsidRPr="005A561B">
        <w:t>domains of community living and participation, health and function, and employment.</w:t>
      </w:r>
      <w:r w:rsidR="00076D10">
        <w:t xml:space="preserve"> </w:t>
      </w:r>
      <w:r w:rsidR="000961F8" w:rsidRPr="005A561B">
        <w:t>Funding is provided to the research community through its funding mechanisms, with priorities within these mechanisms determined by the agency.</w:t>
      </w:r>
      <w:r w:rsidR="00076D10">
        <w:t xml:space="preserve"> </w:t>
      </w:r>
      <w:r>
        <w:t>A</w:t>
      </w:r>
      <w:r w:rsidR="000961F8" w:rsidRPr="005A561B">
        <w:t xml:space="preserve"> rigorous peer review process</w:t>
      </w:r>
      <w:r>
        <w:t xml:space="preserve"> is utilized for all research grant competitions</w:t>
      </w:r>
      <w:r w:rsidR="000961F8" w:rsidRPr="005A561B">
        <w:t xml:space="preserve">, as required by </w:t>
      </w:r>
      <w:r w:rsidR="00B745A2">
        <w:t xml:space="preserve">authorizing statute and </w:t>
      </w:r>
      <w:r w:rsidR="000961F8" w:rsidRPr="005A561B">
        <w:t>federal regulation</w:t>
      </w:r>
      <w:r w:rsidR="00B745A2">
        <w:t xml:space="preserve">. </w:t>
      </w:r>
      <w:r>
        <w:t>I</w:t>
      </w:r>
      <w:r w:rsidR="000961F8" w:rsidRPr="005A561B">
        <w:t xml:space="preserve">nternal and external program evaluation </w:t>
      </w:r>
      <w:r>
        <w:t xml:space="preserve">is also critical in </w:t>
      </w:r>
      <w:r w:rsidR="000961F8" w:rsidRPr="005A561B">
        <w:t>ensur</w:t>
      </w:r>
      <w:r>
        <w:t>ing</w:t>
      </w:r>
      <w:r w:rsidR="000961F8" w:rsidRPr="005A561B">
        <w:t xml:space="preserve"> the quality of sponsored research and development activities.</w:t>
      </w:r>
      <w:r w:rsidR="00076D10">
        <w:t xml:space="preserve"> </w:t>
      </w:r>
      <w:r w:rsidR="00B02CC0" w:rsidRPr="005A561B">
        <w:t xml:space="preserve">Subject </w:t>
      </w:r>
      <w:r w:rsidR="000961F8" w:rsidRPr="005A561B">
        <w:t>matter experts</w:t>
      </w:r>
      <w:r w:rsidR="00D65121">
        <w:t>,</w:t>
      </w:r>
      <w:r w:rsidR="000961F8" w:rsidRPr="005A561B">
        <w:t xml:space="preserve"> with the appropriate credentials and content knowledge</w:t>
      </w:r>
      <w:r w:rsidR="00D65121">
        <w:t>,</w:t>
      </w:r>
      <w:r w:rsidR="000961F8" w:rsidRPr="005A561B">
        <w:t xml:space="preserve"> </w:t>
      </w:r>
      <w:r w:rsidR="00C046E6">
        <w:t xml:space="preserve">evaluate </w:t>
      </w:r>
      <w:r w:rsidR="000961F8" w:rsidRPr="005A561B">
        <w:t>the scientific, technical, and management aspects of proposals submitted in response to funding opportunity announcements.</w:t>
      </w:r>
      <w:r w:rsidR="00076D10">
        <w:t xml:space="preserve"> </w:t>
      </w:r>
      <w:r w:rsidR="000961F8" w:rsidRPr="005A561B">
        <w:t xml:space="preserve">This </w:t>
      </w:r>
      <w:r>
        <w:t>approach</w:t>
      </w:r>
      <w:r w:rsidR="000961F8" w:rsidRPr="005A561B">
        <w:t xml:space="preserve"> generates an average score across reviewers, reducing bias and</w:t>
      </w:r>
      <w:r w:rsidR="000961F8" w:rsidRPr="004746FB">
        <w:t xml:space="preserve"> facilitating the ranking of projects by scientific merit</w:t>
      </w:r>
      <w:r>
        <w:t xml:space="preserve">, and </w:t>
      </w:r>
      <w:r w:rsidR="00C31EF9">
        <w:t xml:space="preserve">only the </w:t>
      </w:r>
      <w:r w:rsidR="000961F8" w:rsidRPr="004746FB">
        <w:t>high</w:t>
      </w:r>
      <w:r w:rsidR="000961F8" w:rsidRPr="005A561B">
        <w:t>est-ranking proposals for funding.</w:t>
      </w:r>
    </w:p>
    <w:p w14:paraId="25DD7C68" w14:textId="77777777" w:rsidR="00D45CA2" w:rsidRDefault="00B33D0E" w:rsidP="003364E6">
      <w:pPr>
        <w:pStyle w:val="Heading3"/>
      </w:pPr>
      <w:bookmarkStart w:id="24" w:name="_Toc48042054"/>
      <w:r>
        <w:t>Grant Competitions</w:t>
      </w:r>
      <w:bookmarkEnd w:id="24"/>
    </w:p>
    <w:p w14:paraId="3CFA57A8" w14:textId="0949A172" w:rsidR="00D45CA2" w:rsidRDefault="00522EBB" w:rsidP="0095770E">
      <w:r w:rsidRPr="005A561B">
        <w:t xml:space="preserve">Table </w:t>
      </w:r>
      <w:r w:rsidR="00A02A55">
        <w:t>1</w:t>
      </w:r>
      <w:r w:rsidRPr="005A561B">
        <w:t xml:space="preserve"> </w:t>
      </w:r>
      <w:r w:rsidR="00F07C62">
        <w:t>provides a snapshot of</w:t>
      </w:r>
      <w:r w:rsidRPr="005A561B">
        <w:t xml:space="preserve"> </w:t>
      </w:r>
      <w:r w:rsidR="00A945E7">
        <w:t>NIDILRR</w:t>
      </w:r>
      <w:r w:rsidR="00F07C62">
        <w:t xml:space="preserve"> program</w:t>
      </w:r>
      <w:r w:rsidRPr="005A561B">
        <w:t xml:space="preserve"> FY</w:t>
      </w:r>
      <w:r w:rsidR="00B33D0E">
        <w:t xml:space="preserve"> </w:t>
      </w:r>
      <w:r w:rsidR="00690C8A">
        <w:t>2019</w:t>
      </w:r>
      <w:r w:rsidR="004F17C8" w:rsidRPr="005A561B">
        <w:t xml:space="preserve"> </w:t>
      </w:r>
      <w:r w:rsidRPr="005A561B">
        <w:t>grant competition</w:t>
      </w:r>
      <w:r w:rsidR="00515D78">
        <w:t>s</w:t>
      </w:r>
      <w:r w:rsidRPr="005A561B">
        <w:t>.</w:t>
      </w:r>
      <w:r w:rsidR="00076D10">
        <w:t xml:space="preserve"> </w:t>
      </w:r>
      <w:r w:rsidRPr="005A561B">
        <w:t>The number of eligible applicants, review panels, reviewers, awards made, and percentage of applicants receiving funding are shown.</w:t>
      </w:r>
      <w:r w:rsidR="00076D10">
        <w:t xml:space="preserve"> </w:t>
      </w:r>
      <w:r w:rsidR="00515D78">
        <w:t>A large percentage of applications receive high peer review scores that indicate strong technical merit and significant need.</w:t>
      </w:r>
      <w:r w:rsidR="00076D10">
        <w:t xml:space="preserve"> </w:t>
      </w:r>
      <w:r w:rsidR="00F07C62">
        <w:t>Due to the</w:t>
      </w:r>
      <w:r w:rsidR="00515D78">
        <w:t xml:space="preserve"> limited </w:t>
      </w:r>
      <w:r w:rsidR="00F07C62">
        <w:t xml:space="preserve">nature of program funds, </w:t>
      </w:r>
      <w:r w:rsidR="00515D78">
        <w:t>only a small percentage of applicants receive grants each year.</w:t>
      </w:r>
      <w:r w:rsidR="00975DD6">
        <w:t xml:space="preserve"> </w:t>
      </w:r>
    </w:p>
    <w:p w14:paraId="6B019282" w14:textId="77777777" w:rsidR="00FE60A7" w:rsidRPr="002903C5" w:rsidRDefault="00522EBB" w:rsidP="002E6495">
      <w:pPr>
        <w:pStyle w:val="ExhibitHead"/>
      </w:pPr>
      <w:r w:rsidRPr="002903C5">
        <w:t xml:space="preserve">Table </w:t>
      </w:r>
      <w:r w:rsidR="00A02A55" w:rsidRPr="002903C5">
        <w:t>1</w:t>
      </w:r>
      <w:r w:rsidRPr="002903C5">
        <w:t xml:space="preserve">. NIDILRR Peer Review Process Overview, FY </w:t>
      </w:r>
      <w:r w:rsidR="004F17C8" w:rsidRPr="002903C5">
        <w:t>201</w:t>
      </w:r>
      <w:r w:rsidR="00FE60A7" w:rsidRPr="002903C5">
        <w:t>9</w:t>
      </w:r>
    </w:p>
    <w:tbl>
      <w:tblPr>
        <w:tblStyle w:val="NIDILRRTable"/>
        <w:tblW w:w="5000" w:type="pct"/>
        <w:tblBorders>
          <w:insideH w:val="single" w:sz="6" w:space="0" w:color="2F5496" w:themeColor="accent5" w:themeShade="BF"/>
          <w:insideV w:val="single" w:sz="6" w:space="0" w:color="2F5496" w:themeColor="accent5" w:themeShade="BF"/>
        </w:tblBorders>
        <w:tblLook w:val="04E0" w:firstRow="1" w:lastRow="1" w:firstColumn="1" w:lastColumn="0" w:noHBand="0" w:noVBand="1"/>
      </w:tblPr>
      <w:tblGrid>
        <w:gridCol w:w="3262"/>
        <w:gridCol w:w="1324"/>
        <w:gridCol w:w="972"/>
        <w:gridCol w:w="1324"/>
        <w:gridCol w:w="1149"/>
        <w:gridCol w:w="1329"/>
      </w:tblGrid>
      <w:tr w:rsidR="00A27B3C" w:rsidRPr="00315010" w14:paraId="63A57942" w14:textId="77777777" w:rsidTr="006C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3" w:type="pct"/>
            <w:hideMark/>
          </w:tcPr>
          <w:p w14:paraId="365E7432" w14:textId="77777777" w:rsidR="004714F8" w:rsidRPr="00315010" w:rsidRDefault="004714F8" w:rsidP="00EC6535">
            <w:pPr>
              <w:pStyle w:val="NoSpacing"/>
            </w:pPr>
            <w:r w:rsidRPr="00315010">
              <w:t>Grant Opportunity</w:t>
            </w:r>
          </w:p>
        </w:tc>
        <w:tc>
          <w:tcPr>
            <w:tcW w:w="707" w:type="pct"/>
            <w:hideMark/>
          </w:tcPr>
          <w:p w14:paraId="609C7C73" w14:textId="77777777" w:rsidR="004714F8" w:rsidRPr="00315010" w:rsidRDefault="004714F8" w:rsidP="00EC6535">
            <w:pPr>
              <w:pStyle w:val="NoSpacing"/>
              <w:cnfStyle w:val="100000000000" w:firstRow="1" w:lastRow="0" w:firstColumn="0" w:lastColumn="0" w:oddVBand="0" w:evenVBand="0" w:oddHBand="0" w:evenHBand="0" w:firstRowFirstColumn="0" w:firstRowLastColumn="0" w:lastRowFirstColumn="0" w:lastRowLastColumn="0"/>
            </w:pPr>
            <w:r w:rsidRPr="00315010">
              <w:t># Eligible Applicants</w:t>
            </w:r>
          </w:p>
        </w:tc>
        <w:tc>
          <w:tcPr>
            <w:tcW w:w="519" w:type="pct"/>
            <w:hideMark/>
          </w:tcPr>
          <w:p w14:paraId="6E5F4342" w14:textId="77777777" w:rsidR="004714F8" w:rsidRPr="00315010" w:rsidRDefault="004714F8" w:rsidP="00EC6535">
            <w:pPr>
              <w:pStyle w:val="NoSpacing"/>
              <w:cnfStyle w:val="100000000000" w:firstRow="1" w:lastRow="0" w:firstColumn="0" w:lastColumn="0" w:oddVBand="0" w:evenVBand="0" w:oddHBand="0" w:evenHBand="0" w:firstRowFirstColumn="0" w:firstRowLastColumn="0" w:lastRowFirstColumn="0" w:lastRowLastColumn="0"/>
            </w:pPr>
            <w:r w:rsidRPr="00315010">
              <w:t># Panels</w:t>
            </w:r>
          </w:p>
        </w:tc>
        <w:tc>
          <w:tcPr>
            <w:tcW w:w="707" w:type="pct"/>
            <w:hideMark/>
          </w:tcPr>
          <w:p w14:paraId="57A42200" w14:textId="77777777" w:rsidR="004714F8" w:rsidRPr="00315010" w:rsidRDefault="004714F8" w:rsidP="00EC6535">
            <w:pPr>
              <w:pStyle w:val="NoSpacing"/>
              <w:cnfStyle w:val="100000000000" w:firstRow="1" w:lastRow="0" w:firstColumn="0" w:lastColumn="0" w:oddVBand="0" w:evenVBand="0" w:oddHBand="0" w:evenHBand="0" w:firstRowFirstColumn="0" w:firstRowLastColumn="0" w:lastRowFirstColumn="0" w:lastRowLastColumn="0"/>
            </w:pPr>
            <w:r w:rsidRPr="00315010">
              <w:t># Reviewers</w:t>
            </w:r>
          </w:p>
        </w:tc>
        <w:tc>
          <w:tcPr>
            <w:tcW w:w="614" w:type="pct"/>
            <w:hideMark/>
          </w:tcPr>
          <w:p w14:paraId="4EB950E9" w14:textId="77777777" w:rsidR="004714F8" w:rsidRPr="00315010" w:rsidRDefault="004714F8" w:rsidP="00EC6535">
            <w:pPr>
              <w:pStyle w:val="NoSpacing"/>
              <w:cnfStyle w:val="100000000000" w:firstRow="1" w:lastRow="0" w:firstColumn="0" w:lastColumn="0" w:oddVBand="0" w:evenVBand="0" w:oddHBand="0" w:evenHBand="0" w:firstRowFirstColumn="0" w:firstRowLastColumn="0" w:lastRowFirstColumn="0" w:lastRowLastColumn="0"/>
            </w:pPr>
            <w:r w:rsidRPr="00315010">
              <w:t># Awards Made</w:t>
            </w:r>
          </w:p>
        </w:tc>
        <w:tc>
          <w:tcPr>
            <w:tcW w:w="710" w:type="pct"/>
          </w:tcPr>
          <w:p w14:paraId="3661DE9A" w14:textId="77777777" w:rsidR="004714F8" w:rsidRPr="00315010" w:rsidRDefault="004714F8" w:rsidP="00EC6535">
            <w:pPr>
              <w:pStyle w:val="NoSpacing"/>
              <w:cnfStyle w:val="100000000000" w:firstRow="1" w:lastRow="0" w:firstColumn="0" w:lastColumn="0" w:oddVBand="0" w:evenVBand="0" w:oddHBand="0" w:evenHBand="0" w:firstRowFirstColumn="0" w:firstRowLastColumn="0" w:lastRowFirstColumn="0" w:lastRowLastColumn="0"/>
            </w:pPr>
            <w:r w:rsidRPr="00315010">
              <w:t>% of Applicants Receiving Funding</w:t>
            </w:r>
          </w:p>
        </w:tc>
      </w:tr>
      <w:tr w:rsidR="00EC6535" w:rsidRPr="00315010" w14:paraId="68F3351D"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Pr>
          <w:p w14:paraId="5E29C579" w14:textId="77777777" w:rsidR="004714F8" w:rsidRPr="00315010" w:rsidRDefault="004714F8" w:rsidP="00EC6535">
            <w:pPr>
              <w:pStyle w:val="NoSpacing"/>
            </w:pPr>
            <w:r w:rsidRPr="00315010">
              <w:t>ARRT H&amp;F</w:t>
            </w:r>
          </w:p>
        </w:tc>
        <w:tc>
          <w:tcPr>
            <w:tcW w:w="707" w:type="pct"/>
          </w:tcPr>
          <w:p w14:paraId="03898D6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6</w:t>
            </w:r>
          </w:p>
        </w:tc>
        <w:tc>
          <w:tcPr>
            <w:tcW w:w="519" w:type="pct"/>
          </w:tcPr>
          <w:p w14:paraId="4F023EBF"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Pr>
          <w:p w14:paraId="242E042C"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Pr>
          <w:p w14:paraId="1462DD3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2FCD1033"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16.7%</w:t>
            </w:r>
          </w:p>
        </w:tc>
      </w:tr>
      <w:tr w:rsidR="00EC6535" w:rsidRPr="00315010" w14:paraId="17ABE830"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tcPr>
          <w:p w14:paraId="55498967" w14:textId="77777777" w:rsidR="004714F8" w:rsidRPr="00315010" w:rsidRDefault="004714F8" w:rsidP="00EC6535">
            <w:pPr>
              <w:pStyle w:val="NoSpacing"/>
            </w:pPr>
            <w:r w:rsidRPr="00315010">
              <w:t>ARRT CL&amp;P</w:t>
            </w:r>
          </w:p>
        </w:tc>
        <w:tc>
          <w:tcPr>
            <w:tcW w:w="707" w:type="pct"/>
          </w:tcPr>
          <w:p w14:paraId="0129158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519" w:type="pct"/>
          </w:tcPr>
          <w:p w14:paraId="202B9F1B" w14:textId="77777777" w:rsidR="002E0554" w:rsidRPr="00315010" w:rsidRDefault="002E0554"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Pr>
          <w:p w14:paraId="44839817" w14:textId="77777777" w:rsidR="004714F8" w:rsidRPr="00315010" w:rsidRDefault="002E0554"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Pr>
          <w:p w14:paraId="076E821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Pr>
          <w:p w14:paraId="3580578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20%</w:t>
            </w:r>
          </w:p>
        </w:tc>
      </w:tr>
      <w:tr w:rsidR="00EC6535" w:rsidRPr="00315010" w14:paraId="316EC071"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Pr>
          <w:p w14:paraId="38F727BE" w14:textId="77777777" w:rsidR="004714F8" w:rsidRPr="00315010" w:rsidRDefault="004714F8" w:rsidP="00EC6535">
            <w:pPr>
              <w:pStyle w:val="NoSpacing"/>
            </w:pPr>
            <w:r w:rsidRPr="00315010">
              <w:t>ARRT E</w:t>
            </w:r>
            <w:r w:rsidR="0027113D" w:rsidRPr="00315010">
              <w:t>MP</w:t>
            </w:r>
          </w:p>
        </w:tc>
        <w:tc>
          <w:tcPr>
            <w:tcW w:w="707" w:type="pct"/>
          </w:tcPr>
          <w:p w14:paraId="7CBC879A"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6</w:t>
            </w:r>
          </w:p>
        </w:tc>
        <w:tc>
          <w:tcPr>
            <w:tcW w:w="519" w:type="pct"/>
          </w:tcPr>
          <w:p w14:paraId="67AB0824" w14:textId="5DF83C4E" w:rsidR="004714F8" w:rsidRPr="00315010" w:rsidRDefault="005924AA" w:rsidP="00A27B3C">
            <w:pPr>
              <w:pStyle w:val="CellPad"/>
              <w:cnfStyle w:val="000000100000" w:firstRow="0" w:lastRow="0" w:firstColumn="0" w:lastColumn="0" w:oddVBand="0" w:evenVBand="0" w:oddHBand="1" w:evenHBand="0" w:firstRowFirstColumn="0" w:firstRowLastColumn="0" w:lastRowFirstColumn="0" w:lastRowLastColumn="0"/>
            </w:pPr>
            <w:r>
              <w:t>--</w:t>
            </w:r>
          </w:p>
        </w:tc>
        <w:tc>
          <w:tcPr>
            <w:tcW w:w="707" w:type="pct"/>
          </w:tcPr>
          <w:p w14:paraId="27644E2E" w14:textId="68002A44" w:rsidR="004714F8" w:rsidRPr="00315010" w:rsidRDefault="005924AA" w:rsidP="00A27B3C">
            <w:pPr>
              <w:pStyle w:val="CellPad"/>
              <w:cnfStyle w:val="000000100000" w:firstRow="0" w:lastRow="0" w:firstColumn="0" w:lastColumn="0" w:oddVBand="0" w:evenVBand="0" w:oddHBand="1" w:evenHBand="0" w:firstRowFirstColumn="0" w:firstRowLastColumn="0" w:lastRowFirstColumn="0" w:lastRowLastColumn="0"/>
            </w:pPr>
            <w:r>
              <w:t>--</w:t>
            </w:r>
          </w:p>
        </w:tc>
        <w:tc>
          <w:tcPr>
            <w:tcW w:w="614" w:type="pct"/>
          </w:tcPr>
          <w:p w14:paraId="4E181347"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0CA85919"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16.7%</w:t>
            </w:r>
          </w:p>
        </w:tc>
      </w:tr>
      <w:tr w:rsidR="00EC6535" w:rsidRPr="00315010" w14:paraId="6E69639E"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00D976E9" w14:textId="77777777" w:rsidR="004714F8" w:rsidRPr="00315010" w:rsidRDefault="004714F8" w:rsidP="00EC6535">
            <w:pPr>
              <w:pStyle w:val="NoSpacing"/>
            </w:pPr>
            <w:r w:rsidRPr="00315010">
              <w:t>SBIR Phase I</w:t>
            </w:r>
          </w:p>
        </w:tc>
        <w:tc>
          <w:tcPr>
            <w:tcW w:w="707" w:type="pct"/>
          </w:tcPr>
          <w:p w14:paraId="31B3838A"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41</w:t>
            </w:r>
          </w:p>
        </w:tc>
        <w:tc>
          <w:tcPr>
            <w:tcW w:w="519" w:type="pct"/>
          </w:tcPr>
          <w:p w14:paraId="4ECA1622"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w:t>
            </w:r>
          </w:p>
        </w:tc>
        <w:tc>
          <w:tcPr>
            <w:tcW w:w="707" w:type="pct"/>
          </w:tcPr>
          <w:p w14:paraId="39BFE2E4"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20</w:t>
            </w:r>
          </w:p>
        </w:tc>
        <w:tc>
          <w:tcPr>
            <w:tcW w:w="614" w:type="pct"/>
          </w:tcPr>
          <w:p w14:paraId="11702065"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10</w:t>
            </w:r>
          </w:p>
        </w:tc>
        <w:tc>
          <w:tcPr>
            <w:tcW w:w="710" w:type="pct"/>
          </w:tcPr>
          <w:p w14:paraId="159774D2"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24.4%</w:t>
            </w:r>
          </w:p>
        </w:tc>
      </w:tr>
      <w:tr w:rsidR="00EC6535" w:rsidRPr="00315010" w14:paraId="29D17804"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5C1FA19A" w14:textId="77777777" w:rsidR="004714F8" w:rsidRPr="00315010" w:rsidRDefault="004714F8" w:rsidP="00EC6535">
            <w:pPr>
              <w:pStyle w:val="NoSpacing"/>
            </w:pPr>
            <w:r w:rsidRPr="00315010">
              <w:t>SBIR Phase II</w:t>
            </w:r>
          </w:p>
        </w:tc>
        <w:tc>
          <w:tcPr>
            <w:tcW w:w="707" w:type="pct"/>
          </w:tcPr>
          <w:p w14:paraId="44877ED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15</w:t>
            </w:r>
          </w:p>
        </w:tc>
        <w:tc>
          <w:tcPr>
            <w:tcW w:w="519" w:type="pct"/>
          </w:tcPr>
          <w:p w14:paraId="1D1AD009"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w:t>
            </w:r>
          </w:p>
        </w:tc>
        <w:tc>
          <w:tcPr>
            <w:tcW w:w="707" w:type="pct"/>
          </w:tcPr>
          <w:p w14:paraId="28ABA464"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9</w:t>
            </w:r>
          </w:p>
        </w:tc>
        <w:tc>
          <w:tcPr>
            <w:tcW w:w="614" w:type="pct"/>
          </w:tcPr>
          <w:p w14:paraId="5BCE4FDE"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4</w:t>
            </w:r>
          </w:p>
        </w:tc>
        <w:tc>
          <w:tcPr>
            <w:tcW w:w="710" w:type="pct"/>
          </w:tcPr>
          <w:p w14:paraId="14DAD2B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26.7%</w:t>
            </w:r>
          </w:p>
        </w:tc>
      </w:tr>
      <w:tr w:rsidR="00EC6535" w:rsidRPr="00315010" w14:paraId="2CF9A902"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63F5EF44" w14:textId="77777777" w:rsidR="004714F8" w:rsidRPr="00315010" w:rsidRDefault="004714F8" w:rsidP="00EC6535">
            <w:pPr>
              <w:pStyle w:val="NoSpacing"/>
            </w:pPr>
            <w:r w:rsidRPr="00315010">
              <w:t>Switzer Fellowship</w:t>
            </w:r>
          </w:p>
        </w:tc>
        <w:tc>
          <w:tcPr>
            <w:tcW w:w="707" w:type="pct"/>
          </w:tcPr>
          <w:p w14:paraId="6CE8FE49"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44</w:t>
            </w:r>
          </w:p>
        </w:tc>
        <w:tc>
          <w:tcPr>
            <w:tcW w:w="519" w:type="pct"/>
          </w:tcPr>
          <w:p w14:paraId="417016A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w:t>
            </w:r>
          </w:p>
        </w:tc>
        <w:tc>
          <w:tcPr>
            <w:tcW w:w="707" w:type="pct"/>
          </w:tcPr>
          <w:p w14:paraId="0421E04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16</w:t>
            </w:r>
          </w:p>
        </w:tc>
        <w:tc>
          <w:tcPr>
            <w:tcW w:w="614" w:type="pct"/>
          </w:tcPr>
          <w:p w14:paraId="22A6EFCC"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6</w:t>
            </w:r>
          </w:p>
        </w:tc>
        <w:tc>
          <w:tcPr>
            <w:tcW w:w="710" w:type="pct"/>
          </w:tcPr>
          <w:p w14:paraId="794A2851"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13.4%</w:t>
            </w:r>
          </w:p>
        </w:tc>
      </w:tr>
      <w:tr w:rsidR="00EC6535" w:rsidRPr="00315010" w14:paraId="6FDC2E8E"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Pr>
          <w:p w14:paraId="00D575B1" w14:textId="77777777" w:rsidR="004714F8" w:rsidRPr="00315010" w:rsidRDefault="004714F8" w:rsidP="00EC6535">
            <w:pPr>
              <w:pStyle w:val="NoSpacing"/>
            </w:pPr>
            <w:r w:rsidRPr="00315010">
              <w:t>FIP</w:t>
            </w:r>
          </w:p>
        </w:tc>
        <w:tc>
          <w:tcPr>
            <w:tcW w:w="707" w:type="pct"/>
          </w:tcPr>
          <w:p w14:paraId="1810B11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134</w:t>
            </w:r>
          </w:p>
        </w:tc>
        <w:tc>
          <w:tcPr>
            <w:tcW w:w="519" w:type="pct"/>
          </w:tcPr>
          <w:p w14:paraId="536766A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14</w:t>
            </w:r>
          </w:p>
        </w:tc>
        <w:tc>
          <w:tcPr>
            <w:tcW w:w="707" w:type="pct"/>
          </w:tcPr>
          <w:p w14:paraId="40D9CDBA"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70</w:t>
            </w:r>
          </w:p>
        </w:tc>
        <w:tc>
          <w:tcPr>
            <w:tcW w:w="614" w:type="pct"/>
          </w:tcPr>
          <w:p w14:paraId="7EB62B7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17</w:t>
            </w:r>
          </w:p>
        </w:tc>
        <w:tc>
          <w:tcPr>
            <w:tcW w:w="710" w:type="pct"/>
          </w:tcPr>
          <w:p w14:paraId="2DAD63D8"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12.7%</w:t>
            </w:r>
          </w:p>
        </w:tc>
      </w:tr>
      <w:tr w:rsidR="00EC6535" w:rsidRPr="00315010" w14:paraId="601D8606"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743" w:type="pct"/>
            <w:tcBorders>
              <w:bottom w:val="single" w:sz="4" w:space="0" w:color="7F7F7F" w:themeColor="text1" w:themeTint="80"/>
            </w:tcBorders>
          </w:tcPr>
          <w:p w14:paraId="6CF2FCA9" w14:textId="77777777" w:rsidR="004714F8" w:rsidRPr="00315010" w:rsidRDefault="004714F8" w:rsidP="00EC6535">
            <w:pPr>
              <w:pStyle w:val="NoSpacing"/>
            </w:pPr>
            <w:r w:rsidRPr="00315010">
              <w:t>FIP</w:t>
            </w:r>
            <w:r w:rsidR="0027113D" w:rsidRPr="00315010">
              <w:t xml:space="preserve"> –</w:t>
            </w:r>
            <w:r w:rsidRPr="00315010">
              <w:t xml:space="preserve"> MSI</w:t>
            </w:r>
          </w:p>
        </w:tc>
        <w:tc>
          <w:tcPr>
            <w:tcW w:w="707" w:type="pct"/>
            <w:tcBorders>
              <w:bottom w:val="single" w:sz="4" w:space="0" w:color="7F7F7F" w:themeColor="text1" w:themeTint="80"/>
            </w:tcBorders>
          </w:tcPr>
          <w:p w14:paraId="40D3E1F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12</w:t>
            </w:r>
          </w:p>
        </w:tc>
        <w:tc>
          <w:tcPr>
            <w:tcW w:w="519" w:type="pct"/>
            <w:tcBorders>
              <w:bottom w:val="single" w:sz="4" w:space="0" w:color="7F7F7F" w:themeColor="text1" w:themeTint="80"/>
            </w:tcBorders>
          </w:tcPr>
          <w:p w14:paraId="1B91BE31"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Borders>
              <w:bottom w:val="single" w:sz="4" w:space="0" w:color="7F7F7F" w:themeColor="text1" w:themeTint="80"/>
            </w:tcBorders>
          </w:tcPr>
          <w:p w14:paraId="413A2D6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Borders>
              <w:bottom w:val="single" w:sz="4" w:space="0" w:color="7F7F7F" w:themeColor="text1" w:themeTint="80"/>
            </w:tcBorders>
          </w:tcPr>
          <w:p w14:paraId="6FEB91F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Borders>
              <w:bottom w:val="single" w:sz="4" w:space="0" w:color="7F7F7F" w:themeColor="text1" w:themeTint="80"/>
            </w:tcBorders>
          </w:tcPr>
          <w:p w14:paraId="3B4BA59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8%</w:t>
            </w:r>
          </w:p>
        </w:tc>
      </w:tr>
      <w:tr w:rsidR="00275A62" w:rsidRPr="00315010" w14:paraId="58D9BB22" w14:textId="77777777" w:rsidTr="005561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Borders>
              <w:bottom w:val="single" w:sz="6" w:space="0" w:color="2F5496" w:themeColor="accent5" w:themeShade="BF"/>
              <w:right w:val="nil"/>
            </w:tcBorders>
          </w:tcPr>
          <w:p w14:paraId="00E83012" w14:textId="77777777" w:rsidR="00275A62" w:rsidRPr="00315010" w:rsidRDefault="00275A62" w:rsidP="00EC6535">
            <w:pPr>
              <w:pStyle w:val="NoSpacing"/>
            </w:pPr>
          </w:p>
        </w:tc>
        <w:tc>
          <w:tcPr>
            <w:tcW w:w="707" w:type="pct"/>
            <w:tcBorders>
              <w:left w:val="nil"/>
              <w:bottom w:val="single" w:sz="6" w:space="0" w:color="2F5496" w:themeColor="accent5" w:themeShade="BF"/>
              <w:right w:val="nil"/>
            </w:tcBorders>
            <w:shd w:val="clear" w:color="auto" w:fill="F2F2F2" w:themeFill="background1" w:themeFillShade="F2"/>
          </w:tcPr>
          <w:p w14:paraId="6688E1B4"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519" w:type="pct"/>
            <w:tcBorders>
              <w:left w:val="nil"/>
              <w:bottom w:val="single" w:sz="6" w:space="0" w:color="2F5496" w:themeColor="accent5" w:themeShade="BF"/>
              <w:right w:val="nil"/>
            </w:tcBorders>
            <w:shd w:val="clear" w:color="auto" w:fill="F2F2F2" w:themeFill="background1" w:themeFillShade="F2"/>
          </w:tcPr>
          <w:p w14:paraId="2C4794F4"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707" w:type="pct"/>
            <w:tcBorders>
              <w:left w:val="nil"/>
              <w:bottom w:val="single" w:sz="6" w:space="0" w:color="2F5496" w:themeColor="accent5" w:themeShade="BF"/>
              <w:right w:val="nil"/>
            </w:tcBorders>
            <w:shd w:val="clear" w:color="auto" w:fill="F2F2F2" w:themeFill="background1" w:themeFillShade="F2"/>
          </w:tcPr>
          <w:p w14:paraId="512A1C6C"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614" w:type="pct"/>
            <w:tcBorders>
              <w:left w:val="nil"/>
              <w:bottom w:val="single" w:sz="6" w:space="0" w:color="2F5496" w:themeColor="accent5" w:themeShade="BF"/>
              <w:right w:val="nil"/>
            </w:tcBorders>
            <w:shd w:val="clear" w:color="auto" w:fill="F2F2F2" w:themeFill="background1" w:themeFillShade="F2"/>
          </w:tcPr>
          <w:p w14:paraId="57913586"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710" w:type="pct"/>
            <w:tcBorders>
              <w:left w:val="nil"/>
              <w:bottom w:val="single" w:sz="6" w:space="0" w:color="2F5496" w:themeColor="accent5" w:themeShade="BF"/>
            </w:tcBorders>
            <w:shd w:val="clear" w:color="auto" w:fill="F2F2F2" w:themeFill="background1" w:themeFillShade="F2"/>
          </w:tcPr>
          <w:p w14:paraId="78BF2ACC"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r>
      <w:tr w:rsidR="00EC6535" w:rsidRPr="00315010" w14:paraId="7B97527C"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743" w:type="pct"/>
            <w:tcBorders>
              <w:top w:val="single" w:sz="6" w:space="0" w:color="2F5496" w:themeColor="accent5" w:themeShade="BF"/>
            </w:tcBorders>
            <w:hideMark/>
          </w:tcPr>
          <w:p w14:paraId="71010596" w14:textId="77777777" w:rsidR="004714F8" w:rsidRPr="00315010" w:rsidRDefault="004714F8" w:rsidP="00EC6535">
            <w:pPr>
              <w:pStyle w:val="NoSpacing"/>
            </w:pPr>
            <w:r w:rsidRPr="00315010">
              <w:t>Field</w:t>
            </w:r>
            <w:r w:rsidR="0027113D" w:rsidRPr="00315010">
              <w:t>-</w:t>
            </w:r>
            <w:r w:rsidRPr="00315010">
              <w:t>Initiated DRRP in CL&amp;P</w:t>
            </w:r>
          </w:p>
        </w:tc>
        <w:tc>
          <w:tcPr>
            <w:tcW w:w="707" w:type="pct"/>
            <w:tcBorders>
              <w:top w:val="single" w:sz="6" w:space="0" w:color="2F5496" w:themeColor="accent5" w:themeShade="BF"/>
            </w:tcBorders>
          </w:tcPr>
          <w:p w14:paraId="4F4039F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40</w:t>
            </w:r>
          </w:p>
        </w:tc>
        <w:tc>
          <w:tcPr>
            <w:tcW w:w="519" w:type="pct"/>
            <w:tcBorders>
              <w:top w:val="single" w:sz="6" w:space="0" w:color="2F5496" w:themeColor="accent5" w:themeShade="BF"/>
            </w:tcBorders>
          </w:tcPr>
          <w:p w14:paraId="6DFB7C22"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w:t>
            </w:r>
          </w:p>
        </w:tc>
        <w:tc>
          <w:tcPr>
            <w:tcW w:w="707" w:type="pct"/>
            <w:tcBorders>
              <w:top w:val="single" w:sz="6" w:space="0" w:color="2F5496" w:themeColor="accent5" w:themeShade="BF"/>
            </w:tcBorders>
          </w:tcPr>
          <w:p w14:paraId="63D61D49"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20</w:t>
            </w:r>
          </w:p>
        </w:tc>
        <w:tc>
          <w:tcPr>
            <w:tcW w:w="614" w:type="pct"/>
            <w:tcBorders>
              <w:top w:val="single" w:sz="6" w:space="0" w:color="2F5496" w:themeColor="accent5" w:themeShade="BF"/>
            </w:tcBorders>
          </w:tcPr>
          <w:p w14:paraId="282E59F4"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w:t>
            </w:r>
          </w:p>
        </w:tc>
        <w:tc>
          <w:tcPr>
            <w:tcW w:w="710" w:type="pct"/>
            <w:tcBorders>
              <w:top w:val="single" w:sz="6" w:space="0" w:color="2F5496" w:themeColor="accent5" w:themeShade="BF"/>
            </w:tcBorders>
          </w:tcPr>
          <w:p w14:paraId="153DB6B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r>
      <w:tr w:rsidR="00EC6535" w:rsidRPr="00315010" w14:paraId="1AEB9D96"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77444E3D" w14:textId="77777777" w:rsidR="004714F8" w:rsidRPr="00315010" w:rsidRDefault="004714F8" w:rsidP="00EC6535">
            <w:pPr>
              <w:pStyle w:val="NoSpacing"/>
            </w:pPr>
            <w:r w:rsidRPr="00315010">
              <w:t>Field</w:t>
            </w:r>
            <w:r w:rsidR="0027113D" w:rsidRPr="00315010">
              <w:t>-</w:t>
            </w:r>
            <w:r w:rsidRPr="00315010">
              <w:t>Initiated DRRP in H&amp;F</w:t>
            </w:r>
          </w:p>
        </w:tc>
        <w:tc>
          <w:tcPr>
            <w:tcW w:w="707" w:type="pct"/>
          </w:tcPr>
          <w:p w14:paraId="127A6948"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32</w:t>
            </w:r>
          </w:p>
        </w:tc>
        <w:tc>
          <w:tcPr>
            <w:tcW w:w="519" w:type="pct"/>
          </w:tcPr>
          <w:p w14:paraId="7D25B104"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3</w:t>
            </w:r>
          </w:p>
        </w:tc>
        <w:tc>
          <w:tcPr>
            <w:tcW w:w="707" w:type="pct"/>
          </w:tcPr>
          <w:p w14:paraId="2A04D9B2"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15</w:t>
            </w:r>
          </w:p>
        </w:tc>
        <w:tc>
          <w:tcPr>
            <w:tcW w:w="614" w:type="pct"/>
          </w:tcPr>
          <w:p w14:paraId="1720433B"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4BBFDF7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3%</w:t>
            </w:r>
          </w:p>
        </w:tc>
      </w:tr>
      <w:tr w:rsidR="00EC6535" w:rsidRPr="00315010" w14:paraId="1BF4710A"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tcPr>
          <w:p w14:paraId="5C094B6C" w14:textId="77777777" w:rsidR="004714F8" w:rsidRPr="00315010" w:rsidRDefault="004714F8" w:rsidP="00EC6535">
            <w:pPr>
              <w:pStyle w:val="NoSpacing"/>
            </w:pPr>
            <w:r w:rsidRPr="00315010">
              <w:t>DRRP AT</w:t>
            </w:r>
          </w:p>
        </w:tc>
        <w:tc>
          <w:tcPr>
            <w:tcW w:w="707" w:type="pct"/>
          </w:tcPr>
          <w:p w14:paraId="6B9F5675"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26</w:t>
            </w:r>
          </w:p>
        </w:tc>
        <w:tc>
          <w:tcPr>
            <w:tcW w:w="519" w:type="pct"/>
          </w:tcPr>
          <w:p w14:paraId="5AC4B9BE"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w:t>
            </w:r>
          </w:p>
        </w:tc>
        <w:tc>
          <w:tcPr>
            <w:tcW w:w="707" w:type="pct"/>
          </w:tcPr>
          <w:p w14:paraId="481695F3"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10</w:t>
            </w:r>
          </w:p>
        </w:tc>
        <w:tc>
          <w:tcPr>
            <w:tcW w:w="614" w:type="pct"/>
          </w:tcPr>
          <w:p w14:paraId="258362A5"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3</w:t>
            </w:r>
          </w:p>
        </w:tc>
        <w:tc>
          <w:tcPr>
            <w:tcW w:w="710" w:type="pct"/>
          </w:tcPr>
          <w:p w14:paraId="3C6C25D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11.5%</w:t>
            </w:r>
          </w:p>
        </w:tc>
      </w:tr>
      <w:tr w:rsidR="00EC6535" w:rsidRPr="00315010" w14:paraId="40C528A3"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0BA14E80" w14:textId="77777777" w:rsidR="004714F8" w:rsidRPr="00315010" w:rsidRDefault="004714F8" w:rsidP="00EC6535">
            <w:pPr>
              <w:pStyle w:val="NoSpacing"/>
            </w:pPr>
            <w:r w:rsidRPr="00315010">
              <w:t>DRRP KT</w:t>
            </w:r>
          </w:p>
        </w:tc>
        <w:tc>
          <w:tcPr>
            <w:tcW w:w="707" w:type="pct"/>
          </w:tcPr>
          <w:p w14:paraId="464D2B03"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19</w:t>
            </w:r>
          </w:p>
        </w:tc>
        <w:tc>
          <w:tcPr>
            <w:tcW w:w="519" w:type="pct"/>
          </w:tcPr>
          <w:p w14:paraId="1977F9DE"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w:t>
            </w:r>
          </w:p>
        </w:tc>
        <w:tc>
          <w:tcPr>
            <w:tcW w:w="707" w:type="pct"/>
          </w:tcPr>
          <w:p w14:paraId="2AB98314"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10</w:t>
            </w:r>
          </w:p>
        </w:tc>
        <w:tc>
          <w:tcPr>
            <w:tcW w:w="614" w:type="pct"/>
          </w:tcPr>
          <w:p w14:paraId="29E67068"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3</w:t>
            </w:r>
          </w:p>
        </w:tc>
        <w:tc>
          <w:tcPr>
            <w:tcW w:w="710" w:type="pct"/>
          </w:tcPr>
          <w:p w14:paraId="08730CF8"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15.8%</w:t>
            </w:r>
          </w:p>
        </w:tc>
      </w:tr>
      <w:tr w:rsidR="00EC6535" w:rsidRPr="00315010" w14:paraId="6E0B4BD5"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743" w:type="pct"/>
            <w:tcBorders>
              <w:bottom w:val="single" w:sz="4" w:space="0" w:color="7F7F7F" w:themeColor="text1" w:themeTint="80"/>
            </w:tcBorders>
            <w:hideMark/>
          </w:tcPr>
          <w:p w14:paraId="66B4C4F0" w14:textId="77777777" w:rsidR="004714F8" w:rsidRPr="00315010" w:rsidRDefault="004714F8" w:rsidP="00EC6535">
            <w:pPr>
              <w:pStyle w:val="NoSpacing"/>
            </w:pPr>
            <w:r w:rsidRPr="00315010">
              <w:lastRenderedPageBreak/>
              <w:t>DRRP IL</w:t>
            </w:r>
          </w:p>
        </w:tc>
        <w:tc>
          <w:tcPr>
            <w:tcW w:w="707" w:type="pct"/>
            <w:tcBorders>
              <w:bottom w:val="single" w:sz="4" w:space="0" w:color="7F7F7F" w:themeColor="text1" w:themeTint="80"/>
            </w:tcBorders>
          </w:tcPr>
          <w:p w14:paraId="3FF40F38"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519" w:type="pct"/>
            <w:tcBorders>
              <w:bottom w:val="single" w:sz="4" w:space="0" w:color="7F7F7F" w:themeColor="text1" w:themeTint="80"/>
            </w:tcBorders>
          </w:tcPr>
          <w:p w14:paraId="10F89DA1"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Borders>
              <w:bottom w:val="single" w:sz="4" w:space="0" w:color="7F7F7F" w:themeColor="text1" w:themeTint="80"/>
            </w:tcBorders>
          </w:tcPr>
          <w:p w14:paraId="2CC3EB8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Borders>
              <w:bottom w:val="single" w:sz="4" w:space="0" w:color="7F7F7F" w:themeColor="text1" w:themeTint="80"/>
            </w:tcBorders>
          </w:tcPr>
          <w:p w14:paraId="732E684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Borders>
              <w:bottom w:val="single" w:sz="4" w:space="0" w:color="7F7F7F" w:themeColor="text1" w:themeTint="80"/>
            </w:tcBorders>
          </w:tcPr>
          <w:p w14:paraId="5664A498"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20%</w:t>
            </w:r>
          </w:p>
        </w:tc>
      </w:tr>
      <w:tr w:rsidR="00275A62" w:rsidRPr="00315010" w14:paraId="641F936C" w14:textId="77777777" w:rsidTr="005561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Borders>
              <w:bottom w:val="single" w:sz="6" w:space="0" w:color="2F5496" w:themeColor="accent5" w:themeShade="BF"/>
              <w:right w:val="nil"/>
            </w:tcBorders>
          </w:tcPr>
          <w:p w14:paraId="0B0A1F67" w14:textId="77777777" w:rsidR="00275A62" w:rsidRPr="00315010" w:rsidRDefault="00275A62" w:rsidP="00EC6535">
            <w:pPr>
              <w:pStyle w:val="NoSpacing"/>
            </w:pPr>
          </w:p>
        </w:tc>
        <w:tc>
          <w:tcPr>
            <w:tcW w:w="707" w:type="pct"/>
            <w:tcBorders>
              <w:left w:val="nil"/>
              <w:bottom w:val="single" w:sz="6" w:space="0" w:color="2F5496" w:themeColor="accent5" w:themeShade="BF"/>
              <w:right w:val="nil"/>
            </w:tcBorders>
            <w:shd w:val="clear" w:color="auto" w:fill="F2F2F2" w:themeFill="background1" w:themeFillShade="F2"/>
          </w:tcPr>
          <w:p w14:paraId="1E635CC1"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519" w:type="pct"/>
            <w:tcBorders>
              <w:left w:val="nil"/>
              <w:bottom w:val="single" w:sz="6" w:space="0" w:color="2F5496" w:themeColor="accent5" w:themeShade="BF"/>
              <w:right w:val="nil"/>
            </w:tcBorders>
            <w:shd w:val="clear" w:color="auto" w:fill="F2F2F2" w:themeFill="background1" w:themeFillShade="F2"/>
          </w:tcPr>
          <w:p w14:paraId="64EA23A4"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707" w:type="pct"/>
            <w:tcBorders>
              <w:left w:val="nil"/>
              <w:bottom w:val="single" w:sz="6" w:space="0" w:color="2F5496" w:themeColor="accent5" w:themeShade="BF"/>
              <w:right w:val="nil"/>
            </w:tcBorders>
            <w:shd w:val="clear" w:color="auto" w:fill="F2F2F2" w:themeFill="background1" w:themeFillShade="F2"/>
          </w:tcPr>
          <w:p w14:paraId="05662805"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614" w:type="pct"/>
            <w:tcBorders>
              <w:left w:val="nil"/>
              <w:bottom w:val="single" w:sz="6" w:space="0" w:color="2F5496" w:themeColor="accent5" w:themeShade="BF"/>
              <w:right w:val="nil"/>
            </w:tcBorders>
            <w:shd w:val="clear" w:color="auto" w:fill="F2F2F2" w:themeFill="background1" w:themeFillShade="F2"/>
          </w:tcPr>
          <w:p w14:paraId="3B19E856"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c>
          <w:tcPr>
            <w:tcW w:w="710" w:type="pct"/>
            <w:tcBorders>
              <w:left w:val="nil"/>
              <w:bottom w:val="single" w:sz="6" w:space="0" w:color="2F5496" w:themeColor="accent5" w:themeShade="BF"/>
            </w:tcBorders>
            <w:shd w:val="clear" w:color="auto" w:fill="F2F2F2" w:themeFill="background1" w:themeFillShade="F2"/>
          </w:tcPr>
          <w:p w14:paraId="6BF2FEA3" w14:textId="77777777" w:rsidR="00275A62" w:rsidRPr="00315010" w:rsidRDefault="00275A62" w:rsidP="00A27B3C">
            <w:pPr>
              <w:pStyle w:val="CellPad"/>
              <w:cnfStyle w:val="000000100000" w:firstRow="0" w:lastRow="0" w:firstColumn="0" w:lastColumn="0" w:oddVBand="0" w:evenVBand="0" w:oddHBand="1" w:evenHBand="0" w:firstRowFirstColumn="0" w:firstRowLastColumn="0" w:lastRowFirstColumn="0" w:lastRowLastColumn="0"/>
            </w:pPr>
          </w:p>
        </w:tc>
      </w:tr>
      <w:tr w:rsidR="00EC6535" w:rsidRPr="00315010" w14:paraId="038C11A8"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743" w:type="pct"/>
            <w:tcBorders>
              <w:top w:val="single" w:sz="6" w:space="0" w:color="2F5496" w:themeColor="accent5" w:themeShade="BF"/>
            </w:tcBorders>
            <w:hideMark/>
          </w:tcPr>
          <w:p w14:paraId="3F8D2DB5" w14:textId="77777777" w:rsidR="004714F8" w:rsidRPr="00315010" w:rsidRDefault="004714F8" w:rsidP="00EC6535">
            <w:pPr>
              <w:pStyle w:val="NoSpacing"/>
            </w:pPr>
            <w:r w:rsidRPr="00315010">
              <w:t>RERC Hearing</w:t>
            </w:r>
          </w:p>
        </w:tc>
        <w:tc>
          <w:tcPr>
            <w:tcW w:w="707" w:type="pct"/>
            <w:tcBorders>
              <w:top w:val="single" w:sz="6" w:space="0" w:color="2F5496" w:themeColor="accent5" w:themeShade="BF"/>
            </w:tcBorders>
          </w:tcPr>
          <w:p w14:paraId="261F4F73"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4</w:t>
            </w:r>
          </w:p>
        </w:tc>
        <w:tc>
          <w:tcPr>
            <w:tcW w:w="519" w:type="pct"/>
            <w:tcBorders>
              <w:top w:val="single" w:sz="6" w:space="0" w:color="2F5496" w:themeColor="accent5" w:themeShade="BF"/>
            </w:tcBorders>
          </w:tcPr>
          <w:p w14:paraId="1A37A853"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Borders>
              <w:top w:val="single" w:sz="6" w:space="0" w:color="2F5496" w:themeColor="accent5" w:themeShade="BF"/>
            </w:tcBorders>
          </w:tcPr>
          <w:p w14:paraId="64413EC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Borders>
              <w:top w:val="single" w:sz="6" w:space="0" w:color="2F5496" w:themeColor="accent5" w:themeShade="BF"/>
            </w:tcBorders>
          </w:tcPr>
          <w:p w14:paraId="3613700E"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Borders>
              <w:top w:val="single" w:sz="6" w:space="0" w:color="2F5496" w:themeColor="accent5" w:themeShade="BF"/>
            </w:tcBorders>
          </w:tcPr>
          <w:p w14:paraId="22BE8F4C"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25%</w:t>
            </w:r>
          </w:p>
        </w:tc>
      </w:tr>
      <w:tr w:rsidR="00EC6535" w:rsidRPr="00315010" w14:paraId="7B4BBE89"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2F8E129A" w14:textId="77777777" w:rsidR="004714F8" w:rsidRPr="00315010" w:rsidRDefault="004714F8" w:rsidP="00EC6535">
            <w:pPr>
              <w:pStyle w:val="NoSpacing"/>
            </w:pPr>
            <w:r w:rsidRPr="00315010">
              <w:t>RERC ICTA</w:t>
            </w:r>
          </w:p>
        </w:tc>
        <w:tc>
          <w:tcPr>
            <w:tcW w:w="707" w:type="pct"/>
          </w:tcPr>
          <w:p w14:paraId="786C7D1A"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w:t>
            </w:r>
          </w:p>
        </w:tc>
        <w:tc>
          <w:tcPr>
            <w:tcW w:w="519" w:type="pct"/>
          </w:tcPr>
          <w:p w14:paraId="75084282"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Pr>
          <w:p w14:paraId="58EC5D0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Pr>
          <w:p w14:paraId="7EB8B8D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0F98FDC2"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50%</w:t>
            </w:r>
          </w:p>
        </w:tc>
      </w:tr>
      <w:tr w:rsidR="00EC6535" w:rsidRPr="00315010" w14:paraId="6DABD93D"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23D97D6A" w14:textId="77777777" w:rsidR="004714F8" w:rsidRPr="00315010" w:rsidRDefault="004714F8" w:rsidP="00EC6535">
            <w:pPr>
              <w:pStyle w:val="NoSpacing"/>
            </w:pPr>
            <w:r w:rsidRPr="00315010">
              <w:t>RERC</w:t>
            </w:r>
            <w:r w:rsidR="0027113D" w:rsidRPr="00315010">
              <w:t xml:space="preserve"> – </w:t>
            </w:r>
            <w:r w:rsidRPr="00315010">
              <w:t>STI</w:t>
            </w:r>
          </w:p>
        </w:tc>
        <w:tc>
          <w:tcPr>
            <w:tcW w:w="707" w:type="pct"/>
          </w:tcPr>
          <w:p w14:paraId="69AD17DC"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7</w:t>
            </w:r>
          </w:p>
        </w:tc>
        <w:tc>
          <w:tcPr>
            <w:tcW w:w="519" w:type="pct"/>
          </w:tcPr>
          <w:p w14:paraId="30793049"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Pr>
          <w:p w14:paraId="343E206F"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Pr>
          <w:p w14:paraId="4E6F19D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Pr>
          <w:p w14:paraId="173F2CF1"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14.3%</w:t>
            </w:r>
          </w:p>
        </w:tc>
      </w:tr>
      <w:tr w:rsidR="00EC6535" w:rsidRPr="00315010" w14:paraId="19CF5CB9" w14:textId="77777777" w:rsidTr="005561F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Borders>
              <w:bottom w:val="single" w:sz="6" w:space="0" w:color="2F5496" w:themeColor="accent5" w:themeShade="BF"/>
            </w:tcBorders>
            <w:hideMark/>
          </w:tcPr>
          <w:p w14:paraId="74B9E222" w14:textId="77777777" w:rsidR="004714F8" w:rsidRPr="00315010" w:rsidRDefault="004714F8" w:rsidP="00EC6535">
            <w:pPr>
              <w:pStyle w:val="NoSpacing"/>
            </w:pPr>
            <w:r w:rsidRPr="00315010">
              <w:t>RERC Cognitive</w:t>
            </w:r>
          </w:p>
        </w:tc>
        <w:tc>
          <w:tcPr>
            <w:tcW w:w="707" w:type="pct"/>
            <w:tcBorders>
              <w:bottom w:val="single" w:sz="6" w:space="0" w:color="2F5496" w:themeColor="accent5" w:themeShade="BF"/>
            </w:tcBorders>
          </w:tcPr>
          <w:p w14:paraId="1A251EA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519" w:type="pct"/>
            <w:tcBorders>
              <w:bottom w:val="single" w:sz="6" w:space="0" w:color="2F5496" w:themeColor="accent5" w:themeShade="BF"/>
            </w:tcBorders>
          </w:tcPr>
          <w:p w14:paraId="1D14A5BC"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Borders>
              <w:bottom w:val="single" w:sz="6" w:space="0" w:color="2F5496" w:themeColor="accent5" w:themeShade="BF"/>
            </w:tcBorders>
          </w:tcPr>
          <w:p w14:paraId="3C26ED52"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Borders>
              <w:bottom w:val="single" w:sz="6" w:space="0" w:color="2F5496" w:themeColor="accent5" w:themeShade="BF"/>
            </w:tcBorders>
          </w:tcPr>
          <w:p w14:paraId="3C6B3C54"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Borders>
              <w:bottom w:val="single" w:sz="6" w:space="0" w:color="2F5496" w:themeColor="accent5" w:themeShade="BF"/>
            </w:tcBorders>
          </w:tcPr>
          <w:p w14:paraId="78F63EA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20%</w:t>
            </w:r>
          </w:p>
        </w:tc>
      </w:tr>
      <w:tr w:rsidR="00275A62" w:rsidRPr="00315010" w14:paraId="0BBEB528"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743" w:type="pct"/>
            <w:tcBorders>
              <w:top w:val="single" w:sz="6" w:space="0" w:color="2F5496" w:themeColor="accent5" w:themeShade="BF"/>
              <w:bottom w:val="single" w:sz="6" w:space="0" w:color="2F5496" w:themeColor="accent5" w:themeShade="BF"/>
              <w:right w:val="nil"/>
            </w:tcBorders>
          </w:tcPr>
          <w:p w14:paraId="36B87651" w14:textId="77777777" w:rsidR="00275A62" w:rsidRPr="00315010" w:rsidRDefault="00275A62" w:rsidP="00EC6535">
            <w:pPr>
              <w:pStyle w:val="NoSpacing"/>
            </w:pPr>
          </w:p>
        </w:tc>
        <w:tc>
          <w:tcPr>
            <w:tcW w:w="707"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tcPr>
          <w:p w14:paraId="5D9FC649" w14:textId="77777777" w:rsidR="00275A62" w:rsidRPr="00315010" w:rsidRDefault="00275A62" w:rsidP="00A27B3C">
            <w:pPr>
              <w:pStyle w:val="CellPad"/>
              <w:cnfStyle w:val="000000000000" w:firstRow="0" w:lastRow="0" w:firstColumn="0" w:lastColumn="0" w:oddVBand="0" w:evenVBand="0" w:oddHBand="0" w:evenHBand="0" w:firstRowFirstColumn="0" w:firstRowLastColumn="0" w:lastRowFirstColumn="0" w:lastRowLastColumn="0"/>
            </w:pPr>
          </w:p>
        </w:tc>
        <w:tc>
          <w:tcPr>
            <w:tcW w:w="519"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tcPr>
          <w:p w14:paraId="5586B596" w14:textId="77777777" w:rsidR="00275A62" w:rsidRPr="00315010" w:rsidRDefault="00275A62" w:rsidP="00A27B3C">
            <w:pPr>
              <w:pStyle w:val="CellPad"/>
              <w:cnfStyle w:val="000000000000" w:firstRow="0" w:lastRow="0" w:firstColumn="0" w:lastColumn="0" w:oddVBand="0" w:evenVBand="0" w:oddHBand="0" w:evenHBand="0" w:firstRowFirstColumn="0" w:firstRowLastColumn="0" w:lastRowFirstColumn="0" w:lastRowLastColumn="0"/>
            </w:pPr>
          </w:p>
        </w:tc>
        <w:tc>
          <w:tcPr>
            <w:tcW w:w="707"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tcPr>
          <w:p w14:paraId="2BF117E1" w14:textId="77777777" w:rsidR="00275A62" w:rsidRPr="00315010" w:rsidRDefault="00275A62" w:rsidP="00A27B3C">
            <w:pPr>
              <w:pStyle w:val="CellPad"/>
              <w:cnfStyle w:val="000000000000" w:firstRow="0" w:lastRow="0" w:firstColumn="0" w:lastColumn="0" w:oddVBand="0" w:evenVBand="0" w:oddHBand="0" w:evenHBand="0" w:firstRowFirstColumn="0" w:firstRowLastColumn="0" w:lastRowFirstColumn="0" w:lastRowLastColumn="0"/>
            </w:pPr>
          </w:p>
        </w:tc>
        <w:tc>
          <w:tcPr>
            <w:tcW w:w="614"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tcPr>
          <w:p w14:paraId="5B2DEB27" w14:textId="77777777" w:rsidR="00275A62" w:rsidRPr="00315010" w:rsidRDefault="00275A62" w:rsidP="00A27B3C">
            <w:pPr>
              <w:pStyle w:val="CellPad"/>
              <w:cnfStyle w:val="000000000000" w:firstRow="0" w:lastRow="0" w:firstColumn="0" w:lastColumn="0" w:oddVBand="0" w:evenVBand="0" w:oddHBand="0" w:evenHBand="0" w:firstRowFirstColumn="0" w:firstRowLastColumn="0" w:lastRowFirstColumn="0" w:lastRowLastColumn="0"/>
            </w:pPr>
          </w:p>
        </w:tc>
        <w:tc>
          <w:tcPr>
            <w:tcW w:w="710" w:type="pct"/>
            <w:tcBorders>
              <w:top w:val="single" w:sz="6" w:space="0" w:color="2F5496" w:themeColor="accent5" w:themeShade="BF"/>
              <w:left w:val="nil"/>
              <w:bottom w:val="single" w:sz="6" w:space="0" w:color="2F5496" w:themeColor="accent5" w:themeShade="BF"/>
            </w:tcBorders>
            <w:shd w:val="clear" w:color="auto" w:fill="F2F2F2" w:themeFill="background1" w:themeFillShade="F2"/>
          </w:tcPr>
          <w:p w14:paraId="0BA31DE6" w14:textId="77777777" w:rsidR="00275A62" w:rsidRPr="00315010" w:rsidRDefault="00275A62" w:rsidP="00A27B3C">
            <w:pPr>
              <w:pStyle w:val="CellPad"/>
              <w:cnfStyle w:val="000000000000" w:firstRow="0" w:lastRow="0" w:firstColumn="0" w:lastColumn="0" w:oddVBand="0" w:evenVBand="0" w:oddHBand="0" w:evenHBand="0" w:firstRowFirstColumn="0" w:firstRowLastColumn="0" w:lastRowFirstColumn="0" w:lastRowLastColumn="0"/>
            </w:pPr>
          </w:p>
        </w:tc>
      </w:tr>
      <w:tr w:rsidR="00EC6535" w:rsidRPr="00315010" w14:paraId="2135F759"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Borders>
              <w:top w:val="single" w:sz="6" w:space="0" w:color="2F5496" w:themeColor="accent5" w:themeShade="BF"/>
            </w:tcBorders>
            <w:hideMark/>
          </w:tcPr>
          <w:p w14:paraId="3DF36C58" w14:textId="77777777" w:rsidR="004714F8" w:rsidRPr="00315010" w:rsidRDefault="004714F8" w:rsidP="00EC6535">
            <w:pPr>
              <w:pStyle w:val="NoSpacing"/>
            </w:pPr>
            <w:r w:rsidRPr="00315010">
              <w:t>RRTC CL</w:t>
            </w:r>
            <w:r w:rsidR="0027113D" w:rsidRPr="00315010">
              <w:t>&amp;</w:t>
            </w:r>
            <w:r w:rsidRPr="00315010">
              <w:t>P Youth SMI</w:t>
            </w:r>
          </w:p>
        </w:tc>
        <w:tc>
          <w:tcPr>
            <w:tcW w:w="707" w:type="pct"/>
            <w:tcBorders>
              <w:top w:val="single" w:sz="6" w:space="0" w:color="2F5496" w:themeColor="accent5" w:themeShade="BF"/>
            </w:tcBorders>
          </w:tcPr>
          <w:p w14:paraId="3E90346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519" w:type="pct"/>
            <w:tcBorders>
              <w:top w:val="single" w:sz="6" w:space="0" w:color="2F5496" w:themeColor="accent5" w:themeShade="BF"/>
            </w:tcBorders>
          </w:tcPr>
          <w:p w14:paraId="3D3805E0"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Borders>
              <w:top w:val="single" w:sz="6" w:space="0" w:color="2F5496" w:themeColor="accent5" w:themeShade="BF"/>
            </w:tcBorders>
          </w:tcPr>
          <w:p w14:paraId="294638C5"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Borders>
              <w:top w:val="single" w:sz="6" w:space="0" w:color="2F5496" w:themeColor="accent5" w:themeShade="BF"/>
            </w:tcBorders>
          </w:tcPr>
          <w:p w14:paraId="05FCA19B"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0</w:t>
            </w:r>
          </w:p>
        </w:tc>
        <w:tc>
          <w:tcPr>
            <w:tcW w:w="710" w:type="pct"/>
            <w:tcBorders>
              <w:top w:val="single" w:sz="6" w:space="0" w:color="2F5496" w:themeColor="accent5" w:themeShade="BF"/>
            </w:tcBorders>
          </w:tcPr>
          <w:p w14:paraId="47D0681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0%</w:t>
            </w:r>
          </w:p>
        </w:tc>
      </w:tr>
      <w:tr w:rsidR="00EC6535" w:rsidRPr="00315010" w14:paraId="7C08341C"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2E5EE5A1" w14:textId="77777777" w:rsidR="004714F8" w:rsidRPr="00315010" w:rsidRDefault="004714F8" w:rsidP="00EC6535">
            <w:pPr>
              <w:pStyle w:val="NoSpacing"/>
            </w:pPr>
            <w:r w:rsidRPr="00315010">
              <w:t>RRTC EMP Psychiatric</w:t>
            </w:r>
          </w:p>
        </w:tc>
        <w:tc>
          <w:tcPr>
            <w:tcW w:w="707" w:type="pct"/>
          </w:tcPr>
          <w:p w14:paraId="099C123B"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2</w:t>
            </w:r>
          </w:p>
        </w:tc>
        <w:tc>
          <w:tcPr>
            <w:tcW w:w="519" w:type="pct"/>
          </w:tcPr>
          <w:p w14:paraId="43741283"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Pr>
          <w:p w14:paraId="56F70474"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Pr>
          <w:p w14:paraId="5D72C05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Pr>
          <w:p w14:paraId="1648A5AA"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50%</w:t>
            </w:r>
          </w:p>
        </w:tc>
      </w:tr>
      <w:tr w:rsidR="00EC6535" w:rsidRPr="00315010" w14:paraId="709CEFAF"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61C40FB4" w14:textId="77777777" w:rsidR="004714F8" w:rsidRPr="00315010" w:rsidRDefault="004714F8" w:rsidP="00EC6535">
            <w:pPr>
              <w:pStyle w:val="NoSpacing"/>
            </w:pPr>
            <w:r w:rsidRPr="00315010">
              <w:t>RRTC Fam Support</w:t>
            </w:r>
          </w:p>
        </w:tc>
        <w:tc>
          <w:tcPr>
            <w:tcW w:w="707" w:type="pct"/>
          </w:tcPr>
          <w:p w14:paraId="399B5E35"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7</w:t>
            </w:r>
          </w:p>
        </w:tc>
        <w:tc>
          <w:tcPr>
            <w:tcW w:w="519" w:type="pct"/>
          </w:tcPr>
          <w:p w14:paraId="1879EDB9"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Pr>
          <w:p w14:paraId="18A19D37"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Pr>
          <w:p w14:paraId="0B18F3A4"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574797F1"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14.3%</w:t>
            </w:r>
          </w:p>
        </w:tc>
      </w:tr>
      <w:tr w:rsidR="00EC6535" w:rsidRPr="00315010" w14:paraId="1F11AB73"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4FA4056F" w14:textId="77777777" w:rsidR="004714F8" w:rsidRPr="00315010" w:rsidRDefault="004714F8" w:rsidP="00EC6535">
            <w:pPr>
              <w:pStyle w:val="NoSpacing"/>
            </w:pPr>
            <w:r w:rsidRPr="00315010">
              <w:t>RRTC FI E</w:t>
            </w:r>
            <w:r w:rsidR="0027113D" w:rsidRPr="00315010">
              <w:t>MP</w:t>
            </w:r>
            <w:r w:rsidRPr="00315010">
              <w:t xml:space="preserve"> Transition Youth</w:t>
            </w:r>
          </w:p>
        </w:tc>
        <w:tc>
          <w:tcPr>
            <w:tcW w:w="707" w:type="pct"/>
          </w:tcPr>
          <w:p w14:paraId="62714CB6"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10</w:t>
            </w:r>
          </w:p>
        </w:tc>
        <w:tc>
          <w:tcPr>
            <w:tcW w:w="519" w:type="pct"/>
          </w:tcPr>
          <w:p w14:paraId="2F98D6B5"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Pr>
          <w:p w14:paraId="1571A982"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Pr>
          <w:p w14:paraId="4480AC34"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Pr>
          <w:p w14:paraId="175B27C7"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10%</w:t>
            </w:r>
          </w:p>
        </w:tc>
      </w:tr>
      <w:tr w:rsidR="00EC6535" w:rsidRPr="00315010" w14:paraId="7D63D33A"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03EB306D" w14:textId="77777777" w:rsidR="004714F8" w:rsidRPr="00315010" w:rsidRDefault="004714F8" w:rsidP="00EC6535">
            <w:pPr>
              <w:pStyle w:val="NoSpacing"/>
            </w:pPr>
            <w:r w:rsidRPr="00315010">
              <w:t>RRTC FI EMP IDD</w:t>
            </w:r>
          </w:p>
        </w:tc>
        <w:tc>
          <w:tcPr>
            <w:tcW w:w="707" w:type="pct"/>
          </w:tcPr>
          <w:p w14:paraId="70AD6A4F"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w:t>
            </w:r>
          </w:p>
        </w:tc>
        <w:tc>
          <w:tcPr>
            <w:tcW w:w="519" w:type="pct"/>
          </w:tcPr>
          <w:p w14:paraId="47D4590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Pr>
          <w:p w14:paraId="38692768"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Pr>
          <w:p w14:paraId="351998E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320B7A69"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50%</w:t>
            </w:r>
          </w:p>
        </w:tc>
      </w:tr>
      <w:tr w:rsidR="00EC6535" w:rsidRPr="00315010" w14:paraId="68C9F7A7"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79AB440A" w14:textId="77777777" w:rsidR="004714F8" w:rsidRPr="00315010" w:rsidRDefault="004714F8" w:rsidP="00EC6535">
            <w:pPr>
              <w:pStyle w:val="NoSpacing"/>
            </w:pPr>
            <w:r w:rsidRPr="00315010">
              <w:t>RRTC HF PD</w:t>
            </w:r>
          </w:p>
        </w:tc>
        <w:tc>
          <w:tcPr>
            <w:tcW w:w="707" w:type="pct"/>
          </w:tcPr>
          <w:p w14:paraId="3A5E2A18"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7</w:t>
            </w:r>
          </w:p>
        </w:tc>
        <w:tc>
          <w:tcPr>
            <w:tcW w:w="519" w:type="pct"/>
          </w:tcPr>
          <w:p w14:paraId="4981BB4D"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07" w:type="pct"/>
          </w:tcPr>
          <w:p w14:paraId="10FB57FC"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5</w:t>
            </w:r>
          </w:p>
        </w:tc>
        <w:tc>
          <w:tcPr>
            <w:tcW w:w="614" w:type="pct"/>
          </w:tcPr>
          <w:p w14:paraId="156B1E50"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w:t>
            </w:r>
          </w:p>
        </w:tc>
        <w:tc>
          <w:tcPr>
            <w:tcW w:w="710" w:type="pct"/>
          </w:tcPr>
          <w:p w14:paraId="4976ACA4" w14:textId="77777777" w:rsidR="004714F8" w:rsidRPr="00315010" w:rsidRDefault="004714F8" w:rsidP="00A27B3C">
            <w:pPr>
              <w:pStyle w:val="CellPad"/>
              <w:cnfStyle w:val="000000000000" w:firstRow="0" w:lastRow="0" w:firstColumn="0" w:lastColumn="0" w:oddVBand="0" w:evenVBand="0" w:oddHBand="0" w:evenHBand="0" w:firstRowFirstColumn="0" w:firstRowLastColumn="0" w:lastRowFirstColumn="0" w:lastRowLastColumn="0"/>
            </w:pPr>
            <w:r w:rsidRPr="00315010">
              <w:t>14.3%</w:t>
            </w:r>
          </w:p>
        </w:tc>
      </w:tr>
      <w:tr w:rsidR="00EC6535" w:rsidRPr="00315010" w14:paraId="3DF11977" w14:textId="77777777" w:rsidTr="006C27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tcPr>
          <w:p w14:paraId="272EA6F9" w14:textId="77777777" w:rsidR="004714F8" w:rsidRPr="00315010" w:rsidRDefault="004714F8" w:rsidP="00EC6535">
            <w:pPr>
              <w:pStyle w:val="NoSpacing"/>
            </w:pPr>
            <w:r w:rsidRPr="00315010">
              <w:t>RRTC Transition Youth EMP SMI</w:t>
            </w:r>
          </w:p>
        </w:tc>
        <w:tc>
          <w:tcPr>
            <w:tcW w:w="707" w:type="pct"/>
          </w:tcPr>
          <w:p w14:paraId="43C8681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2</w:t>
            </w:r>
          </w:p>
        </w:tc>
        <w:tc>
          <w:tcPr>
            <w:tcW w:w="519" w:type="pct"/>
          </w:tcPr>
          <w:p w14:paraId="7A4EE936"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07" w:type="pct"/>
          </w:tcPr>
          <w:p w14:paraId="4055C42A"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w:t>
            </w:r>
          </w:p>
        </w:tc>
        <w:tc>
          <w:tcPr>
            <w:tcW w:w="614" w:type="pct"/>
          </w:tcPr>
          <w:p w14:paraId="3553495D"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1</w:t>
            </w:r>
          </w:p>
        </w:tc>
        <w:tc>
          <w:tcPr>
            <w:tcW w:w="710" w:type="pct"/>
          </w:tcPr>
          <w:p w14:paraId="573240E9" w14:textId="77777777" w:rsidR="004714F8" w:rsidRPr="00315010" w:rsidRDefault="004714F8" w:rsidP="00A27B3C">
            <w:pPr>
              <w:pStyle w:val="CellPad"/>
              <w:cnfStyle w:val="000000100000" w:firstRow="0" w:lastRow="0" w:firstColumn="0" w:lastColumn="0" w:oddVBand="0" w:evenVBand="0" w:oddHBand="1" w:evenHBand="0" w:firstRowFirstColumn="0" w:firstRowLastColumn="0" w:lastRowFirstColumn="0" w:lastRowLastColumn="0"/>
            </w:pPr>
            <w:r w:rsidRPr="00315010">
              <w:t>50%</w:t>
            </w:r>
          </w:p>
        </w:tc>
      </w:tr>
      <w:tr w:rsidR="00A27B3C" w:rsidRPr="00315010" w14:paraId="70835C16" w14:textId="77777777" w:rsidTr="006C27A7">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43" w:type="pct"/>
            <w:hideMark/>
          </w:tcPr>
          <w:p w14:paraId="656AB681" w14:textId="77777777" w:rsidR="004714F8" w:rsidRPr="00315010" w:rsidRDefault="004714F8" w:rsidP="00EC6535">
            <w:pPr>
              <w:pStyle w:val="NoSpacing"/>
            </w:pPr>
            <w:r w:rsidRPr="00315010">
              <w:t>Total</w:t>
            </w:r>
          </w:p>
        </w:tc>
        <w:tc>
          <w:tcPr>
            <w:tcW w:w="707" w:type="pct"/>
          </w:tcPr>
          <w:p w14:paraId="49E86F9E" w14:textId="77777777" w:rsidR="004714F8" w:rsidRPr="00315010" w:rsidRDefault="004714F8" w:rsidP="00A27B3C">
            <w:pPr>
              <w:pStyle w:val="CellPad"/>
              <w:cnfStyle w:val="010000000000" w:firstRow="0" w:lastRow="1" w:firstColumn="0" w:lastColumn="0" w:oddVBand="0" w:evenVBand="0" w:oddHBand="0" w:evenHBand="0" w:firstRowFirstColumn="0" w:firstRowLastColumn="0" w:lastRowFirstColumn="0" w:lastRowLastColumn="0"/>
            </w:pPr>
            <w:r w:rsidRPr="00315010">
              <w:t>434</w:t>
            </w:r>
          </w:p>
        </w:tc>
        <w:tc>
          <w:tcPr>
            <w:tcW w:w="519" w:type="pct"/>
          </w:tcPr>
          <w:p w14:paraId="750EEACB" w14:textId="77777777" w:rsidR="004714F8" w:rsidRPr="00315010" w:rsidRDefault="004714F8" w:rsidP="00A27B3C">
            <w:pPr>
              <w:pStyle w:val="CellPad"/>
              <w:cnfStyle w:val="010000000000" w:firstRow="0" w:lastRow="1" w:firstColumn="0" w:lastColumn="0" w:oddVBand="0" w:evenVBand="0" w:oddHBand="0" w:evenHBand="0" w:firstRowFirstColumn="0" w:firstRowLastColumn="0" w:lastRowFirstColumn="0" w:lastRowLastColumn="0"/>
            </w:pPr>
            <w:r w:rsidRPr="00315010">
              <w:t>50</w:t>
            </w:r>
          </w:p>
        </w:tc>
        <w:tc>
          <w:tcPr>
            <w:tcW w:w="707" w:type="pct"/>
          </w:tcPr>
          <w:p w14:paraId="58526B40" w14:textId="77777777" w:rsidR="004714F8" w:rsidRPr="00315010" w:rsidRDefault="004714F8" w:rsidP="00A27B3C">
            <w:pPr>
              <w:pStyle w:val="CellPad"/>
              <w:cnfStyle w:val="010000000000" w:firstRow="0" w:lastRow="1" w:firstColumn="0" w:lastColumn="0" w:oddVBand="0" w:evenVBand="0" w:oddHBand="0" w:evenHBand="0" w:firstRowFirstColumn="0" w:firstRowLastColumn="0" w:lastRowFirstColumn="0" w:lastRowLastColumn="0"/>
            </w:pPr>
            <w:r w:rsidRPr="00315010">
              <w:t>245</w:t>
            </w:r>
          </w:p>
        </w:tc>
        <w:tc>
          <w:tcPr>
            <w:tcW w:w="614" w:type="pct"/>
          </w:tcPr>
          <w:p w14:paraId="6CE959AD" w14:textId="77777777" w:rsidR="004714F8" w:rsidRPr="00315010" w:rsidRDefault="004714F8" w:rsidP="00A27B3C">
            <w:pPr>
              <w:pStyle w:val="CellPad"/>
              <w:cnfStyle w:val="010000000000" w:firstRow="0" w:lastRow="1" w:firstColumn="0" w:lastColumn="0" w:oddVBand="0" w:evenVBand="0" w:oddHBand="0" w:evenHBand="0" w:firstRowFirstColumn="0" w:firstRowLastColumn="0" w:lastRowFirstColumn="0" w:lastRowLastColumn="0"/>
            </w:pPr>
            <w:r w:rsidRPr="00315010">
              <w:t>61</w:t>
            </w:r>
          </w:p>
        </w:tc>
        <w:tc>
          <w:tcPr>
            <w:tcW w:w="710" w:type="pct"/>
          </w:tcPr>
          <w:p w14:paraId="4F224379" w14:textId="77777777" w:rsidR="004714F8" w:rsidRPr="00315010" w:rsidRDefault="004714F8" w:rsidP="00A27B3C">
            <w:pPr>
              <w:pStyle w:val="CellPad"/>
              <w:cnfStyle w:val="010000000000" w:firstRow="0" w:lastRow="1" w:firstColumn="0" w:lastColumn="0" w:oddVBand="0" w:evenVBand="0" w:oddHBand="0" w:evenHBand="0" w:firstRowFirstColumn="0" w:firstRowLastColumn="0" w:lastRowFirstColumn="0" w:lastRowLastColumn="0"/>
            </w:pPr>
            <w:r w:rsidRPr="00315010">
              <w:t>14%</w:t>
            </w:r>
          </w:p>
        </w:tc>
      </w:tr>
    </w:tbl>
    <w:p w14:paraId="7A709DBE" w14:textId="576BF003" w:rsidR="00D45CA2" w:rsidRDefault="00D76FA9" w:rsidP="00800E49">
      <w:pPr>
        <w:pStyle w:val="Source"/>
      </w:pPr>
      <w:r w:rsidRPr="00800E49">
        <w:t>Source</w:t>
      </w:r>
      <w:r w:rsidRPr="00D76FA9">
        <w:rPr>
          <w:rFonts w:cs="Arial"/>
        </w:rPr>
        <w:t xml:space="preserve">: </w:t>
      </w:r>
      <w:r w:rsidRPr="00D76FA9">
        <w:t xml:space="preserve">U.S. Department of Health and Human Services, Administration for Community Living, </w:t>
      </w:r>
      <w:r w:rsidR="0003471F" w:rsidRPr="00610201">
        <w:t>National Institute on Disability, Independent Living, and Rehabilitation Research</w:t>
      </w:r>
      <w:r w:rsidRPr="00D76FA9">
        <w:t>.</w:t>
      </w:r>
      <w:r w:rsidR="002003D5">
        <w:t xml:space="preserve"> </w:t>
      </w:r>
      <w:r w:rsidR="00CE32A0" w:rsidRPr="00CE32A0">
        <w:t xml:space="preserve">These figures do not include </w:t>
      </w:r>
      <w:r w:rsidR="00F50DD6">
        <w:t xml:space="preserve">two employment-related </w:t>
      </w:r>
      <w:r w:rsidR="00CE32A0" w:rsidRPr="00CE32A0">
        <w:t>FY 201</w:t>
      </w:r>
      <w:r w:rsidR="00FE60A7">
        <w:t>9</w:t>
      </w:r>
      <w:r w:rsidR="00CE32A0" w:rsidRPr="00CE32A0">
        <w:t xml:space="preserve"> awards made </w:t>
      </w:r>
      <w:r w:rsidR="002003D5">
        <w:t xml:space="preserve">from </w:t>
      </w:r>
      <w:r w:rsidR="00CE32A0" w:rsidRPr="00CE32A0">
        <w:t>201</w:t>
      </w:r>
      <w:r w:rsidR="00FE60A7">
        <w:t xml:space="preserve">8 </w:t>
      </w:r>
      <w:r w:rsidR="00F50DD6">
        <w:t>funding decision memos</w:t>
      </w:r>
      <w:r w:rsidR="00E14A04">
        <w:t>.</w:t>
      </w:r>
      <w:r w:rsidR="004714F8" w:rsidRPr="004714F8">
        <w:t xml:space="preserve"> </w:t>
      </w:r>
    </w:p>
    <w:p w14:paraId="4D6075A3" w14:textId="77777777" w:rsidR="00D45CA2" w:rsidRDefault="00052211" w:rsidP="003364E6">
      <w:pPr>
        <w:pStyle w:val="Heading3"/>
      </w:pPr>
      <w:bookmarkStart w:id="25" w:name="_Toc48042055"/>
      <w:r w:rsidRPr="00853BA6">
        <w:t xml:space="preserve">Monitoring </w:t>
      </w:r>
      <w:r w:rsidRPr="001F6BE6">
        <w:t>and</w:t>
      </w:r>
      <w:r w:rsidRPr="00853BA6">
        <w:t xml:space="preserve"> Oversight</w:t>
      </w:r>
      <w:bookmarkEnd w:id="25"/>
    </w:p>
    <w:p w14:paraId="088DD28C" w14:textId="0DC5461B" w:rsidR="00D45CA2" w:rsidRDefault="00F07C62" w:rsidP="0095770E">
      <w:r>
        <w:t>An</w:t>
      </w:r>
      <w:r w:rsidR="00052211" w:rsidRPr="005A561B">
        <w:t xml:space="preserve"> Annual Performance Reporting (APR) System, formative review mechanisms, and close monitoring of grant activities </w:t>
      </w:r>
      <w:r w:rsidR="00D345DE" w:rsidRPr="005A561B">
        <w:t>provi</w:t>
      </w:r>
      <w:r w:rsidR="00933AF3">
        <w:t xml:space="preserve">de </w:t>
      </w:r>
      <w:r w:rsidR="00D345DE" w:rsidRPr="005A561B">
        <w:t>rigorous oversight of its funded initiatives</w:t>
      </w:r>
      <w:r w:rsidR="00052211" w:rsidRPr="005A561B">
        <w:t xml:space="preserve">. </w:t>
      </w:r>
      <w:r w:rsidR="000F050B">
        <w:t xml:space="preserve">The </w:t>
      </w:r>
      <w:r w:rsidR="00052211" w:rsidRPr="005A561B">
        <w:t>APR</w:t>
      </w:r>
      <w:r w:rsidR="00052211" w:rsidRPr="005A561B" w:rsidDel="00717E7E">
        <w:t xml:space="preserve"> </w:t>
      </w:r>
      <w:r w:rsidR="00052211" w:rsidRPr="005A561B">
        <w:t xml:space="preserve">is a </w:t>
      </w:r>
      <w:r w:rsidR="00D65121">
        <w:t>w</w:t>
      </w:r>
      <w:r w:rsidR="00D65121" w:rsidRPr="005A561B">
        <w:t>eb-based grants performance system</w:t>
      </w:r>
      <w:r w:rsidR="00D65121">
        <w:t xml:space="preserve"> which allow</w:t>
      </w:r>
      <w:r w:rsidR="00D65121" w:rsidRPr="005A561B">
        <w:t xml:space="preserve"> grantee</w:t>
      </w:r>
      <w:r w:rsidR="00D65121">
        <w:t xml:space="preserve">s </w:t>
      </w:r>
      <w:r w:rsidR="00052211" w:rsidRPr="005A561B">
        <w:t xml:space="preserve">to provide data about goals and objectives, staffing, budget, research and development </w:t>
      </w:r>
      <w:r w:rsidR="009831C6">
        <w:t>methods</w:t>
      </w:r>
      <w:r w:rsidR="00052211" w:rsidRPr="005A561B">
        <w:t>, progress, outputs</w:t>
      </w:r>
      <w:r w:rsidR="0003471F">
        <w:t>,</w:t>
      </w:r>
      <w:r w:rsidR="00052211" w:rsidRPr="005A561B">
        <w:t xml:space="preserve"> and accomplishments.</w:t>
      </w:r>
      <w:r w:rsidR="00076D10">
        <w:t xml:space="preserve"> </w:t>
      </w:r>
      <w:r w:rsidR="000F050B">
        <w:t>S</w:t>
      </w:r>
      <w:r w:rsidR="00DD1ABF">
        <w:t>taff use this d</w:t>
      </w:r>
      <w:r w:rsidR="00052211" w:rsidRPr="005A561B">
        <w:t xml:space="preserve">ata to </w:t>
      </w:r>
      <w:r w:rsidR="00DD1ABF">
        <w:t xml:space="preserve">monitor grantees’ work and to </w:t>
      </w:r>
      <w:r w:rsidR="00052211" w:rsidRPr="005A561B">
        <w:t xml:space="preserve">determine whether continuation </w:t>
      </w:r>
      <w:r w:rsidR="002815D7">
        <w:t xml:space="preserve">of </w:t>
      </w:r>
      <w:r w:rsidR="00052211" w:rsidRPr="005A561B">
        <w:t>funding should be provided.</w:t>
      </w:r>
      <w:r w:rsidR="00076D10">
        <w:t xml:space="preserve"> </w:t>
      </w:r>
      <w:r w:rsidR="00052211" w:rsidRPr="005A561B">
        <w:t xml:space="preserve">For </w:t>
      </w:r>
      <w:r w:rsidR="00DD1ABF">
        <w:t xml:space="preserve">most </w:t>
      </w:r>
      <w:r w:rsidR="00052211" w:rsidRPr="005A561B">
        <w:t>new grantee</w:t>
      </w:r>
      <w:r w:rsidR="00DD1ABF">
        <w:t>s</w:t>
      </w:r>
      <w:r w:rsidR="00052211" w:rsidRPr="005A561B">
        <w:t>, the first reporting period begins on the start date of the award and extends until May 31 of the following year. Subsequent reporting periods begin June 1 and end May 31</w:t>
      </w:r>
      <w:r w:rsidR="005F2631">
        <w:t xml:space="preserve">; </w:t>
      </w:r>
      <w:r w:rsidR="002815D7">
        <w:t>however</w:t>
      </w:r>
      <w:r w:rsidR="005F2631">
        <w:t xml:space="preserve">, </w:t>
      </w:r>
      <w:r w:rsidR="002815D7">
        <w:t>g</w:t>
      </w:r>
      <w:r w:rsidR="00052211" w:rsidRPr="005A561B">
        <w:t xml:space="preserve">rantees </w:t>
      </w:r>
      <w:r w:rsidR="002815D7">
        <w:t xml:space="preserve">are required to </w:t>
      </w:r>
      <w:r w:rsidR="00052211" w:rsidRPr="005A561B">
        <w:t>submit their progress reports annually on July 1.</w:t>
      </w:r>
    </w:p>
    <w:p w14:paraId="43D300A7" w14:textId="1E401EE3" w:rsidR="00D45CA2" w:rsidRDefault="00052211" w:rsidP="0095770E">
      <w:r w:rsidRPr="005A561B">
        <w:t xml:space="preserve">Formative evaluations of funded awards </w:t>
      </w:r>
      <w:r w:rsidR="00D345DE" w:rsidRPr="005A561B">
        <w:t>are used as supplemental oversight and technical assistance tool</w:t>
      </w:r>
      <w:r w:rsidR="00515D78">
        <w:t>s for</w:t>
      </w:r>
      <w:r w:rsidRPr="005A561B">
        <w:t xml:space="preserve"> grantees.</w:t>
      </w:r>
      <w:r w:rsidR="00076D10">
        <w:t xml:space="preserve"> </w:t>
      </w:r>
      <w:r w:rsidRPr="005A561B">
        <w:t>Such reviews are conducted when program officers believe that a grantee could benefit from targeted technical assistance</w:t>
      </w:r>
      <w:r w:rsidR="002815D7">
        <w:t>,</w:t>
      </w:r>
      <w:r w:rsidR="00D345DE" w:rsidRPr="005A561B">
        <w:t xml:space="preserve"> in addition to </w:t>
      </w:r>
      <w:r w:rsidR="005F2631">
        <w:t>technical assistance provided by</w:t>
      </w:r>
      <w:r w:rsidR="00D345DE" w:rsidRPr="005A561B">
        <w:t xml:space="preserve"> the program officer</w:t>
      </w:r>
      <w:r w:rsidRPr="005A561B">
        <w:t>.</w:t>
      </w:r>
      <w:r w:rsidR="00076D10">
        <w:t xml:space="preserve"> </w:t>
      </w:r>
      <w:r w:rsidRPr="005A561B">
        <w:t>A panel of subject matter experts is chosen to provide the technical assistance and make recommendations for improvement</w:t>
      </w:r>
      <w:r w:rsidR="00933AF3">
        <w:t xml:space="preserve"> if needed</w:t>
      </w:r>
      <w:r w:rsidRPr="005A561B">
        <w:t>.</w:t>
      </w:r>
    </w:p>
    <w:p w14:paraId="10CCDE90" w14:textId="2F16719D" w:rsidR="00D45CA2" w:rsidRDefault="000F050B" w:rsidP="00066CC5">
      <w:pPr>
        <w:spacing w:after="200"/>
      </w:pPr>
      <w:r>
        <w:lastRenderedPageBreak/>
        <w:t>S</w:t>
      </w:r>
      <w:r w:rsidR="00D345DE" w:rsidRPr="005A561B">
        <w:t xml:space="preserve">taff, as </w:t>
      </w:r>
      <w:r w:rsidR="00EF0ABA">
        <w:t>experienced</w:t>
      </w:r>
      <w:r w:rsidR="00D345DE" w:rsidRPr="005A561B">
        <w:t xml:space="preserve"> </w:t>
      </w:r>
      <w:r w:rsidR="00052211" w:rsidRPr="005A561B">
        <w:t>program administrators and researchers</w:t>
      </w:r>
      <w:r w:rsidR="00D345DE" w:rsidRPr="005A561B">
        <w:t xml:space="preserve">, are highly adept at maintaining </w:t>
      </w:r>
      <w:r w:rsidR="00052211" w:rsidRPr="005A561B">
        <w:t>ongoing, routine communication</w:t>
      </w:r>
      <w:r w:rsidR="009831C6">
        <w:t xml:space="preserve"> with </w:t>
      </w:r>
      <w:r w:rsidR="00052211" w:rsidRPr="005A561B">
        <w:t>and oversight</w:t>
      </w:r>
      <w:r w:rsidR="009831C6">
        <w:t xml:space="preserve"> of </w:t>
      </w:r>
      <w:r w:rsidR="00052211" w:rsidRPr="005A561B">
        <w:t xml:space="preserve">grantees to help inform their scientific programs and ensure </w:t>
      </w:r>
      <w:r w:rsidR="00A064FA">
        <w:t xml:space="preserve">that they </w:t>
      </w:r>
      <w:r w:rsidR="00052211" w:rsidRPr="005A561B">
        <w:t>are meeting goals and objectives.</w:t>
      </w:r>
      <w:r w:rsidR="00076D10">
        <w:t xml:space="preserve"> </w:t>
      </w:r>
      <w:r w:rsidR="00052211" w:rsidRPr="005A561B">
        <w:t xml:space="preserve">Program </w:t>
      </w:r>
      <w:r w:rsidR="00486AB6">
        <w:t>o</w:t>
      </w:r>
      <w:r w:rsidR="00052211" w:rsidRPr="005A561B">
        <w:t>fficers use the HHS Grants Policy Administration Manual to provide consistent oversight across projects.</w:t>
      </w:r>
      <w:r w:rsidR="00076D10">
        <w:t xml:space="preserve"> </w:t>
      </w:r>
      <w:r w:rsidR="00052211" w:rsidRPr="005A561B">
        <w:t xml:space="preserve">Risk assessments are conducted </w:t>
      </w:r>
      <w:r w:rsidR="00A064FA">
        <w:t xml:space="preserve">to </w:t>
      </w:r>
      <w:r w:rsidR="00DD1ABF">
        <w:t>identify grantees who are at risk for poor performance</w:t>
      </w:r>
      <w:r w:rsidR="00052211" w:rsidRPr="005A561B">
        <w:t xml:space="preserve">, </w:t>
      </w:r>
      <w:r w:rsidR="002815D7">
        <w:t xml:space="preserve">however </w:t>
      </w:r>
      <w:r w:rsidR="00052211" w:rsidRPr="005A561B">
        <w:t xml:space="preserve">additional oversight and technical support </w:t>
      </w:r>
      <w:r w:rsidR="002815D7">
        <w:t xml:space="preserve">can be </w:t>
      </w:r>
      <w:r w:rsidR="00052211" w:rsidRPr="005A561B">
        <w:t xml:space="preserve">provided as needed. Though rare, </w:t>
      </w:r>
      <w:r w:rsidR="00052211" w:rsidRPr="00423BD5">
        <w:t>findings of ongoing poor performance can lead to a discontinuation of funding to a grantee.</w:t>
      </w:r>
    </w:p>
    <w:p w14:paraId="1E82F043" w14:textId="77777777" w:rsidR="00D45CA2" w:rsidRDefault="00622064" w:rsidP="003364E6">
      <w:pPr>
        <w:pStyle w:val="Heading3"/>
      </w:pPr>
      <w:bookmarkStart w:id="26" w:name="_Toc480972970"/>
      <w:bookmarkStart w:id="27" w:name="_Toc48042056"/>
      <w:r w:rsidRPr="009804A1">
        <w:t>Funding</w:t>
      </w:r>
      <w:r w:rsidRPr="00EF4262">
        <w:rPr>
          <w:rFonts w:eastAsia="Times New Roman"/>
        </w:rPr>
        <w:t xml:space="preserve"> Overview</w:t>
      </w:r>
      <w:bookmarkEnd w:id="26"/>
      <w:bookmarkEnd w:id="27"/>
    </w:p>
    <w:p w14:paraId="20480BCA" w14:textId="242E3306" w:rsidR="007754F0" w:rsidRPr="007754F0" w:rsidRDefault="00476435" w:rsidP="007754F0">
      <w:pPr>
        <w:spacing w:after="180"/>
      </w:pPr>
      <w:r w:rsidRPr="00476435">
        <w:t xml:space="preserve">The allocation of </w:t>
      </w:r>
      <w:r w:rsidR="007A6537" w:rsidRPr="00476435">
        <w:t xml:space="preserve">FY 2019 </w:t>
      </w:r>
      <w:r w:rsidRPr="00476435">
        <w:t xml:space="preserve">grant funds for the 11 funding mechanisms discussed </w:t>
      </w:r>
      <w:r w:rsidR="007A6537">
        <w:t>above</w:t>
      </w:r>
      <w:r w:rsidRPr="00476435">
        <w:t xml:space="preserve"> is </w:t>
      </w:r>
      <w:r w:rsidR="005F2631">
        <w:t>displayed</w:t>
      </w:r>
      <w:r w:rsidRPr="00476435">
        <w:t xml:space="preserve"> in Table </w:t>
      </w:r>
      <w:r w:rsidR="007A6537">
        <w:t>2</w:t>
      </w:r>
      <w:r w:rsidRPr="00476435">
        <w:t xml:space="preserve">. For each funding mechanism, the table includes the number of new and continuation awards. </w:t>
      </w:r>
      <w:r w:rsidR="000F050B">
        <w:t xml:space="preserve">The </w:t>
      </w:r>
      <w:r w:rsidRPr="00476435">
        <w:t>overall grant allocations across all 11 funding mechanisms totaled $100,935,565 for FY 2019.</w:t>
      </w:r>
      <w:bookmarkStart w:id="28" w:name="_Toc480972971"/>
    </w:p>
    <w:p w14:paraId="06F908DF" w14:textId="474AD870" w:rsidR="00622064" w:rsidRDefault="00622064" w:rsidP="002E6495">
      <w:pPr>
        <w:pStyle w:val="ExhibitHead"/>
      </w:pPr>
      <w:r w:rsidRPr="00437BB6">
        <w:rPr>
          <w:rFonts w:eastAsia="ヒラギノ角ゴ Pro W3"/>
        </w:rPr>
        <w:t xml:space="preserve">Table </w:t>
      </w:r>
      <w:r w:rsidR="00933AF3" w:rsidRPr="00437BB6">
        <w:rPr>
          <w:rFonts w:eastAsia="ヒラギノ角ゴ Pro W3"/>
        </w:rPr>
        <w:t>2</w:t>
      </w:r>
      <w:r w:rsidRPr="00437BB6">
        <w:rPr>
          <w:rFonts w:eastAsia="ヒラギノ角ゴ Pro W3"/>
        </w:rPr>
        <w:t xml:space="preserve">. </w:t>
      </w:r>
      <w:r w:rsidRPr="00437BB6">
        <w:t xml:space="preserve">NIDILRR-Funded Centers and Projects: Funding and Awards, FY </w:t>
      </w:r>
      <w:bookmarkEnd w:id="28"/>
      <w:r w:rsidR="004235E9">
        <w:t>201</w:t>
      </w:r>
      <w:r w:rsidR="00FE60A7">
        <w:t>9</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045"/>
        <w:gridCol w:w="2610"/>
        <w:gridCol w:w="2695"/>
      </w:tblGrid>
      <w:tr w:rsidR="006C27A7" w14:paraId="70540F24" w14:textId="77777777" w:rsidTr="008243B3">
        <w:trPr>
          <w:cantSplit/>
        </w:trPr>
        <w:tc>
          <w:tcPr>
            <w:tcW w:w="4045" w:type="dxa"/>
            <w:shd w:val="clear" w:color="auto" w:fill="002060"/>
          </w:tcPr>
          <w:p w14:paraId="4D655F03" w14:textId="51B66E06" w:rsidR="006C27A7" w:rsidRPr="006C27A7" w:rsidRDefault="006C27A7" w:rsidP="006C27A7">
            <w:pPr>
              <w:pStyle w:val="ExhibitHead"/>
              <w:jc w:val="center"/>
              <w:rPr>
                <w:b/>
                <w:bCs w:val="0"/>
                <w:color w:val="FFFFFF" w:themeColor="background1"/>
              </w:rPr>
            </w:pPr>
            <w:r w:rsidRPr="006C27A7">
              <w:rPr>
                <w:b/>
                <w:bCs w:val="0"/>
                <w:color w:val="FFFFFF" w:themeColor="background1"/>
              </w:rPr>
              <w:t>NIDILRR-Funded Centers &amp; Projects</w:t>
            </w:r>
          </w:p>
        </w:tc>
        <w:tc>
          <w:tcPr>
            <w:tcW w:w="2610" w:type="dxa"/>
            <w:shd w:val="clear" w:color="auto" w:fill="002060"/>
          </w:tcPr>
          <w:p w14:paraId="44FAE595" w14:textId="6D6BD8AC" w:rsidR="006C27A7" w:rsidRPr="006C27A7" w:rsidRDefault="006C27A7" w:rsidP="006C27A7">
            <w:pPr>
              <w:pStyle w:val="ExhibitHead"/>
              <w:jc w:val="center"/>
              <w:rPr>
                <w:b/>
                <w:bCs w:val="0"/>
                <w:color w:val="FFFFFF" w:themeColor="background1"/>
              </w:rPr>
            </w:pPr>
            <w:r w:rsidRPr="006C27A7">
              <w:rPr>
                <w:b/>
                <w:bCs w:val="0"/>
                <w:color w:val="FFFFFF" w:themeColor="background1"/>
              </w:rPr>
              <w:t>FY 2019</w:t>
            </w:r>
          </w:p>
        </w:tc>
        <w:tc>
          <w:tcPr>
            <w:tcW w:w="2695" w:type="dxa"/>
            <w:shd w:val="clear" w:color="auto" w:fill="002060"/>
          </w:tcPr>
          <w:p w14:paraId="684669C1" w14:textId="617F0C61" w:rsidR="006C27A7" w:rsidRPr="006C27A7" w:rsidRDefault="006C27A7" w:rsidP="006C27A7">
            <w:pPr>
              <w:pStyle w:val="ExhibitHead"/>
              <w:jc w:val="center"/>
              <w:rPr>
                <w:b/>
                <w:bCs w:val="0"/>
                <w:color w:val="FFFFFF" w:themeColor="background1"/>
              </w:rPr>
            </w:pPr>
            <w:r w:rsidRPr="006C27A7">
              <w:rPr>
                <w:b/>
                <w:bCs w:val="0"/>
                <w:color w:val="FFFFFF" w:themeColor="background1"/>
              </w:rPr>
              <w:t>Grant Amount</w:t>
            </w:r>
          </w:p>
        </w:tc>
      </w:tr>
    </w:tbl>
    <w:tbl>
      <w:tblPr>
        <w:tblStyle w:val="NIDILRRTable"/>
        <w:tblW w:w="5000" w:type="pct"/>
        <w:tblBorders>
          <w:insideH w:val="single" w:sz="6" w:space="0" w:color="2F5496" w:themeColor="accent5" w:themeShade="BF"/>
          <w:insideV w:val="single" w:sz="6" w:space="0" w:color="2F5496" w:themeColor="accent5" w:themeShade="BF"/>
        </w:tblBorders>
        <w:tblLayout w:type="fixed"/>
        <w:tblLook w:val="06E0" w:firstRow="1" w:lastRow="1" w:firstColumn="1" w:lastColumn="0" w:noHBand="1" w:noVBand="1"/>
      </w:tblPr>
      <w:tblGrid>
        <w:gridCol w:w="1950"/>
        <w:gridCol w:w="2110"/>
        <w:gridCol w:w="1443"/>
        <w:gridCol w:w="1170"/>
        <w:gridCol w:w="1352"/>
        <w:gridCol w:w="1335"/>
      </w:tblGrid>
      <w:tr w:rsidR="00F56A2B" w:rsidRPr="00F56A2B" w14:paraId="713DA735" w14:textId="77777777" w:rsidTr="006C27A7">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042" w:type="pct"/>
            <w:tcBorders>
              <w:bottom w:val="single" w:sz="6" w:space="0" w:color="2F5496" w:themeColor="accent5" w:themeShade="BF"/>
            </w:tcBorders>
            <w:shd w:val="clear" w:color="auto" w:fill="E0E0E0"/>
            <w:vAlign w:val="top"/>
          </w:tcPr>
          <w:p w14:paraId="01538C7E" w14:textId="77777777" w:rsidR="00C04BC5" w:rsidRDefault="00E44A1A" w:rsidP="00A27B3C">
            <w:pPr>
              <w:pStyle w:val="NoSpacing"/>
              <w:rPr>
                <w:b w:val="0"/>
                <w:bCs w:val="0"/>
                <w:color w:val="000000" w:themeColor="text1"/>
              </w:rPr>
            </w:pPr>
            <w:r w:rsidRPr="006C27A7">
              <w:rPr>
                <w:color w:val="000000" w:themeColor="text1"/>
              </w:rPr>
              <w:t>Funding Mechanism</w:t>
            </w:r>
          </w:p>
          <w:p w14:paraId="2E144F71" w14:textId="1C5844C9" w:rsidR="00E44A1A" w:rsidRPr="006C27A7" w:rsidRDefault="008D35D7" w:rsidP="00A27B3C">
            <w:pPr>
              <w:pStyle w:val="NoSpacing"/>
              <w:rPr>
                <w:color w:val="000000" w:themeColor="text1"/>
              </w:rPr>
            </w:pPr>
            <w:r w:rsidRPr="006C27A7">
              <w:rPr>
                <w:color w:val="000000" w:themeColor="text1"/>
              </w:rPr>
              <w:t xml:space="preserve"> </w:t>
            </w:r>
            <w:r w:rsidRPr="00C04BC5">
              <w:rPr>
                <w:color w:val="E0E0E0"/>
                <w:sz w:val="2"/>
                <w:szCs w:val="2"/>
              </w:rPr>
              <w:t>(NIDILRR-Funded Centers and Projects)</w:t>
            </w:r>
          </w:p>
        </w:tc>
        <w:tc>
          <w:tcPr>
            <w:tcW w:w="1127" w:type="pct"/>
            <w:shd w:val="clear" w:color="auto" w:fill="E0E0E0"/>
            <w:vAlign w:val="top"/>
          </w:tcPr>
          <w:p w14:paraId="6F474613" w14:textId="77777777" w:rsidR="00C04BC5" w:rsidRDefault="00E44A1A" w:rsidP="00A27B3C">
            <w:pPr>
              <w:pStyle w:val="NoSpacing"/>
              <w:cnfStyle w:val="100000000000" w:firstRow="1" w:lastRow="0" w:firstColumn="0" w:lastColumn="0" w:oddVBand="0" w:evenVBand="0" w:oddHBand="0" w:evenHBand="0" w:firstRowFirstColumn="0" w:firstRowLastColumn="0" w:lastRowFirstColumn="0" w:lastRowLastColumn="0"/>
              <w:rPr>
                <w:rStyle w:val="Bold"/>
                <w:bCs w:val="0"/>
                <w:color w:val="000000" w:themeColor="text1"/>
              </w:rPr>
            </w:pPr>
            <w:r w:rsidRPr="006C27A7">
              <w:rPr>
                <w:rStyle w:val="Bold"/>
                <w:b/>
                <w:color w:val="000000" w:themeColor="text1"/>
              </w:rPr>
              <w:t>Award Type</w:t>
            </w:r>
          </w:p>
          <w:p w14:paraId="5C3876CB" w14:textId="2ABEA832" w:rsidR="00E44A1A" w:rsidRPr="006C27A7" w:rsidRDefault="008D35D7" w:rsidP="00A27B3C">
            <w:pPr>
              <w:pStyle w:val="NoSpacing"/>
              <w:cnfStyle w:val="100000000000" w:firstRow="1" w:lastRow="0" w:firstColumn="0" w:lastColumn="0" w:oddVBand="0" w:evenVBand="0" w:oddHBand="0" w:evenHBand="0" w:firstRowFirstColumn="0" w:firstRowLastColumn="0" w:lastRowFirstColumn="0" w:lastRowLastColumn="0"/>
              <w:rPr>
                <w:rStyle w:val="Bold"/>
                <w:b/>
                <w:color w:val="000000" w:themeColor="text1"/>
              </w:rPr>
            </w:pPr>
            <w:r w:rsidRPr="006C27A7">
              <w:rPr>
                <w:rStyle w:val="Bold"/>
                <w:b/>
                <w:color w:val="000000" w:themeColor="text1"/>
              </w:rPr>
              <w:t xml:space="preserve"> </w:t>
            </w:r>
            <w:r w:rsidRPr="00C04BC5">
              <w:rPr>
                <w:color w:val="E0E0E0"/>
                <w:sz w:val="2"/>
                <w:szCs w:val="2"/>
              </w:rPr>
              <w:t>(NIDILRR-Funded Centers and Projects)</w:t>
            </w:r>
          </w:p>
        </w:tc>
        <w:tc>
          <w:tcPr>
            <w:tcW w:w="771" w:type="pct"/>
            <w:shd w:val="clear" w:color="auto" w:fill="E0E0E0"/>
            <w:vAlign w:val="top"/>
          </w:tcPr>
          <w:p w14:paraId="7D32344A" w14:textId="77777777" w:rsidR="00E44A1A" w:rsidRPr="006C27A7" w:rsidRDefault="00EA1D9C" w:rsidP="00A27B3C">
            <w:pPr>
              <w:pStyle w:val="NoSpacing"/>
              <w:cnfStyle w:val="100000000000" w:firstRow="1" w:lastRow="0" w:firstColumn="0" w:lastColumn="0" w:oddVBand="0" w:evenVBand="0" w:oddHBand="0" w:evenHBand="0" w:firstRowFirstColumn="0" w:firstRowLastColumn="0" w:lastRowFirstColumn="0" w:lastRowLastColumn="0"/>
              <w:rPr>
                <w:rStyle w:val="Bold"/>
                <w:b/>
                <w:color w:val="000000" w:themeColor="text1"/>
              </w:rPr>
            </w:pPr>
            <w:r w:rsidRPr="006C27A7">
              <w:rPr>
                <w:rStyle w:val="Bold"/>
                <w:b/>
                <w:color w:val="000000" w:themeColor="text1"/>
              </w:rPr>
              <w:t xml:space="preserve"># </w:t>
            </w:r>
            <w:r w:rsidR="00E44A1A" w:rsidRPr="006C27A7">
              <w:rPr>
                <w:rStyle w:val="Bold"/>
                <w:b/>
                <w:color w:val="000000" w:themeColor="text1"/>
              </w:rPr>
              <w:t>of Awards</w:t>
            </w:r>
            <w:r w:rsidR="008D35D7" w:rsidRPr="006C27A7">
              <w:rPr>
                <w:rStyle w:val="Bold"/>
                <w:b/>
                <w:color w:val="000000" w:themeColor="text1"/>
              </w:rPr>
              <w:t xml:space="preserve"> </w:t>
            </w:r>
            <w:r w:rsidR="008D35D7" w:rsidRPr="00C04BC5">
              <w:rPr>
                <w:rStyle w:val="Bold"/>
                <w:b/>
                <w:color w:val="E0E0E0"/>
                <w:sz w:val="2"/>
                <w:szCs w:val="2"/>
              </w:rPr>
              <w:t>FY 2019</w:t>
            </w:r>
          </w:p>
        </w:tc>
        <w:tc>
          <w:tcPr>
            <w:tcW w:w="625" w:type="pct"/>
            <w:tcBorders>
              <w:bottom w:val="single" w:sz="6" w:space="0" w:color="2F5496" w:themeColor="accent5" w:themeShade="BF"/>
            </w:tcBorders>
            <w:shd w:val="clear" w:color="auto" w:fill="E0E0E0"/>
            <w:vAlign w:val="top"/>
          </w:tcPr>
          <w:p w14:paraId="547700D8" w14:textId="77777777" w:rsidR="00C04BC5" w:rsidRDefault="00E44A1A" w:rsidP="00A27B3C">
            <w:pPr>
              <w:pStyle w:val="NoSpacing"/>
              <w:cnfStyle w:val="100000000000" w:firstRow="1" w:lastRow="0" w:firstColumn="0" w:lastColumn="0" w:oddVBand="0" w:evenVBand="0" w:oddHBand="0" w:evenHBand="0" w:firstRowFirstColumn="0" w:firstRowLastColumn="0" w:lastRowFirstColumn="0" w:lastRowLastColumn="0"/>
              <w:rPr>
                <w:rStyle w:val="Bold"/>
                <w:bCs w:val="0"/>
                <w:color w:val="000000" w:themeColor="text1"/>
              </w:rPr>
            </w:pPr>
            <w:r w:rsidRPr="006C27A7">
              <w:rPr>
                <w:rStyle w:val="Bold"/>
                <w:b/>
                <w:color w:val="000000" w:themeColor="text1"/>
              </w:rPr>
              <w:t>Total</w:t>
            </w:r>
          </w:p>
          <w:p w14:paraId="0A0D0654" w14:textId="7D417D76" w:rsidR="00E44A1A" w:rsidRPr="006C27A7" w:rsidRDefault="008D35D7" w:rsidP="00A27B3C">
            <w:pPr>
              <w:pStyle w:val="NoSpacing"/>
              <w:cnfStyle w:val="100000000000" w:firstRow="1" w:lastRow="0" w:firstColumn="0" w:lastColumn="0" w:oddVBand="0" w:evenVBand="0" w:oddHBand="0" w:evenHBand="0" w:firstRowFirstColumn="0" w:firstRowLastColumn="0" w:lastRowFirstColumn="0" w:lastRowLastColumn="0"/>
              <w:rPr>
                <w:rStyle w:val="Bold"/>
                <w:b/>
                <w:color w:val="000000" w:themeColor="text1"/>
              </w:rPr>
            </w:pPr>
            <w:r w:rsidRPr="006C27A7">
              <w:rPr>
                <w:rStyle w:val="Bold"/>
                <w:b/>
                <w:color w:val="000000" w:themeColor="text1"/>
              </w:rPr>
              <w:t xml:space="preserve"> </w:t>
            </w:r>
            <w:r w:rsidRPr="00C04BC5">
              <w:rPr>
                <w:rStyle w:val="Bold"/>
                <w:b/>
                <w:color w:val="E0E0E0"/>
                <w:sz w:val="2"/>
                <w:szCs w:val="2"/>
              </w:rPr>
              <w:t>FY 2019</w:t>
            </w:r>
          </w:p>
        </w:tc>
        <w:tc>
          <w:tcPr>
            <w:tcW w:w="722" w:type="pct"/>
            <w:shd w:val="clear" w:color="auto" w:fill="E0E0E0"/>
            <w:vAlign w:val="top"/>
          </w:tcPr>
          <w:p w14:paraId="30B87957" w14:textId="77777777" w:rsidR="008D35D7" w:rsidRPr="006C27A7" w:rsidRDefault="00E44A1A" w:rsidP="00066CC5">
            <w:pPr>
              <w:pStyle w:val="NoSpacing"/>
              <w:cnfStyle w:val="100000000000" w:firstRow="1" w:lastRow="0" w:firstColumn="0" w:lastColumn="0" w:oddVBand="0" w:evenVBand="0" w:oddHBand="0" w:evenHBand="0" w:firstRowFirstColumn="0" w:firstRowLastColumn="0" w:lastRowFirstColumn="0" w:lastRowLastColumn="0"/>
              <w:rPr>
                <w:color w:val="000000" w:themeColor="text1"/>
                <w:sz w:val="2"/>
                <w:szCs w:val="2"/>
              </w:rPr>
            </w:pPr>
            <w:r w:rsidRPr="006C27A7">
              <w:rPr>
                <w:rStyle w:val="Bold"/>
                <w:b/>
                <w:color w:val="000000" w:themeColor="text1"/>
              </w:rPr>
              <w:t xml:space="preserve">In Thousands of </w:t>
            </w:r>
            <w:r w:rsidR="00EA1D9C" w:rsidRPr="006C27A7">
              <w:rPr>
                <w:rStyle w:val="Bold"/>
                <w:b/>
                <w:color w:val="000000" w:themeColor="text1"/>
              </w:rPr>
              <w:t>$</w:t>
            </w:r>
            <w:r w:rsidR="008D35D7" w:rsidRPr="00C04BC5">
              <w:rPr>
                <w:color w:val="E0E0E0"/>
                <w:sz w:val="2"/>
                <w:szCs w:val="2"/>
              </w:rPr>
              <w:t>Grant Amount</w:t>
            </w:r>
          </w:p>
        </w:tc>
        <w:tc>
          <w:tcPr>
            <w:tcW w:w="713" w:type="pct"/>
            <w:tcBorders>
              <w:bottom w:val="single" w:sz="6" w:space="0" w:color="2F5496" w:themeColor="accent5" w:themeShade="BF"/>
            </w:tcBorders>
            <w:shd w:val="clear" w:color="auto" w:fill="E0E0E0"/>
            <w:vAlign w:val="top"/>
          </w:tcPr>
          <w:p w14:paraId="3013DA9E" w14:textId="77777777" w:rsidR="00E44A1A" w:rsidRPr="006C27A7" w:rsidRDefault="00E44A1A" w:rsidP="00A27B3C">
            <w:pPr>
              <w:pStyle w:val="NoSpacing"/>
              <w:cnfStyle w:val="100000000000" w:firstRow="1" w:lastRow="0" w:firstColumn="0" w:lastColumn="0" w:oddVBand="0" w:evenVBand="0" w:oddHBand="0" w:evenHBand="0" w:firstRowFirstColumn="0" w:firstRowLastColumn="0" w:lastRowFirstColumn="0" w:lastRowLastColumn="0"/>
              <w:rPr>
                <w:rStyle w:val="Bold"/>
                <w:b/>
                <w:color w:val="000000" w:themeColor="text1"/>
              </w:rPr>
            </w:pPr>
            <w:r w:rsidRPr="006C27A7">
              <w:rPr>
                <w:rStyle w:val="Bold"/>
                <w:b/>
                <w:color w:val="000000" w:themeColor="text1"/>
              </w:rPr>
              <w:t>Total</w:t>
            </w:r>
          </w:p>
          <w:p w14:paraId="04B6BB57" w14:textId="77777777" w:rsidR="008D35D7" w:rsidRPr="006C27A7" w:rsidRDefault="008D35D7" w:rsidP="008D35D7">
            <w:pPr>
              <w:cnfStyle w:val="100000000000" w:firstRow="1" w:lastRow="0" w:firstColumn="0" w:lastColumn="0" w:oddVBand="0" w:evenVBand="0" w:oddHBand="0" w:evenHBand="0" w:firstRowFirstColumn="0" w:firstRowLastColumn="0" w:lastRowFirstColumn="0" w:lastRowLastColumn="0"/>
              <w:rPr>
                <w:color w:val="000000" w:themeColor="text1"/>
                <w:sz w:val="2"/>
                <w:szCs w:val="2"/>
              </w:rPr>
            </w:pPr>
            <w:r w:rsidRPr="00C04BC5">
              <w:rPr>
                <w:color w:val="E0E0E0"/>
                <w:sz w:val="2"/>
                <w:szCs w:val="2"/>
              </w:rPr>
              <w:t>Grant amount</w:t>
            </w:r>
          </w:p>
        </w:tc>
      </w:tr>
      <w:tr w:rsidR="0015731A" w:rsidRPr="004174D6" w14:paraId="4D052108"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65449BB4" w14:textId="77777777" w:rsidR="0015731A" w:rsidRPr="002903C5" w:rsidRDefault="0015731A" w:rsidP="00CC11AE">
            <w:pPr>
              <w:pStyle w:val="NoSpacing"/>
            </w:pPr>
            <w:r w:rsidRPr="002903C5">
              <w:t>RRTC</w:t>
            </w:r>
          </w:p>
        </w:tc>
        <w:tc>
          <w:tcPr>
            <w:tcW w:w="1127" w:type="pct"/>
            <w:vAlign w:val="top"/>
          </w:tcPr>
          <w:p w14:paraId="1416478C"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35C382B4"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14</w:t>
            </w:r>
          </w:p>
        </w:tc>
        <w:tc>
          <w:tcPr>
            <w:tcW w:w="625" w:type="pct"/>
            <w:tcBorders>
              <w:top w:val="single" w:sz="6" w:space="0" w:color="2F5496" w:themeColor="accent5" w:themeShade="BF"/>
              <w:bottom w:val="nil"/>
            </w:tcBorders>
            <w:vAlign w:val="top"/>
          </w:tcPr>
          <w:p w14:paraId="2879F9C0"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rsidRPr="004174D6">
              <w:t>2</w:t>
            </w:r>
            <w:r>
              <w:t>0</w:t>
            </w:r>
          </w:p>
        </w:tc>
        <w:tc>
          <w:tcPr>
            <w:tcW w:w="722" w:type="pct"/>
            <w:vAlign w:val="top"/>
          </w:tcPr>
          <w:p w14:paraId="6A6F03B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11,949</w:t>
            </w:r>
          </w:p>
        </w:tc>
        <w:tc>
          <w:tcPr>
            <w:tcW w:w="713" w:type="pct"/>
            <w:tcBorders>
              <w:top w:val="single" w:sz="6" w:space="0" w:color="2F5496" w:themeColor="accent5" w:themeShade="BF"/>
              <w:bottom w:val="nil"/>
            </w:tcBorders>
            <w:vAlign w:val="top"/>
          </w:tcPr>
          <w:p w14:paraId="3FEEF3A0"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17,198</w:t>
            </w:r>
          </w:p>
        </w:tc>
      </w:tr>
      <w:tr w:rsidR="0015731A" w:rsidRPr="004174D6" w14:paraId="09235371"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58D11CED" w14:textId="77777777" w:rsidR="0015731A" w:rsidRPr="002903C5" w:rsidRDefault="00055793" w:rsidP="00CC11AE">
            <w:pPr>
              <w:pStyle w:val="NoSpacing"/>
            </w:pPr>
            <w:r w:rsidRPr="00055793">
              <w:rPr>
                <w:color w:val="F2F2F2" w:themeColor="background1" w:themeShade="F2"/>
              </w:rPr>
              <w:t>RRTC</w:t>
            </w:r>
          </w:p>
        </w:tc>
        <w:tc>
          <w:tcPr>
            <w:tcW w:w="1127" w:type="pct"/>
            <w:vAlign w:val="top"/>
          </w:tcPr>
          <w:p w14:paraId="694F94F3"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2D121AD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6</w:t>
            </w:r>
          </w:p>
        </w:tc>
        <w:tc>
          <w:tcPr>
            <w:tcW w:w="625" w:type="pct"/>
            <w:tcBorders>
              <w:top w:val="nil"/>
              <w:bottom w:val="single" w:sz="6" w:space="0" w:color="2F5496" w:themeColor="accent5" w:themeShade="BF"/>
            </w:tcBorders>
            <w:vAlign w:val="top"/>
          </w:tcPr>
          <w:p w14:paraId="2A9CD83E" w14:textId="77777777" w:rsidR="0015731A"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rsidRPr="00055793">
              <w:rPr>
                <w:color w:val="FFFFFF" w:themeColor="background1"/>
              </w:rPr>
              <w:t>20</w:t>
            </w:r>
          </w:p>
        </w:tc>
        <w:tc>
          <w:tcPr>
            <w:tcW w:w="722" w:type="pct"/>
            <w:vAlign w:val="top"/>
          </w:tcPr>
          <w:p w14:paraId="5E207B18"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5,249</w:t>
            </w:r>
          </w:p>
        </w:tc>
        <w:tc>
          <w:tcPr>
            <w:tcW w:w="713" w:type="pct"/>
            <w:tcBorders>
              <w:top w:val="nil"/>
              <w:bottom w:val="single" w:sz="6" w:space="0" w:color="2F5496" w:themeColor="accent5" w:themeShade="BF"/>
            </w:tcBorders>
            <w:vAlign w:val="top"/>
          </w:tcPr>
          <w:p w14:paraId="1F1F26E1" w14:textId="77777777" w:rsidR="0015731A"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rsidRPr="00055793">
              <w:rPr>
                <w:color w:val="FFFFFF" w:themeColor="background1"/>
              </w:rPr>
              <w:t>17,198</w:t>
            </w:r>
          </w:p>
        </w:tc>
      </w:tr>
      <w:tr w:rsidR="006646E2" w:rsidRPr="004174D6" w14:paraId="026A4302"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2B44D764" w14:textId="77777777" w:rsidR="006646E2" w:rsidRPr="002903C5" w:rsidRDefault="006646E2" w:rsidP="00CC11AE">
            <w:pPr>
              <w:pStyle w:val="NoSpacing"/>
            </w:pPr>
            <w:r w:rsidRPr="002903C5">
              <w:t>RERC</w:t>
            </w:r>
          </w:p>
        </w:tc>
        <w:tc>
          <w:tcPr>
            <w:tcW w:w="1127" w:type="pct"/>
            <w:vAlign w:val="top"/>
          </w:tcPr>
          <w:p w14:paraId="0B07D9CB" w14:textId="77777777" w:rsidR="006646E2" w:rsidRPr="004174D6" w:rsidRDefault="006646E2"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473AF8A4"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13</w:t>
            </w:r>
          </w:p>
        </w:tc>
        <w:tc>
          <w:tcPr>
            <w:tcW w:w="625" w:type="pct"/>
            <w:tcBorders>
              <w:top w:val="single" w:sz="6" w:space="0" w:color="2F5496" w:themeColor="accent5" w:themeShade="BF"/>
              <w:bottom w:val="nil"/>
            </w:tcBorders>
            <w:vAlign w:val="top"/>
          </w:tcPr>
          <w:p w14:paraId="3C6198C0"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17</w:t>
            </w:r>
          </w:p>
        </w:tc>
        <w:tc>
          <w:tcPr>
            <w:tcW w:w="722" w:type="pct"/>
            <w:vAlign w:val="top"/>
          </w:tcPr>
          <w:p w14:paraId="072DCA2E"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11,994</w:t>
            </w:r>
          </w:p>
        </w:tc>
        <w:tc>
          <w:tcPr>
            <w:tcW w:w="713" w:type="pct"/>
            <w:tcBorders>
              <w:top w:val="single" w:sz="6" w:space="0" w:color="2F5496" w:themeColor="accent5" w:themeShade="BF"/>
              <w:bottom w:val="nil"/>
            </w:tcBorders>
            <w:vAlign w:val="top"/>
          </w:tcPr>
          <w:p w14:paraId="02B204AE"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15,694</w:t>
            </w:r>
          </w:p>
        </w:tc>
      </w:tr>
      <w:tr w:rsidR="006646E2" w:rsidRPr="004174D6" w14:paraId="43B361EA"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41995542" w14:textId="77777777" w:rsidR="006646E2" w:rsidRPr="002903C5" w:rsidRDefault="006646E2" w:rsidP="00CC11AE">
            <w:pPr>
              <w:pStyle w:val="NoSpacing"/>
            </w:pPr>
            <w:r w:rsidRPr="00055793">
              <w:rPr>
                <w:color w:val="F2F2F2" w:themeColor="background1" w:themeShade="F2"/>
              </w:rPr>
              <w:t>RERC</w:t>
            </w:r>
          </w:p>
        </w:tc>
        <w:tc>
          <w:tcPr>
            <w:tcW w:w="1127" w:type="pct"/>
            <w:vAlign w:val="top"/>
          </w:tcPr>
          <w:p w14:paraId="326891ED" w14:textId="77777777" w:rsidR="006646E2" w:rsidRPr="004174D6" w:rsidRDefault="006646E2"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70B2F1D5"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4</w:t>
            </w:r>
          </w:p>
        </w:tc>
        <w:tc>
          <w:tcPr>
            <w:tcW w:w="625" w:type="pct"/>
            <w:tcBorders>
              <w:top w:val="nil"/>
              <w:bottom w:val="single" w:sz="6" w:space="0" w:color="2F5496" w:themeColor="accent5" w:themeShade="BF"/>
            </w:tcBorders>
            <w:vAlign w:val="top"/>
          </w:tcPr>
          <w:p w14:paraId="1BF47630"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17</w:t>
            </w:r>
          </w:p>
        </w:tc>
        <w:tc>
          <w:tcPr>
            <w:tcW w:w="722" w:type="pct"/>
            <w:vAlign w:val="top"/>
          </w:tcPr>
          <w:p w14:paraId="0C66C204" w14:textId="77777777" w:rsidR="006646E2"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3,700</w:t>
            </w:r>
          </w:p>
        </w:tc>
        <w:tc>
          <w:tcPr>
            <w:tcW w:w="713" w:type="pct"/>
            <w:tcBorders>
              <w:top w:val="nil"/>
              <w:bottom w:val="single" w:sz="6" w:space="0" w:color="2F5496" w:themeColor="accent5" w:themeShade="BF"/>
            </w:tcBorders>
            <w:vAlign w:val="top"/>
          </w:tcPr>
          <w:p w14:paraId="5D2DDE3B" w14:textId="77777777" w:rsidR="006646E2" w:rsidRPr="004174D6" w:rsidRDefault="00105167" w:rsidP="00CC11AE">
            <w:pPr>
              <w:pStyle w:val="CellPad"/>
              <w:cnfStyle w:val="000000000000" w:firstRow="0" w:lastRow="0" w:firstColumn="0" w:lastColumn="0" w:oddVBand="0" w:evenVBand="0" w:oddHBand="0" w:evenHBand="0" w:firstRowFirstColumn="0" w:firstRowLastColumn="0" w:lastRowFirstColumn="0" w:lastRowLastColumn="0"/>
            </w:pPr>
            <w:r w:rsidRPr="00105167">
              <w:rPr>
                <w:color w:val="FFFFFF" w:themeColor="background1"/>
              </w:rPr>
              <w:t>15,694</w:t>
            </w:r>
          </w:p>
        </w:tc>
      </w:tr>
      <w:tr w:rsidR="00055793" w:rsidRPr="004174D6" w14:paraId="3B46DB4E"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53C017BD" w14:textId="77777777" w:rsidR="00055793" w:rsidRPr="002903C5" w:rsidRDefault="00055793" w:rsidP="00CC11AE">
            <w:pPr>
              <w:pStyle w:val="NoSpacing"/>
            </w:pPr>
            <w:r w:rsidRPr="002903C5">
              <w:t>DRRP</w:t>
            </w:r>
          </w:p>
        </w:tc>
        <w:tc>
          <w:tcPr>
            <w:tcW w:w="1127" w:type="pct"/>
            <w:vAlign w:val="top"/>
          </w:tcPr>
          <w:p w14:paraId="0B5B7D50" w14:textId="77777777" w:rsidR="00055793" w:rsidRPr="004174D6" w:rsidRDefault="00055793"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4FE31CC2"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21</w:t>
            </w:r>
          </w:p>
        </w:tc>
        <w:tc>
          <w:tcPr>
            <w:tcW w:w="625" w:type="pct"/>
            <w:tcBorders>
              <w:top w:val="single" w:sz="6" w:space="0" w:color="2F5496" w:themeColor="accent5" w:themeShade="BF"/>
              <w:bottom w:val="nil"/>
            </w:tcBorders>
            <w:vAlign w:val="top"/>
          </w:tcPr>
          <w:p w14:paraId="56D32F3E"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32</w:t>
            </w:r>
          </w:p>
        </w:tc>
        <w:tc>
          <w:tcPr>
            <w:tcW w:w="722" w:type="pct"/>
            <w:vAlign w:val="top"/>
          </w:tcPr>
          <w:p w14:paraId="7EC84585"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10,946</w:t>
            </w:r>
          </w:p>
        </w:tc>
        <w:tc>
          <w:tcPr>
            <w:tcW w:w="713" w:type="pct"/>
            <w:tcBorders>
              <w:top w:val="single" w:sz="6" w:space="0" w:color="2F5496" w:themeColor="accent5" w:themeShade="BF"/>
              <w:bottom w:val="nil"/>
            </w:tcBorders>
            <w:vAlign w:val="top"/>
          </w:tcPr>
          <w:p w14:paraId="64200403"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18,103</w:t>
            </w:r>
          </w:p>
        </w:tc>
      </w:tr>
      <w:tr w:rsidR="00055793" w:rsidRPr="004174D6" w14:paraId="451E819F"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28580E9D" w14:textId="77777777" w:rsidR="00055793" w:rsidRPr="002903C5" w:rsidRDefault="00055793" w:rsidP="00CC11AE">
            <w:pPr>
              <w:pStyle w:val="NoSpacing"/>
            </w:pPr>
            <w:r w:rsidRPr="00055793">
              <w:rPr>
                <w:color w:val="F2F2F2" w:themeColor="background1" w:themeShade="F2"/>
              </w:rPr>
              <w:t>DRRP</w:t>
            </w:r>
          </w:p>
        </w:tc>
        <w:tc>
          <w:tcPr>
            <w:tcW w:w="1127" w:type="pct"/>
            <w:vAlign w:val="top"/>
          </w:tcPr>
          <w:p w14:paraId="55355741" w14:textId="77777777" w:rsidR="00055793" w:rsidRPr="004174D6" w:rsidRDefault="00055793"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7A61379E"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11</w:t>
            </w:r>
          </w:p>
        </w:tc>
        <w:tc>
          <w:tcPr>
            <w:tcW w:w="625" w:type="pct"/>
            <w:tcBorders>
              <w:top w:val="nil"/>
              <w:bottom w:val="single" w:sz="6" w:space="0" w:color="2F5496" w:themeColor="accent5" w:themeShade="BF"/>
            </w:tcBorders>
            <w:vAlign w:val="top"/>
          </w:tcPr>
          <w:p w14:paraId="7E9FB4E3" w14:textId="77777777" w:rsidR="00055793"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32</w:t>
            </w:r>
          </w:p>
        </w:tc>
        <w:tc>
          <w:tcPr>
            <w:tcW w:w="722" w:type="pct"/>
            <w:vAlign w:val="top"/>
          </w:tcPr>
          <w:p w14:paraId="4FEB587B"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7,157</w:t>
            </w:r>
          </w:p>
        </w:tc>
        <w:tc>
          <w:tcPr>
            <w:tcW w:w="713" w:type="pct"/>
            <w:tcBorders>
              <w:top w:val="nil"/>
              <w:bottom w:val="single" w:sz="6" w:space="0" w:color="2F5496" w:themeColor="accent5" w:themeShade="BF"/>
            </w:tcBorders>
            <w:vAlign w:val="top"/>
          </w:tcPr>
          <w:p w14:paraId="12AE55CE" w14:textId="77777777" w:rsidR="00055793" w:rsidRPr="004174D6" w:rsidRDefault="00105167" w:rsidP="00CC11AE">
            <w:pPr>
              <w:pStyle w:val="CellPad"/>
              <w:cnfStyle w:val="000000000000" w:firstRow="0" w:lastRow="0" w:firstColumn="0" w:lastColumn="0" w:oddVBand="0" w:evenVBand="0" w:oddHBand="0" w:evenHBand="0" w:firstRowFirstColumn="0" w:firstRowLastColumn="0" w:lastRowFirstColumn="0" w:lastRowLastColumn="0"/>
            </w:pPr>
            <w:r w:rsidRPr="00105167">
              <w:rPr>
                <w:color w:val="FFFFFF" w:themeColor="background1"/>
              </w:rPr>
              <w:t>18,103</w:t>
            </w:r>
          </w:p>
        </w:tc>
      </w:tr>
      <w:tr w:rsidR="00055793" w:rsidRPr="004174D6" w14:paraId="6703A78F"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3E5F9D09" w14:textId="77777777" w:rsidR="00055793" w:rsidRPr="002903C5" w:rsidRDefault="00055793" w:rsidP="00CC11AE">
            <w:pPr>
              <w:pStyle w:val="NoSpacing"/>
            </w:pPr>
            <w:r w:rsidRPr="002903C5">
              <w:t>ADA Network</w:t>
            </w:r>
          </w:p>
        </w:tc>
        <w:tc>
          <w:tcPr>
            <w:tcW w:w="1127" w:type="pct"/>
            <w:vAlign w:val="top"/>
          </w:tcPr>
          <w:p w14:paraId="751827CD" w14:textId="77777777" w:rsidR="00055793" w:rsidRPr="004174D6" w:rsidRDefault="00055793"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3ABBD2E4"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12</w:t>
            </w:r>
          </w:p>
        </w:tc>
        <w:tc>
          <w:tcPr>
            <w:tcW w:w="625" w:type="pct"/>
            <w:tcBorders>
              <w:top w:val="single" w:sz="6" w:space="0" w:color="2F5496" w:themeColor="accent5" w:themeShade="BF"/>
              <w:bottom w:val="nil"/>
            </w:tcBorders>
            <w:vAlign w:val="top"/>
          </w:tcPr>
          <w:p w14:paraId="52965290"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12</w:t>
            </w:r>
          </w:p>
        </w:tc>
        <w:tc>
          <w:tcPr>
            <w:tcW w:w="722" w:type="pct"/>
            <w:vAlign w:val="top"/>
          </w:tcPr>
          <w:p w14:paraId="6BEA4111"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12,424</w:t>
            </w:r>
          </w:p>
        </w:tc>
        <w:tc>
          <w:tcPr>
            <w:tcW w:w="713" w:type="pct"/>
            <w:tcBorders>
              <w:top w:val="single" w:sz="6" w:space="0" w:color="2F5496" w:themeColor="accent5" w:themeShade="BF"/>
              <w:bottom w:val="nil"/>
            </w:tcBorders>
            <w:vAlign w:val="top"/>
          </w:tcPr>
          <w:p w14:paraId="14CF1274"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12,424</w:t>
            </w:r>
          </w:p>
        </w:tc>
      </w:tr>
      <w:tr w:rsidR="00055793" w:rsidRPr="004174D6" w14:paraId="206DE01F"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123FF45D" w14:textId="77777777" w:rsidR="00055793" w:rsidRPr="00055793" w:rsidRDefault="00055793" w:rsidP="00CC11AE">
            <w:pPr>
              <w:pStyle w:val="NoSpacing"/>
              <w:rPr>
                <w:color w:val="F2F2F2" w:themeColor="background1" w:themeShade="F2"/>
              </w:rPr>
            </w:pPr>
            <w:r w:rsidRPr="00055793">
              <w:rPr>
                <w:color w:val="F2F2F2" w:themeColor="background1" w:themeShade="F2"/>
              </w:rPr>
              <w:t>ADA Network</w:t>
            </w:r>
          </w:p>
        </w:tc>
        <w:tc>
          <w:tcPr>
            <w:tcW w:w="1127" w:type="pct"/>
            <w:vAlign w:val="top"/>
          </w:tcPr>
          <w:p w14:paraId="3A8E5E57" w14:textId="77777777" w:rsidR="00055793" w:rsidRPr="004174D6" w:rsidRDefault="00055793"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02C5FF2F"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625" w:type="pct"/>
            <w:tcBorders>
              <w:top w:val="nil"/>
              <w:bottom w:val="single" w:sz="6" w:space="0" w:color="2F5496" w:themeColor="accent5" w:themeShade="BF"/>
            </w:tcBorders>
            <w:vAlign w:val="top"/>
          </w:tcPr>
          <w:p w14:paraId="00DB5DCF" w14:textId="77777777" w:rsidR="00055793"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t>12</w:t>
            </w:r>
          </w:p>
        </w:tc>
        <w:tc>
          <w:tcPr>
            <w:tcW w:w="722" w:type="pct"/>
            <w:vAlign w:val="top"/>
          </w:tcPr>
          <w:p w14:paraId="7AAA765C" w14:textId="77777777" w:rsidR="00055793" w:rsidRPr="004174D6" w:rsidRDefault="00055793"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713" w:type="pct"/>
            <w:tcBorders>
              <w:top w:val="nil"/>
              <w:bottom w:val="single" w:sz="6" w:space="0" w:color="2F5496" w:themeColor="accent5" w:themeShade="BF"/>
            </w:tcBorders>
            <w:vAlign w:val="top"/>
          </w:tcPr>
          <w:p w14:paraId="788BA60B" w14:textId="77777777" w:rsidR="00055793" w:rsidRPr="004174D6" w:rsidRDefault="00105167" w:rsidP="00CC11AE">
            <w:pPr>
              <w:pStyle w:val="CellPad"/>
              <w:cnfStyle w:val="000000000000" w:firstRow="0" w:lastRow="0" w:firstColumn="0" w:lastColumn="0" w:oddVBand="0" w:evenVBand="0" w:oddHBand="0" w:evenHBand="0" w:firstRowFirstColumn="0" w:firstRowLastColumn="0" w:lastRowFirstColumn="0" w:lastRowLastColumn="0"/>
            </w:pPr>
            <w:r w:rsidRPr="00105167">
              <w:rPr>
                <w:color w:val="FFFFFF" w:themeColor="background1"/>
              </w:rPr>
              <w:t>12,424</w:t>
            </w:r>
          </w:p>
        </w:tc>
      </w:tr>
      <w:tr w:rsidR="0015731A" w:rsidRPr="004174D6" w14:paraId="1C7CAB5B"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323BBCEF" w14:textId="77777777" w:rsidR="0015731A" w:rsidRPr="002903C5" w:rsidRDefault="0015731A" w:rsidP="00CC11AE">
            <w:pPr>
              <w:pStyle w:val="NoSpacing"/>
            </w:pPr>
            <w:r w:rsidRPr="002903C5">
              <w:t>SBIR</w:t>
            </w:r>
          </w:p>
        </w:tc>
        <w:tc>
          <w:tcPr>
            <w:tcW w:w="1127" w:type="pct"/>
            <w:vAlign w:val="top"/>
          </w:tcPr>
          <w:p w14:paraId="38CBF517"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03864C26"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w:t>
            </w:r>
          </w:p>
        </w:tc>
        <w:tc>
          <w:tcPr>
            <w:tcW w:w="625" w:type="pct"/>
            <w:tcBorders>
              <w:top w:val="single" w:sz="6" w:space="0" w:color="2F5496" w:themeColor="accent5" w:themeShade="BF"/>
              <w:bottom w:val="nil"/>
            </w:tcBorders>
            <w:vAlign w:val="top"/>
          </w:tcPr>
          <w:p w14:paraId="52240AA5"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17</w:t>
            </w:r>
          </w:p>
        </w:tc>
        <w:tc>
          <w:tcPr>
            <w:tcW w:w="722" w:type="pct"/>
            <w:vAlign w:val="top"/>
          </w:tcPr>
          <w:p w14:paraId="4BB948A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844</w:t>
            </w:r>
          </w:p>
        </w:tc>
        <w:tc>
          <w:tcPr>
            <w:tcW w:w="713" w:type="pct"/>
            <w:tcBorders>
              <w:top w:val="single" w:sz="6" w:space="0" w:color="2F5496" w:themeColor="accent5" w:themeShade="BF"/>
              <w:bottom w:val="nil"/>
            </w:tcBorders>
            <w:vAlign w:val="top"/>
          </w:tcPr>
          <w:p w14:paraId="1E256ABE"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2,930</w:t>
            </w:r>
          </w:p>
        </w:tc>
      </w:tr>
      <w:tr w:rsidR="0015731A" w:rsidRPr="004174D6" w14:paraId="20127682"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75C67B9A" w14:textId="77777777" w:rsidR="0015731A" w:rsidRPr="002903C5" w:rsidRDefault="00055793" w:rsidP="00CC11AE">
            <w:pPr>
              <w:pStyle w:val="NoSpacing"/>
            </w:pPr>
            <w:r w:rsidRPr="00055793">
              <w:rPr>
                <w:color w:val="F2F2F2" w:themeColor="background1" w:themeShade="F2"/>
              </w:rPr>
              <w:t>SBIR</w:t>
            </w:r>
          </w:p>
        </w:tc>
        <w:tc>
          <w:tcPr>
            <w:tcW w:w="1127" w:type="pct"/>
            <w:vAlign w:val="top"/>
          </w:tcPr>
          <w:p w14:paraId="5A80AFF7"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15EB7BA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14</w:t>
            </w:r>
          </w:p>
        </w:tc>
        <w:tc>
          <w:tcPr>
            <w:tcW w:w="625" w:type="pct"/>
            <w:tcBorders>
              <w:top w:val="nil"/>
              <w:bottom w:val="single" w:sz="6" w:space="0" w:color="2F5496" w:themeColor="accent5" w:themeShade="BF"/>
            </w:tcBorders>
            <w:vAlign w:val="top"/>
          </w:tcPr>
          <w:p w14:paraId="05F3CF93" w14:textId="77777777" w:rsidR="0015731A"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17</w:t>
            </w:r>
          </w:p>
        </w:tc>
        <w:tc>
          <w:tcPr>
            <w:tcW w:w="722" w:type="pct"/>
            <w:vAlign w:val="top"/>
          </w:tcPr>
          <w:p w14:paraId="756EF152"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2,086</w:t>
            </w:r>
          </w:p>
        </w:tc>
        <w:tc>
          <w:tcPr>
            <w:tcW w:w="713" w:type="pct"/>
            <w:tcBorders>
              <w:top w:val="nil"/>
              <w:bottom w:val="single" w:sz="6" w:space="0" w:color="2F5496" w:themeColor="accent5" w:themeShade="BF"/>
            </w:tcBorders>
            <w:vAlign w:val="top"/>
          </w:tcPr>
          <w:p w14:paraId="3C2CDC76" w14:textId="77777777" w:rsidR="0015731A" w:rsidRPr="004174D6" w:rsidRDefault="00105167" w:rsidP="00CC11AE">
            <w:pPr>
              <w:pStyle w:val="CellPad"/>
              <w:cnfStyle w:val="000000000000" w:firstRow="0" w:lastRow="0" w:firstColumn="0" w:lastColumn="0" w:oddVBand="0" w:evenVBand="0" w:oddHBand="0" w:evenHBand="0" w:firstRowFirstColumn="0" w:firstRowLastColumn="0" w:lastRowFirstColumn="0" w:lastRowLastColumn="0"/>
            </w:pPr>
            <w:r w:rsidRPr="00105167">
              <w:rPr>
                <w:color w:val="FFFFFF" w:themeColor="background1"/>
              </w:rPr>
              <w:t>2,930</w:t>
            </w:r>
          </w:p>
        </w:tc>
      </w:tr>
      <w:tr w:rsidR="0015731A" w:rsidRPr="004174D6" w14:paraId="1510A8C8"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7F591252" w14:textId="77777777" w:rsidR="0015731A" w:rsidRPr="002903C5" w:rsidRDefault="0015731A" w:rsidP="00CC11AE">
            <w:pPr>
              <w:pStyle w:val="NoSpacing"/>
            </w:pPr>
            <w:r w:rsidRPr="002903C5">
              <w:t>KT</w:t>
            </w:r>
          </w:p>
        </w:tc>
        <w:tc>
          <w:tcPr>
            <w:tcW w:w="1127" w:type="pct"/>
            <w:vAlign w:val="top"/>
          </w:tcPr>
          <w:p w14:paraId="1720BD5E"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5E0D7013"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7</w:t>
            </w:r>
          </w:p>
        </w:tc>
        <w:tc>
          <w:tcPr>
            <w:tcW w:w="625" w:type="pct"/>
            <w:tcBorders>
              <w:top w:val="single" w:sz="6" w:space="0" w:color="2F5496" w:themeColor="accent5" w:themeShade="BF"/>
              <w:bottom w:val="nil"/>
            </w:tcBorders>
            <w:vAlign w:val="top"/>
          </w:tcPr>
          <w:p w14:paraId="44917A32"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10</w:t>
            </w:r>
          </w:p>
        </w:tc>
        <w:tc>
          <w:tcPr>
            <w:tcW w:w="722" w:type="pct"/>
            <w:vAlign w:val="top"/>
          </w:tcPr>
          <w:p w14:paraId="1C099C38"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3,416</w:t>
            </w:r>
          </w:p>
        </w:tc>
        <w:tc>
          <w:tcPr>
            <w:tcW w:w="713" w:type="pct"/>
            <w:tcBorders>
              <w:top w:val="single" w:sz="6" w:space="0" w:color="2F5496" w:themeColor="accent5" w:themeShade="BF"/>
              <w:bottom w:val="nil"/>
            </w:tcBorders>
            <w:vAlign w:val="top"/>
          </w:tcPr>
          <w:p w14:paraId="37BAD1D5"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4,004</w:t>
            </w:r>
          </w:p>
        </w:tc>
      </w:tr>
      <w:tr w:rsidR="0015731A" w:rsidRPr="004174D6" w14:paraId="642F9818"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3B27B050" w14:textId="77777777" w:rsidR="0015731A" w:rsidRPr="002903C5" w:rsidRDefault="00055793" w:rsidP="00CC11AE">
            <w:pPr>
              <w:pStyle w:val="NoSpacing"/>
            </w:pPr>
            <w:r w:rsidRPr="00055793">
              <w:rPr>
                <w:color w:val="F2F2F2" w:themeColor="background1" w:themeShade="F2"/>
              </w:rPr>
              <w:t>KT</w:t>
            </w:r>
          </w:p>
        </w:tc>
        <w:tc>
          <w:tcPr>
            <w:tcW w:w="1127" w:type="pct"/>
            <w:vAlign w:val="top"/>
          </w:tcPr>
          <w:p w14:paraId="7CA3B49E"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2F54FD26"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w:t>
            </w:r>
          </w:p>
        </w:tc>
        <w:tc>
          <w:tcPr>
            <w:tcW w:w="625" w:type="pct"/>
            <w:tcBorders>
              <w:top w:val="nil"/>
              <w:bottom w:val="single" w:sz="6" w:space="0" w:color="2F5496" w:themeColor="accent5" w:themeShade="BF"/>
            </w:tcBorders>
            <w:vAlign w:val="top"/>
          </w:tcPr>
          <w:p w14:paraId="6A805612" w14:textId="77777777" w:rsidR="0015731A"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10</w:t>
            </w:r>
          </w:p>
        </w:tc>
        <w:tc>
          <w:tcPr>
            <w:tcW w:w="722" w:type="pct"/>
            <w:vAlign w:val="top"/>
          </w:tcPr>
          <w:p w14:paraId="5872E461"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588</w:t>
            </w:r>
          </w:p>
        </w:tc>
        <w:tc>
          <w:tcPr>
            <w:tcW w:w="713" w:type="pct"/>
            <w:tcBorders>
              <w:top w:val="nil"/>
              <w:bottom w:val="single" w:sz="6" w:space="0" w:color="2F5496" w:themeColor="accent5" w:themeShade="BF"/>
            </w:tcBorders>
            <w:vAlign w:val="top"/>
          </w:tcPr>
          <w:p w14:paraId="4AB03009" w14:textId="77777777" w:rsidR="0015731A" w:rsidRPr="004174D6" w:rsidRDefault="00105167" w:rsidP="00CC11AE">
            <w:pPr>
              <w:pStyle w:val="CellPad"/>
              <w:cnfStyle w:val="000000000000" w:firstRow="0" w:lastRow="0" w:firstColumn="0" w:lastColumn="0" w:oddVBand="0" w:evenVBand="0" w:oddHBand="0" w:evenHBand="0" w:firstRowFirstColumn="0" w:firstRowLastColumn="0" w:lastRowFirstColumn="0" w:lastRowLastColumn="0"/>
            </w:pPr>
            <w:r w:rsidRPr="00105167">
              <w:rPr>
                <w:color w:val="FFFFFF" w:themeColor="background1"/>
              </w:rPr>
              <w:t>4,004</w:t>
            </w:r>
          </w:p>
        </w:tc>
      </w:tr>
      <w:tr w:rsidR="0015731A" w:rsidRPr="004174D6" w14:paraId="352DE728"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10EAADDC" w14:textId="77777777" w:rsidR="0015731A" w:rsidRPr="002903C5" w:rsidRDefault="0015731A" w:rsidP="00CC11AE">
            <w:pPr>
              <w:pStyle w:val="NoSpacing"/>
            </w:pPr>
            <w:r w:rsidRPr="002903C5">
              <w:t>FIP</w:t>
            </w:r>
          </w:p>
        </w:tc>
        <w:tc>
          <w:tcPr>
            <w:tcW w:w="1127" w:type="pct"/>
            <w:vAlign w:val="top"/>
          </w:tcPr>
          <w:p w14:paraId="161C7BEF"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5DCB3D5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30</w:t>
            </w:r>
          </w:p>
        </w:tc>
        <w:tc>
          <w:tcPr>
            <w:tcW w:w="625" w:type="pct"/>
            <w:tcBorders>
              <w:top w:val="single" w:sz="6" w:space="0" w:color="2F5496" w:themeColor="accent5" w:themeShade="BF"/>
              <w:bottom w:val="nil"/>
            </w:tcBorders>
            <w:vAlign w:val="top"/>
          </w:tcPr>
          <w:p w14:paraId="58FD1150"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46</w:t>
            </w:r>
          </w:p>
        </w:tc>
        <w:tc>
          <w:tcPr>
            <w:tcW w:w="722" w:type="pct"/>
            <w:vAlign w:val="top"/>
          </w:tcPr>
          <w:p w14:paraId="7F8E1AAD"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5,991</w:t>
            </w:r>
          </w:p>
        </w:tc>
        <w:tc>
          <w:tcPr>
            <w:tcW w:w="713" w:type="pct"/>
            <w:tcBorders>
              <w:top w:val="single" w:sz="6" w:space="0" w:color="2F5496" w:themeColor="accent5" w:themeShade="BF"/>
              <w:bottom w:val="nil"/>
            </w:tcBorders>
            <w:vAlign w:val="top"/>
          </w:tcPr>
          <w:p w14:paraId="09A25F4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9,190</w:t>
            </w:r>
          </w:p>
        </w:tc>
      </w:tr>
      <w:tr w:rsidR="0015731A" w:rsidRPr="004174D6" w14:paraId="7B168ED6"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3D09C47F" w14:textId="77777777" w:rsidR="0015731A" w:rsidRPr="002903C5" w:rsidRDefault="00055793" w:rsidP="00CC11AE">
            <w:pPr>
              <w:pStyle w:val="NoSpacing"/>
            </w:pPr>
            <w:r w:rsidRPr="00055793">
              <w:rPr>
                <w:color w:val="F2F2F2" w:themeColor="background1" w:themeShade="F2"/>
              </w:rPr>
              <w:t>FIP</w:t>
            </w:r>
          </w:p>
        </w:tc>
        <w:tc>
          <w:tcPr>
            <w:tcW w:w="1127" w:type="pct"/>
            <w:tcBorders>
              <w:bottom w:val="single" w:sz="6" w:space="0" w:color="2F5496" w:themeColor="accent5" w:themeShade="BF"/>
            </w:tcBorders>
            <w:vAlign w:val="top"/>
          </w:tcPr>
          <w:p w14:paraId="3AC4033F"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tcBorders>
              <w:bottom w:val="single" w:sz="6" w:space="0" w:color="2F5496" w:themeColor="accent5" w:themeShade="BF"/>
            </w:tcBorders>
            <w:vAlign w:val="top"/>
          </w:tcPr>
          <w:p w14:paraId="0CBD49D4"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16</w:t>
            </w:r>
          </w:p>
        </w:tc>
        <w:tc>
          <w:tcPr>
            <w:tcW w:w="625" w:type="pct"/>
            <w:tcBorders>
              <w:top w:val="nil"/>
              <w:bottom w:val="single" w:sz="6" w:space="0" w:color="2F5496" w:themeColor="accent5" w:themeShade="BF"/>
            </w:tcBorders>
            <w:vAlign w:val="top"/>
          </w:tcPr>
          <w:p w14:paraId="54C5F77F" w14:textId="77777777" w:rsidR="0015731A"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46</w:t>
            </w:r>
          </w:p>
        </w:tc>
        <w:tc>
          <w:tcPr>
            <w:tcW w:w="722" w:type="pct"/>
            <w:tcBorders>
              <w:bottom w:val="single" w:sz="6" w:space="0" w:color="2F5496" w:themeColor="accent5" w:themeShade="BF"/>
            </w:tcBorders>
            <w:vAlign w:val="top"/>
          </w:tcPr>
          <w:p w14:paraId="49B4A6CB"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3,198</w:t>
            </w:r>
          </w:p>
        </w:tc>
        <w:tc>
          <w:tcPr>
            <w:tcW w:w="713" w:type="pct"/>
            <w:tcBorders>
              <w:top w:val="nil"/>
              <w:bottom w:val="single" w:sz="6" w:space="0" w:color="2F5496" w:themeColor="accent5" w:themeShade="BF"/>
            </w:tcBorders>
            <w:vAlign w:val="top"/>
          </w:tcPr>
          <w:p w14:paraId="326F838D" w14:textId="77777777" w:rsidR="0015731A" w:rsidRPr="00105167" w:rsidRDefault="00105167" w:rsidP="00CC11AE">
            <w:pPr>
              <w:pStyle w:val="CellPad"/>
              <w:cnfStyle w:val="000000000000" w:firstRow="0" w:lastRow="0" w:firstColumn="0" w:lastColumn="0" w:oddVBand="0" w:evenVBand="0" w:oddHBand="0" w:evenHBand="0" w:firstRowFirstColumn="0" w:firstRowLastColumn="0" w:lastRowFirstColumn="0" w:lastRowLastColumn="0"/>
              <w:rPr>
                <w:color w:val="FFFFFF" w:themeColor="background1"/>
              </w:rPr>
            </w:pPr>
            <w:r w:rsidRPr="00105167">
              <w:rPr>
                <w:color w:val="FFFFFF" w:themeColor="background1"/>
              </w:rPr>
              <w:t>9,190</w:t>
            </w:r>
          </w:p>
        </w:tc>
      </w:tr>
      <w:tr w:rsidR="00275A62" w:rsidRPr="004174D6" w14:paraId="77CC66FB"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single" w:sz="6" w:space="0" w:color="2F5496" w:themeColor="accent5" w:themeShade="BF"/>
              <w:right w:val="nil"/>
            </w:tcBorders>
            <w:vAlign w:val="top"/>
          </w:tcPr>
          <w:p w14:paraId="2AAF9D15" w14:textId="48BA8A92" w:rsidR="00275A62" w:rsidRPr="00055793" w:rsidRDefault="00275A62" w:rsidP="00CC11AE">
            <w:pPr>
              <w:pStyle w:val="NoSpacing"/>
              <w:rPr>
                <w:color w:val="F2F2F2" w:themeColor="background1" w:themeShade="F2"/>
              </w:rPr>
            </w:pPr>
            <w:r w:rsidRPr="00CC11AE">
              <w:t>Model Systems</w:t>
            </w:r>
          </w:p>
        </w:tc>
        <w:tc>
          <w:tcPr>
            <w:tcW w:w="1127"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vAlign w:val="top"/>
          </w:tcPr>
          <w:p w14:paraId="2E29F48A" w14:textId="77777777" w:rsidR="00275A62" w:rsidRPr="004174D6" w:rsidRDefault="00275A62" w:rsidP="00800E49">
            <w:pPr>
              <w:pStyle w:val="NoSpacing"/>
              <w:cnfStyle w:val="000000000000" w:firstRow="0" w:lastRow="0" w:firstColumn="0" w:lastColumn="0" w:oddVBand="0" w:evenVBand="0" w:oddHBand="0" w:evenHBand="0" w:firstRowFirstColumn="0" w:firstRowLastColumn="0" w:lastRowFirstColumn="0" w:lastRowLastColumn="0"/>
            </w:pPr>
          </w:p>
        </w:tc>
        <w:tc>
          <w:tcPr>
            <w:tcW w:w="771"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vAlign w:val="top"/>
          </w:tcPr>
          <w:p w14:paraId="1A9717AB" w14:textId="77777777" w:rsidR="00275A62" w:rsidRDefault="00275A62" w:rsidP="00CC11AE">
            <w:pPr>
              <w:pStyle w:val="CellPad"/>
              <w:cnfStyle w:val="000000000000" w:firstRow="0" w:lastRow="0" w:firstColumn="0" w:lastColumn="0" w:oddVBand="0" w:evenVBand="0" w:oddHBand="0" w:evenHBand="0" w:firstRowFirstColumn="0" w:firstRowLastColumn="0" w:lastRowFirstColumn="0" w:lastRowLastColumn="0"/>
            </w:pPr>
          </w:p>
        </w:tc>
        <w:tc>
          <w:tcPr>
            <w:tcW w:w="625"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vAlign w:val="top"/>
          </w:tcPr>
          <w:p w14:paraId="3173C42D" w14:textId="77777777" w:rsidR="00275A62" w:rsidRPr="006646E2" w:rsidRDefault="00275A62" w:rsidP="00CC11AE">
            <w:pPr>
              <w:pStyle w:val="CellPad"/>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722" w:type="pct"/>
            <w:tcBorders>
              <w:top w:val="single" w:sz="6" w:space="0" w:color="2F5496" w:themeColor="accent5" w:themeShade="BF"/>
              <w:left w:val="nil"/>
              <w:bottom w:val="single" w:sz="6" w:space="0" w:color="2F5496" w:themeColor="accent5" w:themeShade="BF"/>
              <w:right w:val="nil"/>
            </w:tcBorders>
            <w:shd w:val="clear" w:color="auto" w:fill="F2F2F2" w:themeFill="background1" w:themeFillShade="F2"/>
            <w:vAlign w:val="top"/>
          </w:tcPr>
          <w:p w14:paraId="4139D002" w14:textId="77777777" w:rsidR="00275A62" w:rsidRDefault="00275A62" w:rsidP="00CC11AE">
            <w:pPr>
              <w:pStyle w:val="CellPad"/>
              <w:cnfStyle w:val="000000000000" w:firstRow="0" w:lastRow="0" w:firstColumn="0" w:lastColumn="0" w:oddVBand="0" w:evenVBand="0" w:oddHBand="0" w:evenHBand="0" w:firstRowFirstColumn="0" w:firstRowLastColumn="0" w:lastRowFirstColumn="0" w:lastRowLastColumn="0"/>
            </w:pPr>
          </w:p>
        </w:tc>
        <w:tc>
          <w:tcPr>
            <w:tcW w:w="713" w:type="pct"/>
            <w:tcBorders>
              <w:top w:val="single" w:sz="6" w:space="0" w:color="2F5496" w:themeColor="accent5" w:themeShade="BF"/>
              <w:left w:val="nil"/>
              <w:bottom w:val="single" w:sz="6" w:space="0" w:color="2F5496" w:themeColor="accent5" w:themeShade="BF"/>
            </w:tcBorders>
            <w:shd w:val="clear" w:color="auto" w:fill="F2F2F2" w:themeFill="background1" w:themeFillShade="F2"/>
            <w:vAlign w:val="top"/>
          </w:tcPr>
          <w:p w14:paraId="61EDB883" w14:textId="77777777" w:rsidR="00275A62" w:rsidRPr="00105167" w:rsidRDefault="00275A62" w:rsidP="00CC11AE">
            <w:pPr>
              <w:pStyle w:val="CellPad"/>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15731A" w:rsidRPr="004174D6" w14:paraId="717C7265"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00D0978B" w14:textId="77777777" w:rsidR="0015731A" w:rsidRPr="002903C5" w:rsidRDefault="0015731A" w:rsidP="00CC11AE">
            <w:pPr>
              <w:pStyle w:val="NoSpacing"/>
            </w:pPr>
            <w:r w:rsidRPr="002903C5">
              <w:tab/>
              <w:t>SCI</w:t>
            </w:r>
          </w:p>
        </w:tc>
        <w:tc>
          <w:tcPr>
            <w:tcW w:w="1127" w:type="pct"/>
            <w:tcBorders>
              <w:top w:val="single" w:sz="6" w:space="0" w:color="2F5496" w:themeColor="accent5" w:themeShade="BF"/>
            </w:tcBorders>
            <w:vAlign w:val="top"/>
          </w:tcPr>
          <w:p w14:paraId="5D525256"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tcBorders>
              <w:top w:val="single" w:sz="6" w:space="0" w:color="2F5496" w:themeColor="accent5" w:themeShade="BF"/>
            </w:tcBorders>
            <w:vAlign w:val="top"/>
          </w:tcPr>
          <w:p w14:paraId="3A2D98D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15</w:t>
            </w:r>
          </w:p>
        </w:tc>
        <w:tc>
          <w:tcPr>
            <w:tcW w:w="625" w:type="pct"/>
            <w:tcBorders>
              <w:top w:val="single" w:sz="6" w:space="0" w:color="2F5496" w:themeColor="accent5" w:themeShade="BF"/>
              <w:bottom w:val="nil"/>
            </w:tcBorders>
            <w:vAlign w:val="top"/>
          </w:tcPr>
          <w:p w14:paraId="024D4F1E"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15</w:t>
            </w:r>
          </w:p>
        </w:tc>
        <w:tc>
          <w:tcPr>
            <w:tcW w:w="722" w:type="pct"/>
            <w:tcBorders>
              <w:top w:val="single" w:sz="6" w:space="0" w:color="2F5496" w:themeColor="accent5" w:themeShade="BF"/>
            </w:tcBorders>
            <w:vAlign w:val="top"/>
          </w:tcPr>
          <w:p w14:paraId="6AE0F1A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7,398</w:t>
            </w:r>
          </w:p>
        </w:tc>
        <w:tc>
          <w:tcPr>
            <w:tcW w:w="713" w:type="pct"/>
            <w:tcBorders>
              <w:top w:val="single" w:sz="6" w:space="0" w:color="2F5496" w:themeColor="accent5" w:themeShade="BF"/>
              <w:bottom w:val="nil"/>
            </w:tcBorders>
            <w:vAlign w:val="top"/>
          </w:tcPr>
          <w:p w14:paraId="52A3D05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7,398</w:t>
            </w:r>
          </w:p>
        </w:tc>
      </w:tr>
      <w:tr w:rsidR="0015731A" w:rsidRPr="004174D6" w14:paraId="70EA5ED5"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4E3D6FE5" w14:textId="77777777" w:rsidR="0015731A" w:rsidRPr="002903C5" w:rsidRDefault="00E400E8" w:rsidP="00CC11AE">
            <w:pPr>
              <w:pStyle w:val="NoSpacing"/>
            </w:pPr>
            <w:r w:rsidRPr="00E400E8">
              <w:rPr>
                <w:color w:val="F2F2F2" w:themeColor="background1" w:themeShade="F2"/>
              </w:rPr>
              <w:t>SCI</w:t>
            </w:r>
          </w:p>
        </w:tc>
        <w:tc>
          <w:tcPr>
            <w:tcW w:w="1127" w:type="pct"/>
            <w:vAlign w:val="top"/>
          </w:tcPr>
          <w:p w14:paraId="25FA90EA"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189629FE"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625" w:type="pct"/>
            <w:tcBorders>
              <w:top w:val="nil"/>
              <w:bottom w:val="single" w:sz="6" w:space="0" w:color="2F5496" w:themeColor="accent5" w:themeShade="BF"/>
            </w:tcBorders>
            <w:vAlign w:val="top"/>
          </w:tcPr>
          <w:p w14:paraId="53D5A59A" w14:textId="77777777" w:rsidR="0015731A"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15</w:t>
            </w:r>
          </w:p>
        </w:tc>
        <w:tc>
          <w:tcPr>
            <w:tcW w:w="722" w:type="pct"/>
            <w:vAlign w:val="top"/>
          </w:tcPr>
          <w:p w14:paraId="463EE4D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713" w:type="pct"/>
            <w:tcBorders>
              <w:top w:val="nil"/>
              <w:bottom w:val="single" w:sz="6" w:space="0" w:color="2F5496" w:themeColor="accent5" w:themeShade="BF"/>
            </w:tcBorders>
            <w:vAlign w:val="top"/>
          </w:tcPr>
          <w:p w14:paraId="75DE6C3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p>
        </w:tc>
      </w:tr>
      <w:tr w:rsidR="0015731A" w:rsidRPr="004174D6" w14:paraId="57354AB1"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6A44FE19" w14:textId="77777777" w:rsidR="0015731A" w:rsidRPr="002903C5" w:rsidRDefault="0015731A" w:rsidP="00CC11AE">
            <w:pPr>
              <w:pStyle w:val="NoSpacing"/>
            </w:pPr>
            <w:r w:rsidRPr="002903C5">
              <w:tab/>
              <w:t>TBI</w:t>
            </w:r>
          </w:p>
        </w:tc>
        <w:tc>
          <w:tcPr>
            <w:tcW w:w="1127" w:type="pct"/>
            <w:vAlign w:val="top"/>
          </w:tcPr>
          <w:p w14:paraId="73D4F47F"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4BB4B02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18</w:t>
            </w:r>
          </w:p>
        </w:tc>
        <w:tc>
          <w:tcPr>
            <w:tcW w:w="625" w:type="pct"/>
            <w:tcBorders>
              <w:top w:val="single" w:sz="6" w:space="0" w:color="2F5496" w:themeColor="accent5" w:themeShade="BF"/>
              <w:bottom w:val="nil"/>
            </w:tcBorders>
            <w:vAlign w:val="top"/>
          </w:tcPr>
          <w:p w14:paraId="6DD6F0D4"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18</w:t>
            </w:r>
          </w:p>
        </w:tc>
        <w:tc>
          <w:tcPr>
            <w:tcW w:w="722" w:type="pct"/>
            <w:vAlign w:val="top"/>
          </w:tcPr>
          <w:p w14:paraId="69E1F058"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8,462</w:t>
            </w:r>
          </w:p>
        </w:tc>
        <w:tc>
          <w:tcPr>
            <w:tcW w:w="713" w:type="pct"/>
            <w:tcBorders>
              <w:top w:val="single" w:sz="6" w:space="0" w:color="2F5496" w:themeColor="accent5" w:themeShade="BF"/>
              <w:bottom w:val="nil"/>
            </w:tcBorders>
            <w:vAlign w:val="top"/>
          </w:tcPr>
          <w:p w14:paraId="1BCE5F93"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8,462</w:t>
            </w:r>
          </w:p>
        </w:tc>
      </w:tr>
      <w:tr w:rsidR="0015731A" w:rsidRPr="004174D6" w14:paraId="0C621196"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327F3C4C" w14:textId="77777777" w:rsidR="0015731A" w:rsidRPr="002903C5" w:rsidRDefault="00E400E8" w:rsidP="00CC11AE">
            <w:pPr>
              <w:pStyle w:val="NoSpacing"/>
            </w:pPr>
            <w:r w:rsidRPr="00E400E8">
              <w:rPr>
                <w:color w:val="F2F2F2" w:themeColor="background1" w:themeShade="F2"/>
              </w:rPr>
              <w:t>TBI</w:t>
            </w:r>
          </w:p>
        </w:tc>
        <w:tc>
          <w:tcPr>
            <w:tcW w:w="1127" w:type="pct"/>
            <w:vAlign w:val="top"/>
          </w:tcPr>
          <w:p w14:paraId="5638FAD6"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62FBCBA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625" w:type="pct"/>
            <w:tcBorders>
              <w:top w:val="nil"/>
              <w:bottom w:val="single" w:sz="6" w:space="0" w:color="2F5496" w:themeColor="accent5" w:themeShade="BF"/>
            </w:tcBorders>
            <w:vAlign w:val="top"/>
          </w:tcPr>
          <w:p w14:paraId="70C1367C" w14:textId="77777777" w:rsidR="0015731A" w:rsidRPr="004174D6" w:rsidRDefault="006646E2" w:rsidP="00CC11AE">
            <w:pPr>
              <w:pStyle w:val="CellPad"/>
              <w:cnfStyle w:val="000000000000" w:firstRow="0" w:lastRow="0" w:firstColumn="0" w:lastColumn="0" w:oddVBand="0" w:evenVBand="0" w:oddHBand="0" w:evenHBand="0" w:firstRowFirstColumn="0" w:firstRowLastColumn="0" w:lastRowFirstColumn="0" w:lastRowLastColumn="0"/>
            </w:pPr>
            <w:r w:rsidRPr="006646E2">
              <w:rPr>
                <w:color w:val="FFFFFF" w:themeColor="background1"/>
              </w:rPr>
              <w:t>18</w:t>
            </w:r>
          </w:p>
        </w:tc>
        <w:tc>
          <w:tcPr>
            <w:tcW w:w="722" w:type="pct"/>
            <w:vAlign w:val="top"/>
          </w:tcPr>
          <w:p w14:paraId="3F542B4F"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713" w:type="pct"/>
            <w:tcBorders>
              <w:top w:val="nil"/>
              <w:bottom w:val="single" w:sz="6" w:space="0" w:color="2F5496" w:themeColor="accent5" w:themeShade="BF"/>
            </w:tcBorders>
            <w:vAlign w:val="top"/>
          </w:tcPr>
          <w:p w14:paraId="1B0E3DB5"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p>
        </w:tc>
      </w:tr>
      <w:tr w:rsidR="0015731A" w:rsidRPr="004174D6" w14:paraId="121F497F"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29497040" w14:textId="77777777" w:rsidR="0015731A" w:rsidRPr="002903C5" w:rsidRDefault="0015731A" w:rsidP="00CC11AE">
            <w:pPr>
              <w:pStyle w:val="NoSpacing"/>
            </w:pPr>
            <w:r w:rsidRPr="002903C5">
              <w:tab/>
              <w:t>Burn</w:t>
            </w:r>
          </w:p>
        </w:tc>
        <w:tc>
          <w:tcPr>
            <w:tcW w:w="1127" w:type="pct"/>
            <w:vAlign w:val="top"/>
          </w:tcPr>
          <w:p w14:paraId="0164090B"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75BB8A8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5</w:t>
            </w:r>
          </w:p>
        </w:tc>
        <w:tc>
          <w:tcPr>
            <w:tcW w:w="625" w:type="pct"/>
            <w:tcBorders>
              <w:top w:val="single" w:sz="6" w:space="0" w:color="2F5496" w:themeColor="accent5" w:themeShade="BF"/>
              <w:bottom w:val="nil"/>
            </w:tcBorders>
            <w:vAlign w:val="top"/>
          </w:tcPr>
          <w:p w14:paraId="36BEBC08"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5</w:t>
            </w:r>
          </w:p>
        </w:tc>
        <w:tc>
          <w:tcPr>
            <w:tcW w:w="722" w:type="pct"/>
            <w:vAlign w:val="top"/>
          </w:tcPr>
          <w:p w14:paraId="4E405380"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1,850</w:t>
            </w:r>
          </w:p>
        </w:tc>
        <w:tc>
          <w:tcPr>
            <w:tcW w:w="713" w:type="pct"/>
            <w:tcBorders>
              <w:top w:val="single" w:sz="6" w:space="0" w:color="2F5496" w:themeColor="accent5" w:themeShade="BF"/>
              <w:bottom w:val="nil"/>
            </w:tcBorders>
            <w:vAlign w:val="top"/>
          </w:tcPr>
          <w:p w14:paraId="14D0321D"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1,850</w:t>
            </w:r>
          </w:p>
        </w:tc>
      </w:tr>
      <w:tr w:rsidR="0015731A" w:rsidRPr="004174D6" w14:paraId="309628A9"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18" w:space="0" w:color="2F5496" w:themeColor="accent5" w:themeShade="BF"/>
            </w:tcBorders>
            <w:vAlign w:val="top"/>
          </w:tcPr>
          <w:p w14:paraId="55534123" w14:textId="77777777" w:rsidR="0015731A" w:rsidRPr="002903C5" w:rsidRDefault="00066CC5" w:rsidP="00CC11AE">
            <w:pPr>
              <w:pStyle w:val="NoSpacing"/>
            </w:pPr>
            <w:r w:rsidRPr="00066CC5">
              <w:rPr>
                <w:color w:val="F2F2F2" w:themeColor="background1" w:themeShade="F2"/>
              </w:rPr>
              <w:t>Burn</w:t>
            </w:r>
          </w:p>
        </w:tc>
        <w:tc>
          <w:tcPr>
            <w:tcW w:w="1127" w:type="pct"/>
            <w:tcBorders>
              <w:bottom w:val="single" w:sz="18" w:space="0" w:color="2F5496" w:themeColor="accent5" w:themeShade="BF"/>
            </w:tcBorders>
            <w:vAlign w:val="top"/>
          </w:tcPr>
          <w:p w14:paraId="75F6B7CC"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tcBorders>
              <w:bottom w:val="single" w:sz="18" w:space="0" w:color="2F5496" w:themeColor="accent5" w:themeShade="BF"/>
            </w:tcBorders>
            <w:vAlign w:val="top"/>
          </w:tcPr>
          <w:p w14:paraId="14F61662"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625" w:type="pct"/>
            <w:tcBorders>
              <w:top w:val="nil"/>
              <w:bottom w:val="single" w:sz="18" w:space="0" w:color="2F5496" w:themeColor="accent5" w:themeShade="BF"/>
            </w:tcBorders>
            <w:vAlign w:val="top"/>
          </w:tcPr>
          <w:p w14:paraId="3FC55816" w14:textId="77777777" w:rsidR="0015731A" w:rsidRPr="004174D6"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5</w:t>
            </w:r>
          </w:p>
        </w:tc>
        <w:tc>
          <w:tcPr>
            <w:tcW w:w="722" w:type="pct"/>
            <w:tcBorders>
              <w:bottom w:val="single" w:sz="18" w:space="0" w:color="2F5496" w:themeColor="accent5" w:themeShade="BF"/>
            </w:tcBorders>
            <w:vAlign w:val="top"/>
          </w:tcPr>
          <w:p w14:paraId="10D11D76"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0</w:t>
            </w:r>
          </w:p>
        </w:tc>
        <w:tc>
          <w:tcPr>
            <w:tcW w:w="713" w:type="pct"/>
            <w:tcBorders>
              <w:top w:val="nil"/>
              <w:bottom w:val="single" w:sz="18" w:space="0" w:color="2F5496" w:themeColor="accent5" w:themeShade="BF"/>
            </w:tcBorders>
            <w:vAlign w:val="top"/>
          </w:tcPr>
          <w:p w14:paraId="4163E6B3" w14:textId="77777777" w:rsidR="0015731A" w:rsidRPr="004174D6"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1,850</w:t>
            </w:r>
          </w:p>
        </w:tc>
      </w:tr>
      <w:tr w:rsidR="0015731A" w:rsidRPr="004174D6" w14:paraId="611F1965"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18" w:space="0" w:color="2F5496" w:themeColor="accent5" w:themeShade="BF"/>
              <w:bottom w:val="nil"/>
            </w:tcBorders>
            <w:vAlign w:val="top"/>
          </w:tcPr>
          <w:p w14:paraId="0BA2A7C0" w14:textId="77777777" w:rsidR="0015731A" w:rsidRPr="002903C5" w:rsidRDefault="0015731A" w:rsidP="00CC11AE">
            <w:pPr>
              <w:pStyle w:val="NoSpacing"/>
            </w:pPr>
            <w:r w:rsidRPr="002903C5">
              <w:t>ARRT</w:t>
            </w:r>
          </w:p>
        </w:tc>
        <w:tc>
          <w:tcPr>
            <w:tcW w:w="1127" w:type="pct"/>
            <w:tcBorders>
              <w:top w:val="single" w:sz="18" w:space="0" w:color="2F5496" w:themeColor="accent5" w:themeShade="BF"/>
              <w:bottom w:val="single" w:sz="6" w:space="0" w:color="2F5496" w:themeColor="accent5" w:themeShade="BF"/>
            </w:tcBorders>
            <w:vAlign w:val="top"/>
          </w:tcPr>
          <w:p w14:paraId="7A0A27BF"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tcBorders>
              <w:top w:val="single" w:sz="18" w:space="0" w:color="2F5496" w:themeColor="accent5" w:themeShade="BF"/>
              <w:bottom w:val="single" w:sz="6" w:space="0" w:color="2F5496" w:themeColor="accent5" w:themeShade="BF"/>
            </w:tcBorders>
            <w:vAlign w:val="top"/>
          </w:tcPr>
          <w:p w14:paraId="72A3B0A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15</w:t>
            </w:r>
          </w:p>
        </w:tc>
        <w:tc>
          <w:tcPr>
            <w:tcW w:w="625" w:type="pct"/>
            <w:tcBorders>
              <w:top w:val="single" w:sz="18" w:space="0" w:color="2F5496" w:themeColor="accent5" w:themeShade="BF"/>
              <w:bottom w:val="nil"/>
            </w:tcBorders>
            <w:vAlign w:val="top"/>
          </w:tcPr>
          <w:p w14:paraId="0CBD415A"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18</w:t>
            </w:r>
          </w:p>
        </w:tc>
        <w:tc>
          <w:tcPr>
            <w:tcW w:w="722" w:type="pct"/>
            <w:tcBorders>
              <w:top w:val="single" w:sz="18" w:space="0" w:color="2F5496" w:themeColor="accent5" w:themeShade="BF"/>
              <w:bottom w:val="single" w:sz="6" w:space="0" w:color="2F5496" w:themeColor="accent5" w:themeShade="BF"/>
            </w:tcBorders>
            <w:vAlign w:val="top"/>
          </w:tcPr>
          <w:p w14:paraId="5380DA35"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2,178</w:t>
            </w:r>
          </w:p>
        </w:tc>
        <w:tc>
          <w:tcPr>
            <w:tcW w:w="713" w:type="pct"/>
            <w:tcBorders>
              <w:top w:val="single" w:sz="18" w:space="0" w:color="2F5496" w:themeColor="accent5" w:themeShade="BF"/>
              <w:bottom w:val="nil"/>
            </w:tcBorders>
            <w:vAlign w:val="top"/>
          </w:tcPr>
          <w:p w14:paraId="11400C28"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2,628</w:t>
            </w:r>
          </w:p>
        </w:tc>
      </w:tr>
      <w:tr w:rsidR="0015731A" w:rsidRPr="004174D6" w14:paraId="4705DD1C"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011E20BF" w14:textId="77777777" w:rsidR="0015731A" w:rsidRPr="002903C5" w:rsidRDefault="00066CC5" w:rsidP="00CC11AE">
            <w:pPr>
              <w:pStyle w:val="NoSpacing"/>
            </w:pPr>
            <w:r w:rsidRPr="00066CC5">
              <w:rPr>
                <w:color w:val="F2F2F2" w:themeColor="background1" w:themeShade="F2"/>
              </w:rPr>
              <w:lastRenderedPageBreak/>
              <w:t>AART</w:t>
            </w:r>
          </w:p>
        </w:tc>
        <w:tc>
          <w:tcPr>
            <w:tcW w:w="1127" w:type="pct"/>
            <w:tcBorders>
              <w:top w:val="single" w:sz="6" w:space="0" w:color="2F5496" w:themeColor="accent5" w:themeShade="BF"/>
            </w:tcBorders>
            <w:vAlign w:val="top"/>
          </w:tcPr>
          <w:p w14:paraId="7BDAE5D2" w14:textId="77777777" w:rsidR="0015731A" w:rsidRPr="004174D6" w:rsidRDefault="0015731A"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tcBorders>
              <w:top w:val="single" w:sz="6" w:space="0" w:color="2F5496" w:themeColor="accent5" w:themeShade="BF"/>
            </w:tcBorders>
            <w:vAlign w:val="top"/>
          </w:tcPr>
          <w:p w14:paraId="17AFB077"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3</w:t>
            </w:r>
          </w:p>
        </w:tc>
        <w:tc>
          <w:tcPr>
            <w:tcW w:w="625" w:type="pct"/>
            <w:tcBorders>
              <w:top w:val="nil"/>
            </w:tcBorders>
            <w:vAlign w:val="top"/>
          </w:tcPr>
          <w:p w14:paraId="4A1177F5" w14:textId="77777777" w:rsidR="0015731A" w:rsidRPr="004174D6"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18</w:t>
            </w:r>
          </w:p>
        </w:tc>
        <w:tc>
          <w:tcPr>
            <w:tcW w:w="722" w:type="pct"/>
            <w:tcBorders>
              <w:top w:val="single" w:sz="6" w:space="0" w:color="2F5496" w:themeColor="accent5" w:themeShade="BF"/>
            </w:tcBorders>
            <w:vAlign w:val="top"/>
          </w:tcPr>
          <w:p w14:paraId="1B33CAB9" w14:textId="77777777" w:rsidR="0015731A" w:rsidRPr="004174D6" w:rsidRDefault="0015731A" w:rsidP="00CC11AE">
            <w:pPr>
              <w:pStyle w:val="CellPad"/>
              <w:cnfStyle w:val="000000000000" w:firstRow="0" w:lastRow="0" w:firstColumn="0" w:lastColumn="0" w:oddVBand="0" w:evenVBand="0" w:oddHBand="0" w:evenHBand="0" w:firstRowFirstColumn="0" w:firstRowLastColumn="0" w:lastRowFirstColumn="0" w:lastRowLastColumn="0"/>
            </w:pPr>
            <w:r>
              <w:t>450</w:t>
            </w:r>
          </w:p>
        </w:tc>
        <w:tc>
          <w:tcPr>
            <w:tcW w:w="713" w:type="pct"/>
            <w:tcBorders>
              <w:top w:val="nil"/>
            </w:tcBorders>
            <w:vAlign w:val="top"/>
          </w:tcPr>
          <w:p w14:paraId="2CF4D115" w14:textId="77777777" w:rsidR="0015731A" w:rsidRPr="004174D6"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2,628</w:t>
            </w:r>
          </w:p>
        </w:tc>
      </w:tr>
      <w:tr w:rsidR="00F56A2B" w:rsidRPr="004174D6" w14:paraId="5D247237"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single" w:sz="6" w:space="0" w:color="2F5496" w:themeColor="accent5" w:themeShade="BF"/>
            </w:tcBorders>
            <w:vAlign w:val="top"/>
          </w:tcPr>
          <w:p w14:paraId="470043C7" w14:textId="77777777" w:rsidR="00E44A1A" w:rsidRPr="002903C5" w:rsidRDefault="00E44A1A" w:rsidP="00CC11AE">
            <w:pPr>
              <w:pStyle w:val="NoSpacing"/>
            </w:pPr>
            <w:r w:rsidRPr="002903C5">
              <w:t>Switzer Fellowships</w:t>
            </w:r>
          </w:p>
        </w:tc>
        <w:tc>
          <w:tcPr>
            <w:tcW w:w="1127" w:type="pct"/>
            <w:vAlign w:val="top"/>
          </w:tcPr>
          <w:p w14:paraId="70350381" w14:textId="77777777" w:rsidR="00E44A1A" w:rsidRPr="004174D6" w:rsidRDefault="00B12D4C" w:rsidP="00800E49">
            <w:pPr>
              <w:pStyle w:val="NoSpacing"/>
              <w:cnfStyle w:val="000000000000" w:firstRow="0" w:lastRow="0" w:firstColumn="0" w:lastColumn="0" w:oddVBand="0" w:evenVBand="0" w:oddHBand="0" w:evenHBand="0" w:firstRowFirstColumn="0" w:firstRowLastColumn="0" w:lastRowFirstColumn="0" w:lastRowLastColumn="0"/>
            </w:pPr>
            <w:r w:rsidRPr="00B12D4C">
              <w:t xml:space="preserve">New Awards </w:t>
            </w:r>
            <w:r w:rsidR="00F56A2B">
              <w:br/>
            </w:r>
            <w:r w:rsidRPr="00B12D4C">
              <w:t>(</w:t>
            </w:r>
            <w:r w:rsidR="00EA1D9C">
              <w:t>1</w:t>
            </w:r>
            <w:r w:rsidRPr="00B12D4C">
              <w:t>-year grants)</w:t>
            </w:r>
          </w:p>
        </w:tc>
        <w:tc>
          <w:tcPr>
            <w:tcW w:w="771" w:type="pct"/>
            <w:vAlign w:val="top"/>
          </w:tcPr>
          <w:p w14:paraId="3CD46061" w14:textId="77777777" w:rsidR="00E44A1A" w:rsidRPr="004174D6" w:rsidRDefault="00E44A1A" w:rsidP="00CC11AE">
            <w:pPr>
              <w:pStyle w:val="CellPad"/>
              <w:cnfStyle w:val="000000000000" w:firstRow="0" w:lastRow="0" w:firstColumn="0" w:lastColumn="0" w:oddVBand="0" w:evenVBand="0" w:oddHBand="0" w:evenHBand="0" w:firstRowFirstColumn="0" w:firstRowLastColumn="0" w:lastRowFirstColumn="0" w:lastRowLastColumn="0"/>
            </w:pPr>
            <w:r>
              <w:t>6</w:t>
            </w:r>
          </w:p>
        </w:tc>
        <w:tc>
          <w:tcPr>
            <w:tcW w:w="625" w:type="pct"/>
            <w:tcBorders>
              <w:bottom w:val="single" w:sz="6" w:space="0" w:color="2F5496" w:themeColor="accent5" w:themeShade="BF"/>
            </w:tcBorders>
            <w:vAlign w:val="top"/>
          </w:tcPr>
          <w:p w14:paraId="3A822E19" w14:textId="77777777" w:rsidR="00E44A1A" w:rsidRPr="004174D6" w:rsidRDefault="00E44A1A" w:rsidP="00CC11AE">
            <w:pPr>
              <w:pStyle w:val="CellPad"/>
              <w:cnfStyle w:val="000000000000" w:firstRow="0" w:lastRow="0" w:firstColumn="0" w:lastColumn="0" w:oddVBand="0" w:evenVBand="0" w:oddHBand="0" w:evenHBand="0" w:firstRowFirstColumn="0" w:firstRowLastColumn="0" w:lastRowFirstColumn="0" w:lastRowLastColumn="0"/>
            </w:pPr>
            <w:r>
              <w:t>6</w:t>
            </w:r>
          </w:p>
        </w:tc>
        <w:tc>
          <w:tcPr>
            <w:tcW w:w="722" w:type="pct"/>
            <w:vAlign w:val="top"/>
          </w:tcPr>
          <w:p w14:paraId="2F2F4C26" w14:textId="77777777" w:rsidR="00E44A1A" w:rsidRPr="004174D6" w:rsidRDefault="00E44A1A" w:rsidP="00CC11AE">
            <w:pPr>
              <w:pStyle w:val="CellPad"/>
              <w:cnfStyle w:val="000000000000" w:firstRow="0" w:lastRow="0" w:firstColumn="0" w:lastColumn="0" w:oddVBand="0" w:evenVBand="0" w:oddHBand="0" w:evenHBand="0" w:firstRowFirstColumn="0" w:firstRowLastColumn="0" w:lastRowFirstColumn="0" w:lastRowLastColumn="0"/>
            </w:pPr>
            <w:r>
              <w:t>4</w:t>
            </w:r>
            <w:r w:rsidR="00B12D4C">
              <w:t>3</w:t>
            </w:r>
            <w:r>
              <w:t>0</w:t>
            </w:r>
          </w:p>
        </w:tc>
        <w:tc>
          <w:tcPr>
            <w:tcW w:w="713" w:type="pct"/>
            <w:tcBorders>
              <w:bottom w:val="single" w:sz="6" w:space="0" w:color="2F5496" w:themeColor="accent5" w:themeShade="BF"/>
            </w:tcBorders>
            <w:vAlign w:val="top"/>
          </w:tcPr>
          <w:p w14:paraId="44892A31" w14:textId="77777777" w:rsidR="00E44A1A" w:rsidRPr="004174D6" w:rsidRDefault="00E44A1A" w:rsidP="00CC11AE">
            <w:pPr>
              <w:pStyle w:val="CellPad"/>
              <w:cnfStyle w:val="000000000000" w:firstRow="0" w:lastRow="0" w:firstColumn="0" w:lastColumn="0" w:oddVBand="0" w:evenVBand="0" w:oddHBand="0" w:evenHBand="0" w:firstRowFirstColumn="0" w:firstRowLastColumn="0" w:lastRowFirstColumn="0" w:lastRowLastColumn="0"/>
            </w:pPr>
            <w:r>
              <w:t>4</w:t>
            </w:r>
            <w:r w:rsidR="00B12D4C">
              <w:t>3</w:t>
            </w:r>
            <w:r>
              <w:t>0</w:t>
            </w:r>
          </w:p>
        </w:tc>
      </w:tr>
      <w:tr w:rsidR="00E400E8" w:rsidRPr="004174D6" w14:paraId="41765031" w14:textId="77777777" w:rsidTr="006C27A7">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nil"/>
            </w:tcBorders>
            <w:vAlign w:val="top"/>
          </w:tcPr>
          <w:p w14:paraId="5A3E8EB5" w14:textId="77777777" w:rsidR="00E400E8" w:rsidRPr="002903C5" w:rsidRDefault="00E400E8" w:rsidP="00CC11AE">
            <w:pPr>
              <w:pStyle w:val="NoSpacing"/>
            </w:pPr>
            <w:r w:rsidRPr="002903C5">
              <w:t>Section 21</w:t>
            </w:r>
          </w:p>
        </w:tc>
        <w:tc>
          <w:tcPr>
            <w:tcW w:w="1127" w:type="pct"/>
            <w:vAlign w:val="top"/>
          </w:tcPr>
          <w:p w14:paraId="2CF590B8" w14:textId="77777777" w:rsidR="00E400E8" w:rsidRPr="004174D6" w:rsidRDefault="00E400E8" w:rsidP="00800E49">
            <w:pPr>
              <w:pStyle w:val="NoSpacing"/>
              <w:cnfStyle w:val="000000000000" w:firstRow="0" w:lastRow="0" w:firstColumn="0" w:lastColumn="0" w:oddVBand="0" w:evenVBand="0" w:oddHBand="0" w:evenHBand="0" w:firstRowFirstColumn="0" w:firstRowLastColumn="0" w:lastRowFirstColumn="0" w:lastRowLastColumn="0"/>
            </w:pPr>
            <w:r w:rsidRPr="004174D6">
              <w:t>Continuations</w:t>
            </w:r>
          </w:p>
        </w:tc>
        <w:tc>
          <w:tcPr>
            <w:tcW w:w="771" w:type="pct"/>
            <w:vAlign w:val="top"/>
          </w:tcPr>
          <w:p w14:paraId="63BDA9F3" w14:textId="77777777" w:rsidR="00E400E8" w:rsidRPr="004174D6" w:rsidRDefault="00E400E8" w:rsidP="00CC11AE">
            <w:pPr>
              <w:pStyle w:val="CellPad"/>
              <w:cnfStyle w:val="000000000000" w:firstRow="0" w:lastRow="0" w:firstColumn="0" w:lastColumn="0" w:oddVBand="0" w:evenVBand="0" w:oddHBand="0" w:evenHBand="0" w:firstRowFirstColumn="0" w:firstRowLastColumn="0" w:lastRowFirstColumn="0" w:lastRowLastColumn="0"/>
            </w:pPr>
            <w:r>
              <w:t>4</w:t>
            </w:r>
          </w:p>
        </w:tc>
        <w:tc>
          <w:tcPr>
            <w:tcW w:w="625" w:type="pct"/>
            <w:tcBorders>
              <w:top w:val="single" w:sz="6" w:space="0" w:color="2F5496" w:themeColor="accent5" w:themeShade="BF"/>
              <w:bottom w:val="nil"/>
            </w:tcBorders>
            <w:vAlign w:val="top"/>
          </w:tcPr>
          <w:p w14:paraId="7E2DB793" w14:textId="77777777" w:rsidR="00E400E8" w:rsidRPr="004174D6" w:rsidRDefault="00E400E8" w:rsidP="00CC11AE">
            <w:pPr>
              <w:pStyle w:val="CellPad"/>
              <w:cnfStyle w:val="000000000000" w:firstRow="0" w:lastRow="0" w:firstColumn="0" w:lastColumn="0" w:oddVBand="0" w:evenVBand="0" w:oddHBand="0" w:evenHBand="0" w:firstRowFirstColumn="0" w:firstRowLastColumn="0" w:lastRowFirstColumn="0" w:lastRowLastColumn="0"/>
            </w:pPr>
            <w:r>
              <w:t>5</w:t>
            </w:r>
          </w:p>
        </w:tc>
        <w:tc>
          <w:tcPr>
            <w:tcW w:w="722" w:type="pct"/>
            <w:vAlign w:val="top"/>
          </w:tcPr>
          <w:p w14:paraId="3AE87C9C" w14:textId="77777777" w:rsidR="00E400E8" w:rsidRPr="004174D6" w:rsidRDefault="00E400E8" w:rsidP="00CC11AE">
            <w:pPr>
              <w:pStyle w:val="CellPad"/>
              <w:cnfStyle w:val="000000000000" w:firstRow="0" w:lastRow="0" w:firstColumn="0" w:lastColumn="0" w:oddVBand="0" w:evenVBand="0" w:oddHBand="0" w:evenHBand="0" w:firstRowFirstColumn="0" w:firstRowLastColumn="0" w:lastRowFirstColumn="0" w:lastRowLastColumn="0"/>
            </w:pPr>
            <w:r>
              <w:t>1,425</w:t>
            </w:r>
          </w:p>
        </w:tc>
        <w:tc>
          <w:tcPr>
            <w:tcW w:w="713" w:type="pct"/>
            <w:tcBorders>
              <w:top w:val="single" w:sz="6" w:space="0" w:color="2F5496" w:themeColor="accent5" w:themeShade="BF"/>
              <w:bottom w:val="nil"/>
            </w:tcBorders>
            <w:vAlign w:val="top"/>
          </w:tcPr>
          <w:p w14:paraId="04015068" w14:textId="77777777" w:rsidR="00E400E8" w:rsidRPr="004174D6" w:rsidRDefault="00E400E8" w:rsidP="00CC11AE">
            <w:pPr>
              <w:pStyle w:val="CellPad"/>
              <w:cnfStyle w:val="000000000000" w:firstRow="0" w:lastRow="0" w:firstColumn="0" w:lastColumn="0" w:oddVBand="0" w:evenVBand="0" w:oddHBand="0" w:evenHBand="0" w:firstRowFirstColumn="0" w:firstRowLastColumn="0" w:lastRowFirstColumn="0" w:lastRowLastColumn="0"/>
            </w:pPr>
            <w:r>
              <w:t>1,625</w:t>
            </w:r>
          </w:p>
        </w:tc>
      </w:tr>
      <w:tr w:rsidR="00E400E8" w:rsidRPr="004174D6" w14:paraId="76C8221F" w14:textId="77777777" w:rsidTr="005561FD">
        <w:trPr>
          <w:cantSplit/>
        </w:trPr>
        <w:tc>
          <w:tcPr>
            <w:cnfStyle w:val="001000000000" w:firstRow="0" w:lastRow="0" w:firstColumn="1" w:lastColumn="0" w:oddVBand="0" w:evenVBand="0" w:oddHBand="0" w:evenHBand="0" w:firstRowFirstColumn="0" w:firstRowLastColumn="0" w:lastRowFirstColumn="0" w:lastRowLastColumn="0"/>
            <w:tcW w:w="1042" w:type="pct"/>
            <w:tcBorders>
              <w:top w:val="nil"/>
              <w:bottom w:val="single" w:sz="6" w:space="0" w:color="2F5496" w:themeColor="accent5" w:themeShade="BF"/>
            </w:tcBorders>
            <w:vAlign w:val="top"/>
          </w:tcPr>
          <w:p w14:paraId="72EF3A4B" w14:textId="77777777" w:rsidR="00E400E8" w:rsidRPr="004174D6" w:rsidRDefault="00066CC5" w:rsidP="00800E49">
            <w:pPr>
              <w:pStyle w:val="NoSpacing"/>
              <w:rPr>
                <w:b w:val="0"/>
              </w:rPr>
            </w:pPr>
            <w:r w:rsidRPr="00066CC5">
              <w:rPr>
                <w:b w:val="0"/>
                <w:color w:val="F2F2F2" w:themeColor="background1" w:themeShade="F2"/>
              </w:rPr>
              <w:t>Section 21</w:t>
            </w:r>
          </w:p>
        </w:tc>
        <w:tc>
          <w:tcPr>
            <w:tcW w:w="1127" w:type="pct"/>
            <w:tcBorders>
              <w:bottom w:val="single" w:sz="6" w:space="0" w:color="2F5496" w:themeColor="accent5" w:themeShade="BF"/>
            </w:tcBorders>
            <w:vAlign w:val="top"/>
          </w:tcPr>
          <w:p w14:paraId="5E9C4EEC" w14:textId="77777777" w:rsidR="00E400E8" w:rsidRPr="004174D6" w:rsidRDefault="00E400E8" w:rsidP="00800E49">
            <w:pPr>
              <w:pStyle w:val="NoSpacing"/>
              <w:cnfStyle w:val="000000000000" w:firstRow="0" w:lastRow="0" w:firstColumn="0" w:lastColumn="0" w:oddVBand="0" w:evenVBand="0" w:oddHBand="0" w:evenHBand="0" w:firstRowFirstColumn="0" w:firstRowLastColumn="0" w:lastRowFirstColumn="0" w:lastRowLastColumn="0"/>
            </w:pPr>
            <w:r w:rsidRPr="004174D6">
              <w:t>New Awards</w:t>
            </w:r>
          </w:p>
        </w:tc>
        <w:tc>
          <w:tcPr>
            <w:tcW w:w="771" w:type="pct"/>
            <w:vAlign w:val="top"/>
          </w:tcPr>
          <w:p w14:paraId="2D8CA15B" w14:textId="77777777" w:rsidR="00E400E8" w:rsidRDefault="00E400E8" w:rsidP="00CC11AE">
            <w:pPr>
              <w:pStyle w:val="CellPad"/>
              <w:cnfStyle w:val="000000000000" w:firstRow="0" w:lastRow="0" w:firstColumn="0" w:lastColumn="0" w:oddVBand="0" w:evenVBand="0" w:oddHBand="0" w:evenHBand="0" w:firstRowFirstColumn="0" w:firstRowLastColumn="0" w:lastRowFirstColumn="0" w:lastRowLastColumn="0"/>
            </w:pPr>
            <w:r>
              <w:t>1</w:t>
            </w:r>
          </w:p>
        </w:tc>
        <w:tc>
          <w:tcPr>
            <w:tcW w:w="625" w:type="pct"/>
            <w:tcBorders>
              <w:top w:val="nil"/>
            </w:tcBorders>
            <w:vAlign w:val="top"/>
          </w:tcPr>
          <w:p w14:paraId="0716EFF0" w14:textId="77777777" w:rsidR="00E400E8"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5</w:t>
            </w:r>
          </w:p>
        </w:tc>
        <w:tc>
          <w:tcPr>
            <w:tcW w:w="722" w:type="pct"/>
            <w:vAlign w:val="top"/>
          </w:tcPr>
          <w:p w14:paraId="15FF6F6E" w14:textId="77777777" w:rsidR="00E400E8" w:rsidRDefault="00E400E8" w:rsidP="00CC11AE">
            <w:pPr>
              <w:pStyle w:val="CellPad"/>
              <w:cnfStyle w:val="000000000000" w:firstRow="0" w:lastRow="0" w:firstColumn="0" w:lastColumn="0" w:oddVBand="0" w:evenVBand="0" w:oddHBand="0" w:evenHBand="0" w:firstRowFirstColumn="0" w:firstRowLastColumn="0" w:lastRowFirstColumn="0" w:lastRowLastColumn="0"/>
            </w:pPr>
            <w:r>
              <w:t>200</w:t>
            </w:r>
          </w:p>
        </w:tc>
        <w:tc>
          <w:tcPr>
            <w:tcW w:w="713" w:type="pct"/>
            <w:tcBorders>
              <w:top w:val="nil"/>
            </w:tcBorders>
            <w:vAlign w:val="top"/>
          </w:tcPr>
          <w:p w14:paraId="03628D01" w14:textId="77777777" w:rsidR="00E400E8" w:rsidRDefault="00066CC5" w:rsidP="00CC11AE">
            <w:pPr>
              <w:pStyle w:val="CellPad"/>
              <w:cnfStyle w:val="000000000000" w:firstRow="0" w:lastRow="0" w:firstColumn="0" w:lastColumn="0" w:oddVBand="0" w:evenVBand="0" w:oddHBand="0" w:evenHBand="0" w:firstRowFirstColumn="0" w:firstRowLastColumn="0" w:lastRowFirstColumn="0" w:lastRowLastColumn="0"/>
            </w:pPr>
            <w:r w:rsidRPr="00066CC5">
              <w:rPr>
                <w:color w:val="FFFFFF" w:themeColor="background1"/>
              </w:rPr>
              <w:t>1,625</w:t>
            </w:r>
          </w:p>
        </w:tc>
      </w:tr>
      <w:tr w:rsidR="0073195F" w:rsidRPr="004174D6" w14:paraId="4A5AE3DC" w14:textId="77777777" w:rsidTr="005561FD">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2" w:type="pct"/>
            <w:tcBorders>
              <w:top w:val="single" w:sz="6" w:space="0" w:color="2F5496" w:themeColor="accent5" w:themeShade="BF"/>
              <w:bottom w:val="single" w:sz="18" w:space="0" w:color="2F5496" w:themeColor="accent5" w:themeShade="BF"/>
              <w:right w:val="nil"/>
            </w:tcBorders>
            <w:shd w:val="clear" w:color="auto" w:fill="D9D9D9" w:themeFill="background1" w:themeFillShade="D9"/>
            <w:vAlign w:val="top"/>
          </w:tcPr>
          <w:p w14:paraId="30C5E46F" w14:textId="04553B71" w:rsidR="0073195F" w:rsidRPr="0073195F" w:rsidRDefault="0073195F" w:rsidP="00800E49">
            <w:pPr>
              <w:pStyle w:val="NoSpacing"/>
              <w:rPr>
                <w:bCs w:val="0"/>
                <w:color w:val="000000" w:themeColor="text1"/>
              </w:rPr>
            </w:pPr>
            <w:r w:rsidRPr="0073195F">
              <w:rPr>
                <w:bCs w:val="0"/>
                <w:color w:val="000000" w:themeColor="text1"/>
              </w:rPr>
              <w:t>Total</w:t>
            </w:r>
          </w:p>
        </w:tc>
        <w:tc>
          <w:tcPr>
            <w:tcW w:w="1127" w:type="pct"/>
            <w:tcBorders>
              <w:top w:val="single" w:sz="6" w:space="0" w:color="2F5496" w:themeColor="accent5" w:themeShade="BF"/>
              <w:left w:val="nil"/>
              <w:bottom w:val="single" w:sz="18" w:space="0" w:color="2F5496" w:themeColor="accent5" w:themeShade="BF"/>
            </w:tcBorders>
            <w:shd w:val="clear" w:color="auto" w:fill="D9D9D9" w:themeFill="background1" w:themeFillShade="D9"/>
            <w:vAlign w:val="top"/>
          </w:tcPr>
          <w:p w14:paraId="32D950FD" w14:textId="77777777" w:rsidR="0073195F" w:rsidRPr="0062578D" w:rsidRDefault="0073195F" w:rsidP="00800E49">
            <w:pPr>
              <w:pStyle w:val="NoSpacing"/>
              <w:cnfStyle w:val="010000000000" w:firstRow="0" w:lastRow="1" w:firstColumn="0" w:lastColumn="0" w:oddVBand="0" w:evenVBand="0" w:oddHBand="0" w:evenHBand="0" w:firstRowFirstColumn="0" w:firstRowLastColumn="0" w:lastRowFirstColumn="0" w:lastRowLastColumn="0"/>
              <w:rPr>
                <w:bCs w:val="0"/>
                <w:color w:val="000000" w:themeColor="text1"/>
              </w:rPr>
            </w:pPr>
          </w:p>
        </w:tc>
        <w:tc>
          <w:tcPr>
            <w:tcW w:w="771" w:type="pct"/>
            <w:shd w:val="clear" w:color="auto" w:fill="D9D9D9" w:themeFill="background1" w:themeFillShade="D9"/>
            <w:vAlign w:val="top"/>
          </w:tcPr>
          <w:p w14:paraId="5604CB82" w14:textId="77777777" w:rsidR="0073195F" w:rsidRPr="0062578D" w:rsidRDefault="0073195F" w:rsidP="00CC11AE">
            <w:pPr>
              <w:pStyle w:val="CellPad"/>
              <w:cnfStyle w:val="010000000000" w:firstRow="0" w:lastRow="1" w:firstColumn="0" w:lastColumn="0" w:oddVBand="0" w:evenVBand="0" w:oddHBand="0" w:evenHBand="0" w:firstRowFirstColumn="0" w:firstRowLastColumn="0" w:lastRowFirstColumn="0" w:lastRowLastColumn="0"/>
              <w:rPr>
                <w:bCs w:val="0"/>
                <w:color w:val="000000" w:themeColor="text1"/>
              </w:rPr>
            </w:pPr>
          </w:p>
        </w:tc>
        <w:tc>
          <w:tcPr>
            <w:tcW w:w="625" w:type="pct"/>
            <w:tcBorders>
              <w:top w:val="nil"/>
            </w:tcBorders>
            <w:shd w:val="clear" w:color="auto" w:fill="D9D9D9" w:themeFill="background1" w:themeFillShade="D9"/>
            <w:vAlign w:val="top"/>
          </w:tcPr>
          <w:p w14:paraId="11000CA7" w14:textId="1BA74425" w:rsidR="0073195F" w:rsidRPr="0073195F" w:rsidRDefault="0073195F" w:rsidP="00CC11AE">
            <w:pPr>
              <w:pStyle w:val="CellPad"/>
              <w:cnfStyle w:val="010000000000" w:firstRow="0" w:lastRow="1" w:firstColumn="0" w:lastColumn="0" w:oddVBand="0" w:evenVBand="0" w:oddHBand="0" w:evenHBand="0" w:firstRowFirstColumn="0" w:firstRowLastColumn="0" w:lastRowFirstColumn="0" w:lastRowLastColumn="0"/>
              <w:rPr>
                <w:bCs w:val="0"/>
                <w:color w:val="000000" w:themeColor="text1"/>
              </w:rPr>
            </w:pPr>
            <w:r w:rsidRPr="0073195F">
              <w:rPr>
                <w:bCs w:val="0"/>
                <w:color w:val="000000" w:themeColor="text1"/>
              </w:rPr>
              <w:t>220</w:t>
            </w:r>
          </w:p>
        </w:tc>
        <w:tc>
          <w:tcPr>
            <w:tcW w:w="722" w:type="pct"/>
            <w:shd w:val="clear" w:color="auto" w:fill="D9D9D9" w:themeFill="background1" w:themeFillShade="D9"/>
            <w:vAlign w:val="top"/>
          </w:tcPr>
          <w:p w14:paraId="49F20EA7" w14:textId="77777777" w:rsidR="0073195F" w:rsidRPr="0073195F" w:rsidRDefault="0073195F" w:rsidP="00CC11AE">
            <w:pPr>
              <w:pStyle w:val="CellPad"/>
              <w:cnfStyle w:val="010000000000" w:firstRow="0" w:lastRow="1" w:firstColumn="0" w:lastColumn="0" w:oddVBand="0" w:evenVBand="0" w:oddHBand="0" w:evenHBand="0" w:firstRowFirstColumn="0" w:firstRowLastColumn="0" w:lastRowFirstColumn="0" w:lastRowLastColumn="0"/>
              <w:rPr>
                <w:bCs w:val="0"/>
                <w:color w:val="000000" w:themeColor="text1"/>
              </w:rPr>
            </w:pPr>
          </w:p>
        </w:tc>
        <w:tc>
          <w:tcPr>
            <w:tcW w:w="713" w:type="pct"/>
            <w:tcBorders>
              <w:top w:val="nil"/>
            </w:tcBorders>
            <w:shd w:val="clear" w:color="auto" w:fill="D9D9D9" w:themeFill="background1" w:themeFillShade="D9"/>
            <w:vAlign w:val="top"/>
          </w:tcPr>
          <w:p w14:paraId="6628E80B" w14:textId="4D73CC3A" w:rsidR="0073195F" w:rsidRPr="0073195F" w:rsidRDefault="0073195F" w:rsidP="00CC11AE">
            <w:pPr>
              <w:pStyle w:val="CellPad"/>
              <w:cnfStyle w:val="010000000000" w:firstRow="0" w:lastRow="1" w:firstColumn="0" w:lastColumn="0" w:oddVBand="0" w:evenVBand="0" w:oddHBand="0" w:evenHBand="0" w:firstRowFirstColumn="0" w:firstRowLastColumn="0" w:lastRowFirstColumn="0" w:lastRowLastColumn="0"/>
              <w:rPr>
                <w:bCs w:val="0"/>
                <w:color w:val="000000" w:themeColor="text1"/>
              </w:rPr>
            </w:pPr>
            <w:r w:rsidRPr="0073195F">
              <w:rPr>
                <w:bCs w:val="0"/>
                <w:color w:val="000000" w:themeColor="text1"/>
              </w:rPr>
              <w:t>101,936</w:t>
            </w:r>
          </w:p>
        </w:tc>
      </w:tr>
    </w:tbl>
    <w:p w14:paraId="36BABEFB" w14:textId="77777777" w:rsidR="00D45CA2" w:rsidRDefault="006C5D85" w:rsidP="000124F5">
      <w:pPr>
        <w:pStyle w:val="Source"/>
        <w:spacing w:after="140"/>
      </w:pPr>
      <w:r w:rsidRPr="006C5D85">
        <w:t xml:space="preserve">Source: U.S. Department of Health and Human Services, Administration for Community Living, </w:t>
      </w:r>
      <w:r w:rsidR="004F0AB2" w:rsidRPr="00610201">
        <w:t>National Institute on Disability, Independent Living, and Rehabilitation Research</w:t>
      </w:r>
      <w:r w:rsidRPr="006C5D85">
        <w:t>.</w:t>
      </w:r>
    </w:p>
    <w:p w14:paraId="353D7D8C" w14:textId="164FB6AB" w:rsidR="00D45CA2" w:rsidRDefault="00E41099" w:rsidP="000124F5">
      <w:pPr>
        <w:spacing w:after="140"/>
      </w:pPr>
      <w:r w:rsidRPr="00494BB4">
        <w:t xml:space="preserve">Exhibits 1 </w:t>
      </w:r>
      <w:r w:rsidR="005F25EE">
        <w:t>and</w:t>
      </w:r>
      <w:r w:rsidRPr="00494BB4">
        <w:t xml:space="preserve"> 2 </w:t>
      </w:r>
      <w:r w:rsidRPr="00ED4EF3">
        <w:t>il</w:t>
      </w:r>
      <w:r w:rsidRPr="007E5DE8">
        <w:t xml:space="preserve">lustrate the distribution of funded research and development grant projects in FY </w:t>
      </w:r>
      <w:r w:rsidR="006C5D85">
        <w:t>201</w:t>
      </w:r>
      <w:r w:rsidR="003B32DF">
        <w:t>9</w:t>
      </w:r>
      <w:r w:rsidR="006C5D85" w:rsidRPr="007E5DE8">
        <w:t xml:space="preserve"> </w:t>
      </w:r>
      <w:r w:rsidRPr="007E5DE8">
        <w:t xml:space="preserve">across </w:t>
      </w:r>
      <w:r w:rsidR="002E6495">
        <w:t xml:space="preserve">the three domains of </w:t>
      </w:r>
      <w:r w:rsidRPr="007E5DE8">
        <w:t>NIDILRR</w:t>
      </w:r>
      <w:r w:rsidR="002E6495">
        <w:t xml:space="preserve"> programs</w:t>
      </w:r>
      <w:r w:rsidRPr="007E5DE8">
        <w:t xml:space="preserve">: </w:t>
      </w:r>
      <w:r w:rsidRPr="009E1B80">
        <w:rPr>
          <w:i/>
          <w:iCs/>
        </w:rPr>
        <w:t>health and function</w:t>
      </w:r>
      <w:r w:rsidRPr="007E5DE8">
        <w:t xml:space="preserve">, </w:t>
      </w:r>
      <w:r w:rsidRPr="009E1B80">
        <w:rPr>
          <w:i/>
          <w:iCs/>
        </w:rPr>
        <w:t>community living and participation</w:t>
      </w:r>
      <w:r w:rsidRPr="007E5DE8">
        <w:t xml:space="preserve">, and </w:t>
      </w:r>
      <w:r w:rsidRPr="009E1B80">
        <w:rPr>
          <w:i/>
          <w:iCs/>
        </w:rPr>
        <w:t>employment</w:t>
      </w:r>
      <w:r w:rsidRPr="007E5DE8">
        <w:t>.</w:t>
      </w:r>
      <w:r w:rsidR="00076D10">
        <w:t xml:space="preserve"> </w:t>
      </w:r>
      <w:r w:rsidRPr="00494BB4">
        <w:t xml:space="preserve">“Cross-cutting” is a composite category used in the Annual Performance Report to </w:t>
      </w:r>
      <w:r w:rsidRPr="00E219BB">
        <w:t>describe projects that reflect two or more domains.</w:t>
      </w:r>
      <w:r w:rsidR="00076D10">
        <w:t xml:space="preserve"> </w:t>
      </w:r>
      <w:r w:rsidR="00317B02" w:rsidRPr="00317B02">
        <w:t xml:space="preserve">Roughly </w:t>
      </w:r>
      <w:r w:rsidR="000D6BCC">
        <w:t>49</w:t>
      </w:r>
      <w:r w:rsidR="00BC6363" w:rsidRPr="00317B02">
        <w:t xml:space="preserve"> percent </w:t>
      </w:r>
      <w:r w:rsidRPr="00317B02">
        <w:t>of development projects</w:t>
      </w:r>
      <w:r w:rsidR="00A65C1F" w:rsidRPr="00317B02">
        <w:t xml:space="preserve"> and </w:t>
      </w:r>
      <w:r w:rsidRPr="00317B02">
        <w:t>about</w:t>
      </w:r>
      <w:r w:rsidR="00E219BB" w:rsidRPr="00317B02">
        <w:t xml:space="preserve"> </w:t>
      </w:r>
      <w:r w:rsidR="003B32DF">
        <w:t>31</w:t>
      </w:r>
      <w:r w:rsidR="00E10EB3" w:rsidRPr="00317B02">
        <w:t xml:space="preserve"> percent</w:t>
      </w:r>
      <w:r w:rsidRPr="00317B02">
        <w:t xml:space="preserve"> of research projects were described as cross-cutting. </w:t>
      </w:r>
      <w:r w:rsidRPr="00E219BB">
        <w:t xml:space="preserve">“Research projects” are defined as </w:t>
      </w:r>
      <w:r w:rsidR="000113CF">
        <w:t>“</w:t>
      </w:r>
      <w:r w:rsidRPr="00E219BB">
        <w:t>an intensive systematic study, based on a clear hypothesis or research question that is directed toward producing new scientific knowledge about the subject or problem being studied.”</w:t>
      </w:r>
      <w:r w:rsidR="00076D10">
        <w:t xml:space="preserve"> </w:t>
      </w:r>
      <w:r w:rsidRPr="00E219BB">
        <w:t xml:space="preserve">“Development </w:t>
      </w:r>
      <w:r w:rsidR="00A17E34">
        <w:t>p</w:t>
      </w:r>
      <w:r w:rsidRPr="00E219BB">
        <w:t xml:space="preserve">rojects” are defined as </w:t>
      </w:r>
      <w:r w:rsidR="000113CF">
        <w:t>“</w:t>
      </w:r>
      <w:r w:rsidRPr="00E219BB">
        <w:t>the use of knowledge and understanding gained from research to create materials, devices, systems, or methods beneficial to the target population, including design and development of prototypes and processes.</w:t>
      </w:r>
      <w:r w:rsidR="000113CF">
        <w:t>”</w:t>
      </w:r>
    </w:p>
    <w:p w14:paraId="13063FF3" w14:textId="77777777" w:rsidR="00D45CA2" w:rsidRDefault="00391846" w:rsidP="002E6495">
      <w:pPr>
        <w:pStyle w:val="ExhibitHead"/>
      </w:pPr>
      <w:bookmarkStart w:id="29" w:name="_Toc480972972"/>
      <w:r w:rsidRPr="00CC11AE">
        <w:t>Exhibit 1. Research Grant Projects by Domain, FY 201</w:t>
      </w:r>
      <w:bookmarkEnd w:id="29"/>
      <w:r w:rsidR="003B32DF" w:rsidRPr="00CC11AE">
        <w:t>9</w:t>
      </w:r>
    </w:p>
    <w:p w14:paraId="71D009D1" w14:textId="77777777" w:rsidR="00D45CA2" w:rsidRDefault="002E5425" w:rsidP="000124F5">
      <w:pPr>
        <w:spacing w:after="40"/>
      </w:pPr>
      <w:r w:rsidRPr="00DF3D02">
        <w:rPr>
          <w:noProof/>
          <w:color w:val="B96F25"/>
        </w:rPr>
        <w:drawing>
          <wp:inline distT="0" distB="0" distL="0" distR="0" wp14:anchorId="0A3CFF89" wp14:editId="6123DD92">
            <wp:extent cx="5943600" cy="2457450"/>
            <wp:effectExtent l="0" t="0" r="0" b="0"/>
            <wp:docPr id="1" name="Chart 1" descr="Research Projects:&#10;Health and function: 32%&#10;Employment: 17%&#10;Participation and community living: 20%&#10;Cross-cutting (two or more domain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158E23" w14:textId="77777777" w:rsidR="00D45CA2" w:rsidRDefault="00032087" w:rsidP="001F6BE6">
      <w:pPr>
        <w:pStyle w:val="Source"/>
      </w:pPr>
      <w:bookmarkStart w:id="30" w:name="_Toc480972973"/>
      <w:r w:rsidRPr="00E219BB">
        <w:rPr>
          <w:rFonts w:cs="Arial"/>
        </w:rPr>
        <w:t xml:space="preserve">Source: </w:t>
      </w:r>
      <w:r w:rsidRPr="00E219BB">
        <w:t xml:space="preserve">U.S. Department of Health and Human Services, Administration for Community Living, </w:t>
      </w:r>
      <w:r w:rsidRPr="00FE514D">
        <w:t>National Institute on Disability, Independent Living, and Rehabilitation Research</w:t>
      </w:r>
      <w:r w:rsidRPr="00E219BB">
        <w:t>.</w:t>
      </w:r>
      <w:r w:rsidR="00076D10">
        <w:t xml:space="preserve"> </w:t>
      </w:r>
      <w:r w:rsidRPr="00CC11AE">
        <w:rPr>
          <w:rStyle w:val="Emphasis"/>
        </w:rPr>
        <w:t>201</w:t>
      </w:r>
      <w:r w:rsidR="001D5B37" w:rsidRPr="00CC11AE">
        <w:rPr>
          <w:rStyle w:val="Emphasis"/>
        </w:rPr>
        <w:t>9</w:t>
      </w:r>
      <w:r w:rsidRPr="00CC11AE">
        <w:rPr>
          <w:rStyle w:val="Emphasis"/>
        </w:rPr>
        <w:t xml:space="preserve"> Annual Performance Reports</w:t>
      </w:r>
      <w:r>
        <w:t>. “</w:t>
      </w:r>
      <w:r w:rsidRPr="00E219BB">
        <w:t xml:space="preserve">Program Performance Report Table </w:t>
      </w:r>
      <w:r>
        <w:t>9</w:t>
      </w:r>
      <w:r w:rsidRPr="00E219BB">
        <w:t>.</w:t>
      </w:r>
      <w:r>
        <w:t>”</w:t>
      </w:r>
    </w:p>
    <w:p w14:paraId="36FAAE41" w14:textId="77777777" w:rsidR="00D45CA2" w:rsidRDefault="001064C4" w:rsidP="002E6495">
      <w:pPr>
        <w:pStyle w:val="ExhibitHead"/>
      </w:pPr>
      <w:r w:rsidRPr="00CC11AE">
        <w:lastRenderedPageBreak/>
        <w:t>Exhibit 2. Development Grant Projects by Domain, FY 201</w:t>
      </w:r>
      <w:bookmarkEnd w:id="30"/>
      <w:r w:rsidR="006B13E5" w:rsidRPr="00CC11AE">
        <w:t>9</w:t>
      </w:r>
    </w:p>
    <w:p w14:paraId="49FBCFC6" w14:textId="77777777" w:rsidR="00D45CA2" w:rsidRDefault="002E5425" w:rsidP="00CC11AE">
      <w:r w:rsidRPr="00B0387E">
        <w:rPr>
          <w:noProof/>
          <w:color w:val="5F5F5F"/>
        </w:rPr>
        <w:drawing>
          <wp:inline distT="0" distB="0" distL="0" distR="0" wp14:anchorId="37F809B9" wp14:editId="4199D653">
            <wp:extent cx="5943600" cy="2743200"/>
            <wp:effectExtent l="0" t="0" r="0" b="0"/>
            <wp:docPr id="4" name="Chart 4" descr="Development Projects:&#10;Health and function: 20%&#10;Employment: 10%&#10;Participation and community living: 21%&#10;Cross-cutting (two or more domain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5EC8CD" w14:textId="77777777" w:rsidR="00D45CA2" w:rsidRDefault="002E5425" w:rsidP="001F6BE6">
      <w:pPr>
        <w:pStyle w:val="Source"/>
      </w:pPr>
      <w:bookmarkStart w:id="31" w:name="_Hlk532981388"/>
      <w:r w:rsidRPr="00E219BB">
        <w:rPr>
          <w:rFonts w:cs="Arial"/>
        </w:rPr>
        <w:t xml:space="preserve">Source: </w:t>
      </w:r>
      <w:r w:rsidRPr="00E219BB">
        <w:t xml:space="preserve">U.S. Department of Health and Human Services, </w:t>
      </w:r>
      <w:r w:rsidR="0017362F" w:rsidRPr="00E219BB">
        <w:t xml:space="preserve">Administration for Community Living, </w:t>
      </w:r>
      <w:r w:rsidR="00447229" w:rsidRPr="00FE514D">
        <w:t>National Institute on Disability, Independent Living, and Rehabilitation Research</w:t>
      </w:r>
      <w:r w:rsidR="0017362F" w:rsidRPr="00E219BB">
        <w:t xml:space="preserve">. </w:t>
      </w:r>
      <w:r w:rsidR="0017362F" w:rsidRPr="00CC11AE">
        <w:rPr>
          <w:rStyle w:val="Emphasis"/>
        </w:rPr>
        <w:t>201</w:t>
      </w:r>
      <w:r w:rsidR="001D5B37" w:rsidRPr="00CC11AE">
        <w:rPr>
          <w:rStyle w:val="Emphasis"/>
        </w:rPr>
        <w:t>9</w:t>
      </w:r>
      <w:r w:rsidR="0017362F" w:rsidRPr="00CC11AE">
        <w:rPr>
          <w:rStyle w:val="Emphasis"/>
        </w:rPr>
        <w:t xml:space="preserve"> Annual Performance Reports</w:t>
      </w:r>
      <w:r w:rsidR="00447229">
        <w:t>.</w:t>
      </w:r>
      <w:r w:rsidR="00076D10">
        <w:t xml:space="preserve"> </w:t>
      </w:r>
      <w:r w:rsidR="00447229">
        <w:t>“</w:t>
      </w:r>
      <w:r w:rsidR="0017362F" w:rsidRPr="00E219BB">
        <w:t>Program Performance Report Table 11.</w:t>
      </w:r>
      <w:r w:rsidR="00447229">
        <w:t>”</w:t>
      </w:r>
      <w:bookmarkEnd w:id="31"/>
    </w:p>
    <w:p w14:paraId="3B4A5390" w14:textId="77777777" w:rsidR="00D45CA2" w:rsidRDefault="001064C4" w:rsidP="003364E6">
      <w:pPr>
        <w:pStyle w:val="Heading3"/>
      </w:pPr>
      <w:bookmarkStart w:id="32" w:name="_Toc480972974"/>
      <w:bookmarkStart w:id="33" w:name="_Toc48042057"/>
      <w:r w:rsidRPr="00EF4262">
        <w:t xml:space="preserve">Grantee Activities and </w:t>
      </w:r>
      <w:r w:rsidRPr="001F6BE6">
        <w:t>Progress</w:t>
      </w:r>
      <w:bookmarkEnd w:id="32"/>
      <w:bookmarkEnd w:id="33"/>
    </w:p>
    <w:p w14:paraId="2D749527" w14:textId="0B1F714D" w:rsidR="00D45CA2" w:rsidRDefault="002E6495" w:rsidP="0095770E">
      <w:r>
        <w:t>ACL</w:t>
      </w:r>
      <w:r w:rsidR="00633571">
        <w:t xml:space="preserve"> collects output data through the APR.</w:t>
      </w:r>
      <w:r w:rsidR="00076D10">
        <w:t xml:space="preserve"> </w:t>
      </w:r>
      <w:r w:rsidR="00633571">
        <w:t xml:space="preserve">Grantees are required to report each output from their funded activities in one of four categories: </w:t>
      </w:r>
      <w:r w:rsidR="009C4FC3">
        <w:t>p</w:t>
      </w:r>
      <w:r w:rsidR="00633571">
        <w:t xml:space="preserve">ublications; </w:t>
      </w:r>
      <w:r w:rsidR="009C4FC3">
        <w:t>t</w:t>
      </w:r>
      <w:r w:rsidR="00633571">
        <w:t xml:space="preserve">ools, </w:t>
      </w:r>
      <w:r w:rsidR="009C4FC3">
        <w:t>m</w:t>
      </w:r>
      <w:r w:rsidR="00633571">
        <w:t xml:space="preserve">easures, and </w:t>
      </w:r>
      <w:r w:rsidR="009C4FC3">
        <w:t>i</w:t>
      </w:r>
      <w:r w:rsidR="00633571">
        <w:t xml:space="preserve">ntervention </w:t>
      </w:r>
      <w:r w:rsidR="009C4FC3">
        <w:t>p</w:t>
      </w:r>
      <w:r w:rsidR="00633571">
        <w:t xml:space="preserve">rotocols; </w:t>
      </w:r>
      <w:r w:rsidR="009C4FC3">
        <w:t>t</w:t>
      </w:r>
      <w:r w:rsidR="00633571">
        <w:t xml:space="preserve">echnology </w:t>
      </w:r>
      <w:r w:rsidR="009C4FC3">
        <w:t>p</w:t>
      </w:r>
      <w:r w:rsidR="00633571">
        <w:t xml:space="preserve">roducts and </w:t>
      </w:r>
      <w:r w:rsidR="009C4FC3">
        <w:t>d</w:t>
      </w:r>
      <w:r w:rsidR="00633571">
        <w:t xml:space="preserve">evices; and </w:t>
      </w:r>
      <w:r w:rsidR="009C4FC3">
        <w:t>i</w:t>
      </w:r>
      <w:r w:rsidR="00633571">
        <w:t xml:space="preserve">nformational </w:t>
      </w:r>
      <w:r w:rsidR="009C4FC3">
        <w:t>p</w:t>
      </w:r>
      <w:r w:rsidR="00633571">
        <w:t xml:space="preserve">roducts. </w:t>
      </w:r>
      <w:r w:rsidR="002E5425" w:rsidRPr="00672533">
        <w:t>A brief description of each category of output type follows:</w:t>
      </w:r>
    </w:p>
    <w:p w14:paraId="6C8ACAD6" w14:textId="504A4CC5" w:rsidR="00D45CA2" w:rsidRDefault="00797831" w:rsidP="002E6495">
      <w:pPr>
        <w:pStyle w:val="ListParagraph"/>
      </w:pPr>
      <w:r w:rsidRPr="00CC11AE">
        <w:rPr>
          <w:rStyle w:val="Bold"/>
        </w:rPr>
        <w:t xml:space="preserve">Publications </w:t>
      </w:r>
      <w:r w:rsidR="005E2C77" w:rsidRPr="00672533">
        <w:t xml:space="preserve">are documents directly funded by a grantee’s current award. Publications include journal articles, </w:t>
      </w:r>
      <w:r w:rsidR="005E2C77" w:rsidRPr="001F6BE6">
        <w:t>periodicals</w:t>
      </w:r>
      <w:r w:rsidR="005E2C77" w:rsidRPr="00672533">
        <w:t>, web journals, proceedings from meetings and symposia, books or book chapters, monographs, abstracts, technical or research reports, and reviews. Within this output category are peer-reviewed and non-peer</w:t>
      </w:r>
      <w:r w:rsidR="002A710B" w:rsidRPr="00672533">
        <w:t>-</w:t>
      </w:r>
      <w:r w:rsidR="005E2C77" w:rsidRPr="00672533">
        <w:t>reviewed publications.</w:t>
      </w:r>
      <w:r w:rsidR="00076D10">
        <w:t xml:space="preserve"> </w:t>
      </w:r>
    </w:p>
    <w:p w14:paraId="2394737F" w14:textId="77777777" w:rsidR="00D45CA2" w:rsidRDefault="00797831" w:rsidP="002E6495">
      <w:pPr>
        <w:pStyle w:val="ListParagraph"/>
      </w:pPr>
      <w:r w:rsidRPr="00CC11AE">
        <w:rPr>
          <w:rStyle w:val="Bold"/>
        </w:rPr>
        <w:t>Tools, measures</w:t>
      </w:r>
      <w:r w:rsidR="00447229" w:rsidRPr="00CC11AE">
        <w:rPr>
          <w:rStyle w:val="Bold"/>
        </w:rPr>
        <w:t>,</w:t>
      </w:r>
      <w:r w:rsidRPr="00CC11AE">
        <w:rPr>
          <w:rStyle w:val="Bold"/>
        </w:rPr>
        <w:t xml:space="preserve"> and intervent</w:t>
      </w:r>
      <w:r w:rsidR="00391846" w:rsidRPr="00CC11AE">
        <w:rPr>
          <w:rStyle w:val="Bold"/>
        </w:rPr>
        <w:t>ion protocols</w:t>
      </w:r>
      <w:r w:rsidR="00391846" w:rsidRPr="00672533">
        <w:t xml:space="preserve"> include instruments or processes created to acquire quantitative or qualitative information, knowledge, or data on a specific disability or rehabilitation issue as well as research-based protocols for delivering interventions to specific target populations of people with disabilities.</w:t>
      </w:r>
      <w:r w:rsidR="001C15AE" w:rsidRPr="00672533">
        <w:t xml:space="preserve"> </w:t>
      </w:r>
    </w:p>
    <w:p w14:paraId="111F9D71" w14:textId="77777777" w:rsidR="00D45CA2" w:rsidRDefault="00797831" w:rsidP="002E6495">
      <w:pPr>
        <w:pStyle w:val="ListParagraph"/>
      </w:pPr>
      <w:r w:rsidRPr="00CC11AE">
        <w:rPr>
          <w:rStyle w:val="Bold"/>
        </w:rPr>
        <w:t>Technology products and devices</w:t>
      </w:r>
      <w:r w:rsidR="00391846" w:rsidRPr="00672533">
        <w:t xml:space="preserve"> are developed, modified, tested, or evaluated by the grantee. This </w:t>
      </w:r>
      <w:r w:rsidR="00590449" w:rsidRPr="00672533">
        <w:t xml:space="preserve">category </w:t>
      </w:r>
      <w:r w:rsidR="00391846" w:rsidRPr="00672533">
        <w:t xml:space="preserve">refers to any technology product or device developed under the award that the grantee disseminated or delivered to external audiences during the current reporting period. </w:t>
      </w:r>
    </w:p>
    <w:p w14:paraId="04E7A46A" w14:textId="77777777" w:rsidR="00D45CA2" w:rsidRDefault="00797831" w:rsidP="002E6495">
      <w:pPr>
        <w:pStyle w:val="ListParagraph"/>
      </w:pPr>
      <w:r w:rsidRPr="00CC11AE">
        <w:rPr>
          <w:rStyle w:val="Bold"/>
        </w:rPr>
        <w:t>Information products</w:t>
      </w:r>
      <w:r w:rsidR="00391846" w:rsidRPr="00CC11AE">
        <w:rPr>
          <w:rStyle w:val="Bold"/>
        </w:rPr>
        <w:t xml:space="preserve"> </w:t>
      </w:r>
      <w:r w:rsidR="00391846" w:rsidRPr="00672533">
        <w:t xml:space="preserve">refer to items such as training manuals/curricula, fact sheets, newsletters, audiovisual materials, marketing tools, educational aids, </w:t>
      </w:r>
      <w:r w:rsidR="004A2B16" w:rsidRPr="00672533">
        <w:t>w</w:t>
      </w:r>
      <w:r w:rsidR="00391846" w:rsidRPr="00672533">
        <w:t>ebsites, presentations, and other forms of disseminated information</w:t>
      </w:r>
      <w:r w:rsidR="00672533">
        <w:t>.</w:t>
      </w:r>
    </w:p>
    <w:p w14:paraId="459B1800" w14:textId="77777777" w:rsidR="00D45CA2" w:rsidRDefault="00633571" w:rsidP="001F6BE6">
      <w:r w:rsidRPr="00494BB4">
        <w:lastRenderedPageBreak/>
        <w:t xml:space="preserve">Exhibit </w:t>
      </w:r>
      <w:r>
        <w:t>3</w:t>
      </w:r>
      <w:r w:rsidRPr="00494BB4">
        <w:t xml:space="preserve"> </w:t>
      </w:r>
      <w:r w:rsidRPr="00410EC8">
        <w:t>compares</w:t>
      </w:r>
      <w:r>
        <w:t xml:space="preserve"> the number of output products produced by grantees within each category type in FY </w:t>
      </w:r>
      <w:r w:rsidR="00B12D4C">
        <w:t>2019</w:t>
      </w:r>
      <w:r>
        <w:t>.</w:t>
      </w:r>
      <w:r w:rsidR="00076D10">
        <w:t xml:space="preserve"> </w:t>
      </w:r>
      <w:r>
        <w:t xml:space="preserve">Additional detail has been provided for the category of publications, with peer-reviewed and non-peer-reviewed publications being reported separately. </w:t>
      </w:r>
    </w:p>
    <w:p w14:paraId="69F49941" w14:textId="77777777" w:rsidR="00D45CA2" w:rsidRDefault="001064C4" w:rsidP="002E6495">
      <w:pPr>
        <w:pStyle w:val="ExhibitHead"/>
      </w:pPr>
      <w:bookmarkStart w:id="34" w:name="_Toc480972975"/>
      <w:r w:rsidRPr="00007705">
        <w:t xml:space="preserve">Exhibit 3. Total Outputs Produced by </w:t>
      </w:r>
      <w:r w:rsidR="00D440FD">
        <w:t>A</w:t>
      </w:r>
      <w:r w:rsidRPr="00007705">
        <w:t xml:space="preserve">ll Grantees </w:t>
      </w:r>
      <w:r w:rsidR="00D440FD">
        <w:t>a</w:t>
      </w:r>
      <w:r w:rsidRPr="00007705">
        <w:t xml:space="preserve">cross </w:t>
      </w:r>
      <w:r w:rsidR="00D440FD">
        <w:t>A</w:t>
      </w:r>
      <w:r w:rsidRPr="00007705">
        <w:t>ll Program Mechanisms, by Product Type, FY 201</w:t>
      </w:r>
      <w:bookmarkEnd w:id="34"/>
      <w:r w:rsidR="00380057">
        <w:t>9</w:t>
      </w:r>
    </w:p>
    <w:p w14:paraId="67A849F9" w14:textId="77777777" w:rsidR="00D45CA2" w:rsidRDefault="00271A2C" w:rsidP="00CC11AE">
      <w:r w:rsidRPr="00CC11AE">
        <w:rPr>
          <w:noProof/>
        </w:rPr>
        <w:drawing>
          <wp:inline distT="0" distB="0" distL="0" distR="0" wp14:anchorId="45BFF901" wp14:editId="70C086CF">
            <wp:extent cx="5943600" cy="2286000"/>
            <wp:effectExtent l="0" t="0" r="12700" b="12700"/>
            <wp:docPr id="2" name="Chart 2" descr="Information Products (e.g., curricula, websites): 164&#10;Technology Products and Devices: 48&#10;Tools, Measures, and Intervention Protocols: 62&#10;Non-Peer-Reviewed Publications: 268&#10;Peer-Reviewed Publications: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2ABCDC" w14:textId="77777777" w:rsidR="00D45CA2" w:rsidRDefault="00271A2C" w:rsidP="001F6BE6">
      <w:pPr>
        <w:pStyle w:val="Source"/>
      </w:pPr>
      <w:r w:rsidRPr="001F6BE6">
        <w:t>Source</w:t>
      </w:r>
      <w:r w:rsidRPr="00380057">
        <w:rPr>
          <w:rFonts w:cs="Arial"/>
        </w:rPr>
        <w:t xml:space="preserve">: </w:t>
      </w:r>
      <w:r w:rsidRPr="00380057">
        <w:t>U.S. Department of Health and Human Services, Administration f</w:t>
      </w:r>
      <w:r w:rsidR="00391846" w:rsidRPr="00380057">
        <w:t xml:space="preserve">or Community Living, </w:t>
      </w:r>
      <w:r w:rsidR="00590449" w:rsidRPr="00380057">
        <w:t>National Institute on Disability, Independent Living, and Rehabilitation Research</w:t>
      </w:r>
      <w:r w:rsidR="00391846" w:rsidRPr="00380057">
        <w:t xml:space="preserve">. </w:t>
      </w:r>
      <w:r w:rsidR="004A2B16" w:rsidRPr="00CC11AE">
        <w:rPr>
          <w:rStyle w:val="Emphasis"/>
        </w:rPr>
        <w:t>201</w:t>
      </w:r>
      <w:r w:rsidR="00380057" w:rsidRPr="00CC11AE">
        <w:rPr>
          <w:rStyle w:val="Emphasis"/>
        </w:rPr>
        <w:t>9</w:t>
      </w:r>
      <w:r w:rsidR="004A2B16" w:rsidRPr="00CC11AE">
        <w:rPr>
          <w:rStyle w:val="Emphasis"/>
        </w:rPr>
        <w:t xml:space="preserve"> </w:t>
      </w:r>
      <w:r w:rsidR="00391846" w:rsidRPr="00CC11AE">
        <w:rPr>
          <w:rStyle w:val="Emphasis"/>
        </w:rPr>
        <w:t>Annual Performance Reports</w:t>
      </w:r>
      <w:r w:rsidR="00590449" w:rsidRPr="00380057">
        <w:t>.</w:t>
      </w:r>
      <w:r w:rsidR="00076D10">
        <w:t xml:space="preserve"> </w:t>
      </w:r>
      <w:r w:rsidR="00590449" w:rsidRPr="00380057">
        <w:t>“</w:t>
      </w:r>
      <w:r w:rsidR="00391846" w:rsidRPr="00380057">
        <w:t>Program Performance Report Tables 18</w:t>
      </w:r>
      <w:r w:rsidR="002A2D62" w:rsidRPr="00380057">
        <w:rPr>
          <w:rFonts w:cstheme="minorHAnsi"/>
        </w:rPr>
        <w:t>–</w:t>
      </w:r>
      <w:r w:rsidR="00391846" w:rsidRPr="00380057">
        <w:t>22.</w:t>
      </w:r>
      <w:r w:rsidR="00590449" w:rsidRPr="00380057">
        <w:t>”</w:t>
      </w:r>
    </w:p>
    <w:p w14:paraId="089C10E0" w14:textId="2E497006" w:rsidR="00D45CA2" w:rsidRDefault="00633571" w:rsidP="001F6BE6">
      <w:r w:rsidRPr="001F6BE6">
        <w:t xml:space="preserve">Data obtained through the </w:t>
      </w:r>
      <w:r w:rsidR="004A58F7" w:rsidRPr="001F6BE6">
        <w:t>201</w:t>
      </w:r>
      <w:r w:rsidR="00FD114E" w:rsidRPr="001F6BE6">
        <w:t>9</w:t>
      </w:r>
      <w:r w:rsidR="004A58F7" w:rsidRPr="001F6BE6">
        <w:t xml:space="preserve"> </w:t>
      </w:r>
      <w:r w:rsidRPr="001F6BE6">
        <w:t xml:space="preserve">APR show that </w:t>
      </w:r>
      <w:r w:rsidR="002E6495">
        <w:t>ACL</w:t>
      </w:r>
      <w:r w:rsidRPr="001F6BE6">
        <w:t xml:space="preserve"> supported </w:t>
      </w:r>
      <w:r w:rsidR="00286EBE" w:rsidRPr="001F6BE6">
        <w:t>220</w:t>
      </w:r>
      <w:r w:rsidR="00DD6CA5" w:rsidRPr="001F6BE6">
        <w:t xml:space="preserve"> </w:t>
      </w:r>
      <w:r w:rsidRPr="001F6BE6">
        <w:t xml:space="preserve">grantees during FY </w:t>
      </w:r>
      <w:r w:rsidR="00DD6CA5" w:rsidRPr="001F6BE6">
        <w:t>201</w:t>
      </w:r>
      <w:r w:rsidR="00FE60A7" w:rsidRPr="001F6BE6">
        <w:t>9</w:t>
      </w:r>
      <w:r w:rsidRPr="001F6BE6">
        <w:t xml:space="preserve">, totaling </w:t>
      </w:r>
      <w:r w:rsidR="00286EBE" w:rsidRPr="001F6BE6">
        <w:t xml:space="preserve">$100,935,565 </w:t>
      </w:r>
      <w:r w:rsidRPr="001F6BE6">
        <w:t>across all program mechanisms.</w:t>
      </w:r>
      <w:r w:rsidR="00076D10" w:rsidRPr="001F6BE6">
        <w:t xml:space="preserve"> </w:t>
      </w:r>
      <w:r w:rsidRPr="001F6BE6">
        <w:t>These projects reflect the breadth of disability and rehabilitation research within the agency’s outcome domains of community living and participation, health and function, and employment.</w:t>
      </w:r>
      <w:r w:rsidR="00076D10" w:rsidRPr="001F6BE6">
        <w:t xml:space="preserve"> </w:t>
      </w:r>
      <w:r w:rsidRPr="001F6BE6">
        <w:t>The knowledge and products that are generated by research and development grants have a wide variety of important impacts in the field.</w:t>
      </w:r>
      <w:r w:rsidR="00076D10" w:rsidRPr="001F6BE6">
        <w:t xml:space="preserve"> </w:t>
      </w:r>
      <w:r w:rsidRPr="001F6BE6">
        <w:t>The summaries that follow</w:t>
      </w:r>
      <w:r w:rsidR="004474A2" w:rsidRPr="001F6BE6">
        <w:t xml:space="preserve"> </w:t>
      </w:r>
      <w:r w:rsidRPr="001F6BE6">
        <w:t xml:space="preserve">provide examples of the outcomes and impacts </w:t>
      </w:r>
      <w:r w:rsidR="002815D7">
        <w:t>resulting</w:t>
      </w:r>
      <w:r w:rsidRPr="001F6BE6">
        <w:t xml:space="preserve"> from NIDILRR</w:t>
      </w:r>
      <w:r w:rsidR="002E6495">
        <w:t xml:space="preserve"> program</w:t>
      </w:r>
      <w:r w:rsidRPr="001F6BE6">
        <w:t xml:space="preserve"> investments.</w:t>
      </w:r>
      <w:r w:rsidR="00076D10" w:rsidRPr="001F6BE6">
        <w:t xml:space="preserve"> </w:t>
      </w:r>
      <w:r w:rsidRPr="001F6BE6">
        <w:t>Additional information concerning these projects is available through the National Rehabilitation Information Center website (</w:t>
      </w:r>
      <w:hyperlink r:id="rId14" w:history="1">
        <w:r w:rsidR="00086A02" w:rsidRPr="001F6BE6">
          <w:rPr>
            <w:rStyle w:val="Hyperlink"/>
          </w:rPr>
          <w:t>http://www.naric.com/</w:t>
        </w:r>
      </w:hyperlink>
      <w:r w:rsidRPr="001F6BE6">
        <w:t>)</w:t>
      </w:r>
      <w:r w:rsidR="00086A02" w:rsidRPr="001F6BE6">
        <w:t>.</w:t>
      </w:r>
    </w:p>
    <w:p w14:paraId="664029C1" w14:textId="525B6F91" w:rsidR="00D45CA2" w:rsidRDefault="00C70F38" w:rsidP="003364E6">
      <w:pPr>
        <w:pStyle w:val="Heading3"/>
      </w:pPr>
      <w:bookmarkStart w:id="35" w:name="_Sampling_of_Key"/>
      <w:bookmarkStart w:id="36" w:name="_Toc48042058"/>
      <w:bookmarkStart w:id="37" w:name="_Toc480972976"/>
      <w:bookmarkEnd w:id="35"/>
      <w:r>
        <w:t xml:space="preserve">Sampling of Key Accomplishments by </w:t>
      </w:r>
      <w:r w:rsidR="001F68AE">
        <w:t>F</w:t>
      </w:r>
      <w:r>
        <w:t>unded Researchers</w:t>
      </w:r>
      <w:bookmarkEnd w:id="36"/>
    </w:p>
    <w:bookmarkEnd w:id="37"/>
    <w:p w14:paraId="468EBCC9" w14:textId="4DE187CE" w:rsidR="00D45CA2" w:rsidRDefault="00C70F38" w:rsidP="0095770E">
      <w:r>
        <w:t>NIDILRR</w:t>
      </w:r>
      <w:r w:rsidR="00274BD2">
        <w:t xml:space="preserve"> program</w:t>
      </w:r>
      <w:r>
        <w:t xml:space="preserve"> </w:t>
      </w:r>
      <w:r w:rsidR="0069469C">
        <w:t>grantees conduct</w:t>
      </w:r>
      <w:r>
        <w:t xml:space="preserve"> </w:t>
      </w:r>
      <w:r w:rsidR="00B9152C" w:rsidRPr="001F2CD8">
        <w:t>coordinated, integrated</w:t>
      </w:r>
      <w:r w:rsidR="00D34981">
        <w:t>,</w:t>
      </w:r>
      <w:r w:rsidR="00B9152C" w:rsidRPr="001F2CD8">
        <w:t xml:space="preserve"> and advanced programs of research, </w:t>
      </w:r>
      <w:r w:rsidR="0011443F">
        <w:t xml:space="preserve">development, </w:t>
      </w:r>
      <w:r w:rsidR="00B9152C" w:rsidRPr="001F2CD8">
        <w:t>training</w:t>
      </w:r>
      <w:r w:rsidR="00B9152C">
        <w:t>,</w:t>
      </w:r>
      <w:r w:rsidR="00B9152C" w:rsidRPr="001F2CD8">
        <w:t xml:space="preserve"> and </w:t>
      </w:r>
      <w:r w:rsidR="0011443F">
        <w:t xml:space="preserve">knowledge translation.  </w:t>
      </w:r>
    </w:p>
    <w:p w14:paraId="6CED4588" w14:textId="5AA2ECA7" w:rsidR="00D45CA2" w:rsidRDefault="00B9152C" w:rsidP="0095770E">
      <w:r w:rsidRPr="001F2CD8">
        <w:t xml:space="preserve">The following are examples of accomplishments reported </w:t>
      </w:r>
      <w:r w:rsidR="00274BD2">
        <w:t>by</w:t>
      </w:r>
      <w:r w:rsidRPr="001F2CD8">
        <w:t xml:space="preserve"> </w:t>
      </w:r>
      <w:r w:rsidR="00C70F38">
        <w:t xml:space="preserve">grantees </w:t>
      </w:r>
      <w:r w:rsidRPr="001F2CD8">
        <w:t xml:space="preserve">in FY </w:t>
      </w:r>
      <w:r w:rsidR="000F38E3">
        <w:t>201</w:t>
      </w:r>
      <w:r w:rsidR="00C70F38">
        <w:t>9</w:t>
      </w:r>
      <w:r w:rsidR="00235DAA">
        <w:t>.</w:t>
      </w:r>
    </w:p>
    <w:p w14:paraId="03A12599" w14:textId="77777777" w:rsidR="00D45CA2" w:rsidRDefault="003B3552" w:rsidP="006D1AD5">
      <w:pPr>
        <w:pStyle w:val="Heading4"/>
        <w:rPr>
          <w:rStyle w:val="Underline"/>
        </w:rPr>
      </w:pPr>
      <w:r w:rsidRPr="00800E49">
        <w:rPr>
          <w:rStyle w:val="Underline"/>
        </w:rPr>
        <w:t>First Clinical Practice Guideline for Managing Cardio</w:t>
      </w:r>
      <w:r w:rsidR="001F68AE" w:rsidRPr="00800E49">
        <w:rPr>
          <w:rStyle w:val="Underline"/>
        </w:rPr>
        <w:t>m</w:t>
      </w:r>
      <w:r w:rsidRPr="00800E49">
        <w:rPr>
          <w:rStyle w:val="Underline"/>
        </w:rPr>
        <w:t>etabolic Risk After SCI</w:t>
      </w:r>
    </w:p>
    <w:p w14:paraId="582C0685" w14:textId="6AACB7BB" w:rsidR="00D45CA2" w:rsidRDefault="00D1293B" w:rsidP="00800E49">
      <w:hyperlink r:id="rId15" w:history="1">
        <w:r w:rsidR="003B3552" w:rsidRPr="00D65082">
          <w:rPr>
            <w:rStyle w:val="Hyperlink"/>
          </w:rPr>
          <w:t>Cardiometabolic risk factors</w:t>
        </w:r>
      </w:hyperlink>
      <w:r w:rsidR="003B3552">
        <w:t xml:space="preserve"> affect people without disabilities and people with disabilities. In both people with and without disabilities, cardiometabolic risk factors are often termed the “silent killer</w:t>
      </w:r>
      <w:r w:rsidR="008A631C">
        <w:t>;</w:t>
      </w:r>
      <w:r w:rsidR="003B3552">
        <w:t>” anyone may have th</w:t>
      </w:r>
      <w:r w:rsidR="0047493A">
        <w:t>e</w:t>
      </w:r>
      <w:r w:rsidR="003B3552">
        <w:t>s</w:t>
      </w:r>
      <w:r w:rsidR="0047493A">
        <w:t>e</w:t>
      </w:r>
      <w:r w:rsidR="003B3552">
        <w:t xml:space="preserve"> risk factors and never know it.</w:t>
      </w:r>
      <w:r w:rsidR="00076D10">
        <w:t xml:space="preserve"> </w:t>
      </w:r>
      <w:r w:rsidR="00841078">
        <w:t>People</w:t>
      </w:r>
      <w:r w:rsidR="003B3552">
        <w:t xml:space="preserve"> with spinal cord </w:t>
      </w:r>
      <w:r w:rsidR="003B3552">
        <w:lastRenderedPageBreak/>
        <w:t>injuries are different</w:t>
      </w:r>
      <w:r w:rsidR="00841078">
        <w:t xml:space="preserve"> – supporting the need for specific guidelines to manage</w:t>
      </w:r>
      <w:r w:rsidR="00B74FBB">
        <w:t xml:space="preserve"> </w:t>
      </w:r>
      <w:r w:rsidR="00682041">
        <w:t xml:space="preserve">cardiometabolic disease </w:t>
      </w:r>
      <w:r w:rsidR="00B74FBB">
        <w:t xml:space="preserve">risk in people with SCI. </w:t>
      </w:r>
    </w:p>
    <w:p w14:paraId="2C02EF0A" w14:textId="566E5FA6" w:rsidR="00D45CA2" w:rsidRDefault="003B3552" w:rsidP="0095770E">
      <w:r>
        <w:t xml:space="preserve">Thanks to a grant entitled </w:t>
      </w:r>
      <w:hyperlink r:id="rId16" w:history="1">
        <w:r w:rsidRPr="00961902">
          <w:rPr>
            <w:rStyle w:val="Hyperlink"/>
          </w:rPr>
          <w:t>A Lifestyle Intervention Targeting Enhanced Health and Function for Persons with Chronic SCI in Caregiver/Care-Receiver Relationships: Effects of Caregiver Co-Treatment</w:t>
        </w:r>
      </w:hyperlink>
      <w:r>
        <w:t>, Dr. Mark Nash and his colleagues at the University of Miami and Medstar Rehabilitation Hospital at Georgetown University are working on this problem.</w:t>
      </w:r>
    </w:p>
    <w:p w14:paraId="07991A7E" w14:textId="77777777" w:rsidR="00D45CA2" w:rsidRDefault="003B3552" w:rsidP="0095770E">
      <w:r>
        <w:t xml:space="preserve">As a result of their hard work, Dr. Nash and his colleagues have produced the first clinical practice guideline for managing cardiometabolic risk after </w:t>
      </w:r>
      <w:r w:rsidR="001F68AE">
        <w:t>SCI</w:t>
      </w:r>
      <w:r>
        <w:t>. A description and discussion of this guideline can be found in the following publication:</w:t>
      </w:r>
    </w:p>
    <w:p w14:paraId="179A0EAB" w14:textId="77777777" w:rsidR="00D45CA2" w:rsidRDefault="003B3552" w:rsidP="00002EE3">
      <w:pPr>
        <w:pStyle w:val="Reference"/>
      </w:pPr>
      <w:r w:rsidRPr="0007715C">
        <w:t>Nash, M</w:t>
      </w:r>
      <w:r w:rsidR="0047493A">
        <w:t xml:space="preserve">. </w:t>
      </w:r>
      <w:r w:rsidRPr="0007715C">
        <w:t>S</w:t>
      </w:r>
      <w:r w:rsidR="0047493A">
        <w:t>.</w:t>
      </w:r>
      <w:r w:rsidRPr="0007715C">
        <w:t xml:space="preserve">, </w:t>
      </w:r>
      <w:proofErr w:type="spellStart"/>
      <w:r w:rsidRPr="0007715C">
        <w:t>Groah</w:t>
      </w:r>
      <w:proofErr w:type="spellEnd"/>
      <w:r w:rsidRPr="0007715C">
        <w:t>, S</w:t>
      </w:r>
      <w:r w:rsidR="0047493A">
        <w:t xml:space="preserve">. </w:t>
      </w:r>
      <w:r w:rsidRPr="0007715C">
        <w:t>L</w:t>
      </w:r>
      <w:r w:rsidR="0047493A">
        <w:t>.</w:t>
      </w:r>
      <w:r w:rsidRPr="0007715C">
        <w:t xml:space="preserve">, </w:t>
      </w:r>
      <w:proofErr w:type="spellStart"/>
      <w:r w:rsidRPr="0007715C">
        <w:t>Gater</w:t>
      </w:r>
      <w:proofErr w:type="spellEnd"/>
      <w:r w:rsidRPr="0007715C">
        <w:t>, D</w:t>
      </w:r>
      <w:r w:rsidR="0047493A">
        <w:t xml:space="preserve">. </w:t>
      </w:r>
      <w:r w:rsidRPr="0007715C">
        <w:t>R</w:t>
      </w:r>
      <w:r w:rsidR="0047493A">
        <w:t>.</w:t>
      </w:r>
      <w:r w:rsidRPr="0007715C">
        <w:t>, Dyson-Hudson, T</w:t>
      </w:r>
      <w:r w:rsidR="0047493A">
        <w:t xml:space="preserve">. </w:t>
      </w:r>
      <w:r w:rsidRPr="0007715C">
        <w:t>A</w:t>
      </w:r>
      <w:r w:rsidR="0047493A">
        <w:t>.</w:t>
      </w:r>
      <w:r w:rsidRPr="0007715C">
        <w:t>, Lieberman, J</w:t>
      </w:r>
      <w:r w:rsidR="0047493A">
        <w:t xml:space="preserve">. </w:t>
      </w:r>
      <w:r w:rsidRPr="0007715C">
        <w:t>A</w:t>
      </w:r>
      <w:r w:rsidR="0047493A">
        <w:t>.</w:t>
      </w:r>
      <w:r w:rsidRPr="0007715C">
        <w:t>, Myers, J</w:t>
      </w:r>
      <w:r w:rsidR="0047493A">
        <w:t>.</w:t>
      </w:r>
      <w:r w:rsidRPr="0007715C">
        <w:t>, Sabharwal, S</w:t>
      </w:r>
      <w:r w:rsidR="0047493A">
        <w:t>.</w:t>
      </w:r>
      <w:r w:rsidRPr="0007715C">
        <w:t xml:space="preserve">, </w:t>
      </w:r>
      <w:r w:rsidR="0047493A">
        <w:t xml:space="preserve">&amp; </w:t>
      </w:r>
      <w:r w:rsidRPr="0007715C">
        <w:t>Taylor A</w:t>
      </w:r>
      <w:r w:rsidR="0047493A">
        <w:t xml:space="preserve">. </w:t>
      </w:r>
      <w:r w:rsidRPr="0007715C">
        <w:t xml:space="preserve">J. (2018). Identification and </w:t>
      </w:r>
      <w:r w:rsidR="0047493A">
        <w:t>m</w:t>
      </w:r>
      <w:r w:rsidRPr="0007715C">
        <w:t xml:space="preserve">anagement of </w:t>
      </w:r>
      <w:r w:rsidR="0047493A">
        <w:t>c</w:t>
      </w:r>
      <w:r w:rsidRPr="0007715C">
        <w:t xml:space="preserve">ardiometabolic </w:t>
      </w:r>
      <w:r w:rsidR="0047493A">
        <w:t>r</w:t>
      </w:r>
      <w:r w:rsidRPr="0007715C">
        <w:t xml:space="preserve">isk after </w:t>
      </w:r>
      <w:r w:rsidR="0047493A">
        <w:t>s</w:t>
      </w:r>
      <w:r w:rsidRPr="0007715C">
        <w:t xml:space="preserve">pinal </w:t>
      </w:r>
      <w:r w:rsidR="0047493A">
        <w:t>c</w:t>
      </w:r>
      <w:r w:rsidRPr="0007715C">
        <w:t xml:space="preserve">ord </w:t>
      </w:r>
      <w:r w:rsidR="0047493A">
        <w:t>i</w:t>
      </w:r>
      <w:r w:rsidRPr="0007715C">
        <w:t xml:space="preserve">njury: Clinical </w:t>
      </w:r>
      <w:r w:rsidR="0047493A">
        <w:t>p</w:t>
      </w:r>
      <w:r w:rsidRPr="0007715C">
        <w:t xml:space="preserve">ractice </w:t>
      </w:r>
      <w:r w:rsidR="0047493A">
        <w:t>g</w:t>
      </w:r>
      <w:r w:rsidRPr="0007715C">
        <w:t xml:space="preserve">uideline for </w:t>
      </w:r>
      <w:r w:rsidR="0047493A">
        <w:t>h</w:t>
      </w:r>
      <w:r w:rsidRPr="0007715C">
        <w:t xml:space="preserve">ealth </w:t>
      </w:r>
      <w:r w:rsidR="0047493A">
        <w:t>c</w:t>
      </w:r>
      <w:r w:rsidRPr="0007715C">
        <w:t xml:space="preserve">are </w:t>
      </w:r>
      <w:r w:rsidR="0047493A">
        <w:t>p</w:t>
      </w:r>
      <w:r w:rsidRPr="0007715C">
        <w:t xml:space="preserve">roviders. </w:t>
      </w:r>
      <w:r w:rsidRPr="00CC11AE">
        <w:rPr>
          <w:rStyle w:val="Emphasis"/>
        </w:rPr>
        <w:t>Topics in Spinal Cord Injury Rehabilitation, 24, 379</w:t>
      </w:r>
      <w:r w:rsidR="0047493A" w:rsidRPr="00CC11AE">
        <w:rPr>
          <w:rStyle w:val="Emphasis"/>
        </w:rPr>
        <w:t>–</w:t>
      </w:r>
      <w:r w:rsidRPr="00CC11AE">
        <w:rPr>
          <w:rStyle w:val="Emphasis"/>
        </w:rPr>
        <w:t>423</w:t>
      </w:r>
      <w:r w:rsidRPr="0007715C">
        <w:t>.</w:t>
      </w:r>
      <w:r>
        <w:t xml:space="preserve"> Full </w:t>
      </w:r>
      <w:r w:rsidR="0047493A">
        <w:t>t</w:t>
      </w:r>
      <w:r>
        <w:t xml:space="preserve">ext of the </w:t>
      </w:r>
      <w:r w:rsidR="0047493A">
        <w:t>c</w:t>
      </w:r>
      <w:r>
        <w:t xml:space="preserve">linical </w:t>
      </w:r>
      <w:r w:rsidR="0047493A">
        <w:t>p</w:t>
      </w:r>
      <w:r>
        <w:t xml:space="preserve">ractice </w:t>
      </w:r>
      <w:r w:rsidR="0047493A">
        <w:t>g</w:t>
      </w:r>
      <w:r>
        <w:t xml:space="preserve">uideline: </w:t>
      </w:r>
      <w:r w:rsidR="00C9535A">
        <w:br/>
      </w:r>
      <w:r>
        <w:t>(</w:t>
      </w:r>
      <w:hyperlink r:id="rId17" w:history="1">
        <w:r w:rsidRPr="00563D1E">
          <w:rPr>
            <w:rStyle w:val="Hyperlink"/>
          </w:rPr>
          <w:t>HTML format</w:t>
        </w:r>
      </w:hyperlink>
      <w:r>
        <w:t>) (</w:t>
      </w:r>
      <w:hyperlink r:id="rId18" w:history="1">
        <w:r w:rsidRPr="00563D1E">
          <w:rPr>
            <w:rStyle w:val="Hyperlink"/>
          </w:rPr>
          <w:t xml:space="preserve">PDF </w:t>
        </w:r>
        <w:r w:rsidR="0047493A">
          <w:rPr>
            <w:rStyle w:val="Hyperlink"/>
          </w:rPr>
          <w:t>f</w:t>
        </w:r>
        <w:r w:rsidRPr="00563D1E">
          <w:rPr>
            <w:rStyle w:val="Hyperlink"/>
          </w:rPr>
          <w:t>ormat</w:t>
        </w:r>
      </w:hyperlink>
      <w:r>
        <w:t>).</w:t>
      </w:r>
    </w:p>
    <w:p w14:paraId="0C31871F" w14:textId="5E612CEE" w:rsidR="00D45CA2" w:rsidRDefault="003B3552" w:rsidP="0095770E">
      <w:r w:rsidRPr="004D19EA">
        <w:t>Physic</w:t>
      </w:r>
      <w:r>
        <w:t>i</w:t>
      </w:r>
      <w:r w:rsidRPr="004D19EA">
        <w:t>ans and health care professio</w:t>
      </w:r>
      <w:r>
        <w:t>nals,</w:t>
      </w:r>
      <w:r w:rsidRPr="004D19EA">
        <w:t xml:space="preserve"> responsible for identifying and treating secondary health conditions occur</w:t>
      </w:r>
      <w:r>
        <w:t xml:space="preserve">ring after </w:t>
      </w:r>
      <w:r w:rsidR="00D440FD">
        <w:t>SCI</w:t>
      </w:r>
      <w:r>
        <w:t xml:space="preserve">, will now have access to, and be able to use, this clinical practice guideline to provide better care to patients with </w:t>
      </w:r>
      <w:r w:rsidR="001F68AE">
        <w:t>SCI</w:t>
      </w:r>
      <w:r>
        <w:t xml:space="preserve">. Persons with </w:t>
      </w:r>
      <w:r w:rsidR="001F68AE">
        <w:t>SCI</w:t>
      </w:r>
      <w:r>
        <w:t xml:space="preserve"> and their families can also bring this guideline to their health care providers and engage in a discussion with their health care providers about how to incorporate the recommendations into their plans of care.</w:t>
      </w:r>
    </w:p>
    <w:p w14:paraId="6319714C" w14:textId="51057F40" w:rsidR="00D45CA2" w:rsidRDefault="003B3552" w:rsidP="006D1AD5">
      <w:pPr>
        <w:pStyle w:val="Heading4"/>
      </w:pPr>
      <w:r w:rsidRPr="00800E49">
        <w:rPr>
          <w:rStyle w:val="Underline"/>
        </w:rPr>
        <w:t xml:space="preserve">Manufacturers and Developers of </w:t>
      </w:r>
      <w:r w:rsidR="003A3086" w:rsidRPr="00800E49">
        <w:rPr>
          <w:rStyle w:val="Underline"/>
        </w:rPr>
        <w:t>Augmentative and Alternative Communication (</w:t>
      </w:r>
      <w:r w:rsidR="00263A3E">
        <w:rPr>
          <w:rStyle w:val="Underline"/>
        </w:rPr>
        <w:t>AAC</w:t>
      </w:r>
      <w:r w:rsidR="003A3086" w:rsidRPr="00800E49">
        <w:rPr>
          <w:rStyle w:val="Underline"/>
        </w:rPr>
        <w:t>)</w:t>
      </w:r>
      <w:r w:rsidRPr="00800E49">
        <w:rPr>
          <w:rStyle w:val="Underline"/>
        </w:rPr>
        <w:t xml:space="preserve"> Have Adopted Visual Scene Displays</w:t>
      </w:r>
      <w:r w:rsidR="00200E77" w:rsidRPr="00800E49">
        <w:rPr>
          <w:rStyle w:val="Underline"/>
        </w:rPr>
        <w:t xml:space="preserve"> (VSDs)</w:t>
      </w:r>
    </w:p>
    <w:p w14:paraId="621C63EC" w14:textId="33EB828A" w:rsidR="00D45CA2" w:rsidRDefault="003B3552" w:rsidP="00800E49">
      <w:r w:rsidRPr="00E249C5">
        <w:t xml:space="preserve">Prior to the development of </w:t>
      </w:r>
      <w:hyperlink r:id="rId19" w:history="1">
        <w:r w:rsidR="0047493A">
          <w:rPr>
            <w:rStyle w:val="Hyperlink"/>
          </w:rPr>
          <w:t>VSD</w:t>
        </w:r>
        <w:r w:rsidRPr="0010644E">
          <w:rPr>
            <w:rStyle w:val="Hyperlink"/>
          </w:rPr>
          <w:t>s</w:t>
        </w:r>
      </w:hyperlink>
      <w:r w:rsidRPr="00E249C5">
        <w:t xml:space="preserve"> by the </w:t>
      </w:r>
      <w:r w:rsidR="00274BD2">
        <w:t>grant awarded to</w:t>
      </w:r>
      <w:r w:rsidR="00C95D1B">
        <w:t xml:space="preserve"> the</w:t>
      </w:r>
      <w:r>
        <w:t xml:space="preserve"> </w:t>
      </w:r>
      <w:r w:rsidRPr="00E249C5">
        <w:t>A</w:t>
      </w:r>
      <w:r>
        <w:t xml:space="preserve">ugmentative and Alternative </w:t>
      </w:r>
      <w:r w:rsidRPr="004C6EA4">
        <w:rPr>
          <w:rFonts w:cstheme="minorHAnsi"/>
        </w:rPr>
        <w:t xml:space="preserve">Communication Rehabilitation Engineering Research Center (AAC-RERC), the only AAC option was traditional grid displays with isolated symbols presented in rows and columns. It was difficult for many adults with </w:t>
      </w:r>
      <w:r w:rsidR="00263A3E">
        <w:rPr>
          <w:rFonts w:cstheme="minorHAnsi"/>
        </w:rPr>
        <w:t xml:space="preserve">disabilities </w:t>
      </w:r>
      <w:r w:rsidRPr="004C6EA4">
        <w:rPr>
          <w:rFonts w:cstheme="minorHAnsi"/>
        </w:rPr>
        <w:t>resulting in significant language and cognitive limitations to use these traditional grid displays.</w:t>
      </w:r>
    </w:p>
    <w:p w14:paraId="7632437A" w14:textId="3550699B" w:rsidR="00D45CA2" w:rsidRDefault="003B3552" w:rsidP="0095770E">
      <w:pPr>
        <w:rPr>
          <w:rFonts w:cstheme="minorHAnsi"/>
        </w:rPr>
      </w:pPr>
      <w:r w:rsidRPr="004C6EA4">
        <w:rPr>
          <w:rFonts w:cstheme="minorHAnsi"/>
        </w:rPr>
        <w:t xml:space="preserve">VSDs offer an easier alternative to traditional grid displays. They go beyond standard pictures and symbols organized in rows and columns by providing information on the situation or context. Put more simply, VSDs are photos or pictures that people can use to communicate messages to others. These </w:t>
      </w:r>
      <w:r w:rsidR="00263A3E">
        <w:rPr>
          <w:rFonts w:cstheme="minorHAnsi"/>
        </w:rPr>
        <w:t>images</w:t>
      </w:r>
      <w:r w:rsidRPr="004C6EA4">
        <w:rPr>
          <w:rFonts w:cstheme="minorHAnsi"/>
        </w:rPr>
        <w:t xml:space="preserve"> depict familiar scenes, objects</w:t>
      </w:r>
      <w:r w:rsidR="000D58C5">
        <w:rPr>
          <w:rFonts w:cstheme="minorHAnsi"/>
        </w:rPr>
        <w:t>,</w:t>
      </w:r>
      <w:r w:rsidRPr="004C6EA4">
        <w:rPr>
          <w:rFonts w:cstheme="minorHAnsi"/>
        </w:rPr>
        <w:t xml:space="preserve"> or people</w:t>
      </w:r>
      <w:r w:rsidR="000D58C5">
        <w:rPr>
          <w:rFonts w:cstheme="minorHAnsi"/>
        </w:rPr>
        <w:t>,</w:t>
      </w:r>
      <w:r w:rsidR="0047493A">
        <w:rPr>
          <w:rFonts w:cstheme="minorHAnsi"/>
        </w:rPr>
        <w:t xml:space="preserve"> </w:t>
      </w:r>
      <w:r w:rsidRPr="004C6EA4">
        <w:rPr>
          <w:rFonts w:cstheme="minorHAnsi"/>
        </w:rPr>
        <w:t>and users can touch “hot spots” on the photo to speak messages that relate to the pictured scene or object. For example, a person with aphasia might touch a hot</w:t>
      </w:r>
      <w:r w:rsidR="000D58C5">
        <w:rPr>
          <w:rFonts w:cstheme="minorHAnsi"/>
        </w:rPr>
        <w:t xml:space="preserve"> </w:t>
      </w:r>
      <w:r w:rsidRPr="004C6EA4">
        <w:rPr>
          <w:rFonts w:cstheme="minorHAnsi"/>
        </w:rPr>
        <w:t xml:space="preserve">spot on a picture of a sibling and </w:t>
      </w:r>
      <w:r w:rsidR="0069469C" w:rsidRPr="004C6EA4">
        <w:rPr>
          <w:rFonts w:cstheme="minorHAnsi"/>
        </w:rPr>
        <w:t>say,</w:t>
      </w:r>
      <w:r w:rsidRPr="004C6EA4">
        <w:rPr>
          <w:rFonts w:cstheme="minorHAnsi"/>
        </w:rPr>
        <w:t xml:space="preserve"> </w:t>
      </w:r>
      <w:r w:rsidR="000D58C5">
        <w:rPr>
          <w:rFonts w:cstheme="minorHAnsi"/>
        </w:rPr>
        <w:t>“</w:t>
      </w:r>
      <w:r w:rsidRPr="004C6EA4">
        <w:rPr>
          <w:rFonts w:cstheme="minorHAnsi"/>
        </w:rPr>
        <w:t>this is my sister.</w:t>
      </w:r>
      <w:r w:rsidR="000D58C5">
        <w:rPr>
          <w:rFonts w:cstheme="minorHAnsi"/>
        </w:rPr>
        <w:t>”</w:t>
      </w:r>
      <w:r w:rsidR="00076D10" w:rsidRPr="004C6EA4">
        <w:rPr>
          <w:rFonts w:cstheme="minorHAnsi"/>
        </w:rPr>
        <w:t xml:space="preserve"> </w:t>
      </w:r>
      <w:r w:rsidRPr="004C6EA4">
        <w:rPr>
          <w:rFonts w:cstheme="minorHAnsi"/>
        </w:rPr>
        <w:t xml:space="preserve">This additional information on the situation and context makes it easier for persons with complex communication needs to express their wants and needs and therefore enhances their ability to interact and participate with others in the community. Research from </w:t>
      </w:r>
      <w:r w:rsidRPr="004C6EA4">
        <w:rPr>
          <w:rFonts w:cstheme="minorHAnsi"/>
        </w:rPr>
        <w:lastRenderedPageBreak/>
        <w:t>the AAC</w:t>
      </w:r>
      <w:r w:rsidR="001F68AE" w:rsidRPr="004C6EA4">
        <w:rPr>
          <w:rFonts w:cstheme="minorHAnsi"/>
        </w:rPr>
        <w:t>-</w:t>
      </w:r>
      <w:r w:rsidRPr="002C1870">
        <w:rPr>
          <w:rFonts w:cstheme="minorHAnsi"/>
        </w:rPr>
        <w:t xml:space="preserve">RERC and external researchers demonstrates the effectiveness of VSDs with adults with severe chronic aphasia, primary progressive aphasia, dementia, </w:t>
      </w:r>
      <w:r w:rsidR="00263A3E">
        <w:rPr>
          <w:rFonts w:cstheme="minorHAnsi"/>
        </w:rPr>
        <w:t>and other conditions</w:t>
      </w:r>
      <w:r w:rsidRPr="002C1870">
        <w:rPr>
          <w:rFonts w:cstheme="minorHAnsi"/>
        </w:rPr>
        <w:t>.</w:t>
      </w:r>
    </w:p>
    <w:p w14:paraId="46F71FAF" w14:textId="1A0C0D94" w:rsidR="00D45CA2" w:rsidRDefault="000D58C5" w:rsidP="0069469C">
      <w:pPr>
        <w:rPr>
          <w:rFonts w:cstheme="minorHAnsi"/>
        </w:rPr>
      </w:pPr>
      <w:r>
        <w:rPr>
          <w:rFonts w:cstheme="minorHAnsi"/>
        </w:rPr>
        <w:t>Due to</w:t>
      </w:r>
      <w:r w:rsidR="003B3552" w:rsidRPr="004C6EA4">
        <w:rPr>
          <w:rFonts w:cstheme="minorHAnsi"/>
        </w:rPr>
        <w:t xml:space="preserve"> the continued efforts of the AAC-RERC and their partners, this VSD technology has been successfully transferred to major AAC manufacturers and app developers. </w:t>
      </w:r>
    </w:p>
    <w:p w14:paraId="11874C4D" w14:textId="77777777" w:rsidR="00D45CA2" w:rsidRDefault="003B3552" w:rsidP="0095770E">
      <w:r w:rsidRPr="004C6EA4">
        <w:t>The widespread integration of VSD technology into AAC devices by these manufacturers and developers offers speech</w:t>
      </w:r>
      <w:r w:rsidR="00A60F47">
        <w:t>-</w:t>
      </w:r>
      <w:r w:rsidRPr="004C6EA4">
        <w:t>language clinicians and practitioners effective and easier-to-use options to help their clients. With appropriate guidance from spe</w:t>
      </w:r>
      <w:r w:rsidRPr="002C1870">
        <w:t>ech</w:t>
      </w:r>
      <w:r w:rsidR="00A60F47">
        <w:t>-</w:t>
      </w:r>
      <w:r w:rsidRPr="004C6EA4">
        <w:t>language clinicians and practitioners, individuals and families with complex communication needs can use these VSD-enhanced AAC devices and software applications to improve their ability to communicate with much less effort.</w:t>
      </w:r>
    </w:p>
    <w:p w14:paraId="0E86E3A4" w14:textId="77777777" w:rsidR="00D45CA2" w:rsidRDefault="003B3552" w:rsidP="0095770E">
      <w:r w:rsidRPr="004C6EA4">
        <w:t>Information on the availability, effectiveness, and use of VSD technology in AAC is also much more commonplace in the scholarly literature. Examples of publications that discuss it include but are not limited to:</w:t>
      </w:r>
    </w:p>
    <w:p w14:paraId="67D7D0DC" w14:textId="77777777" w:rsidR="00D45CA2" w:rsidRDefault="003B3552" w:rsidP="00002EE3">
      <w:pPr>
        <w:pStyle w:val="Reference"/>
      </w:pPr>
      <w:r w:rsidRPr="002C1870">
        <w:t xml:space="preserve">Mooney, A., </w:t>
      </w:r>
      <w:proofErr w:type="spellStart"/>
      <w:r w:rsidRPr="002C1870">
        <w:t>Bedrick</w:t>
      </w:r>
      <w:proofErr w:type="spellEnd"/>
      <w:r w:rsidRPr="002C1870">
        <w:t xml:space="preserve">, S., </w:t>
      </w:r>
      <w:proofErr w:type="spellStart"/>
      <w:r w:rsidRPr="002C1870">
        <w:t>Noethe</w:t>
      </w:r>
      <w:proofErr w:type="spellEnd"/>
      <w:r w:rsidRPr="002C1870">
        <w:t>, G., Spaulding, S., &amp; Fried-</w:t>
      </w:r>
      <w:proofErr w:type="spellStart"/>
      <w:r w:rsidRPr="002C1870">
        <w:t>Oken</w:t>
      </w:r>
      <w:proofErr w:type="spellEnd"/>
      <w:r w:rsidRPr="002C1870">
        <w:t xml:space="preserve">, M. (2018). Mobile technology to support lexical retrieval during activity retell in primary progressive aphasia. </w:t>
      </w:r>
      <w:r w:rsidRPr="00D45CA2">
        <w:rPr>
          <w:rStyle w:val="Emphasis"/>
        </w:rPr>
        <w:t>Aphasiology, 32</w:t>
      </w:r>
      <w:r w:rsidRPr="004C6EA4">
        <w:t>, 666–692.</w:t>
      </w:r>
    </w:p>
    <w:p w14:paraId="5D74704C" w14:textId="77777777" w:rsidR="00D45CA2" w:rsidRDefault="003B3552" w:rsidP="00002EE3">
      <w:pPr>
        <w:pStyle w:val="Reference"/>
      </w:pPr>
      <w:r w:rsidRPr="004C6EA4">
        <w:t>Taylor, S.</w:t>
      </w:r>
      <w:r w:rsidR="00683DB2">
        <w:t>,</w:t>
      </w:r>
      <w:r w:rsidRPr="004C6EA4">
        <w:t xml:space="preserve"> &amp; Wallace, S. (2019). High technology AAC in post-stroke aphasia</w:t>
      </w:r>
      <w:r w:rsidR="00683DB2">
        <w:t>.</w:t>
      </w:r>
      <w:r w:rsidRPr="004C6EA4">
        <w:t xml:space="preserve"> </w:t>
      </w:r>
      <w:r w:rsidRPr="00D45CA2">
        <w:rPr>
          <w:rStyle w:val="Emphasis"/>
        </w:rPr>
        <w:t>Perspectives of the ASHA Special Interest Groups, 4</w:t>
      </w:r>
      <w:r w:rsidRPr="004C6EA4">
        <w:t>, 464</w:t>
      </w:r>
      <w:r w:rsidR="00683DB2" w:rsidRPr="00697D72">
        <w:t>–</w:t>
      </w:r>
      <w:r w:rsidRPr="004C6EA4">
        <w:t xml:space="preserve">473. </w:t>
      </w:r>
    </w:p>
    <w:p w14:paraId="5704EE6C" w14:textId="77777777" w:rsidR="00D45CA2" w:rsidRDefault="003B3552" w:rsidP="00002EE3">
      <w:pPr>
        <w:pStyle w:val="Reference"/>
      </w:pPr>
      <w:r w:rsidRPr="004C6EA4">
        <w:t xml:space="preserve">Thiessen, A., Brown, J., Freeland, T., &amp; Brewer, C. H. (2019). Identification and expression of themes depicted in visual scene and grid displays by adults with traumatic brain injury. </w:t>
      </w:r>
      <w:r w:rsidRPr="00D45CA2">
        <w:rPr>
          <w:rStyle w:val="Emphasis"/>
        </w:rPr>
        <w:t>American Journal of Speech-Language Pathology, 28</w:t>
      </w:r>
      <w:r w:rsidRPr="004C6EA4">
        <w:t>, 664–675.</w:t>
      </w:r>
    </w:p>
    <w:p w14:paraId="733B84C4" w14:textId="77777777" w:rsidR="00D45CA2" w:rsidRDefault="003B3552" w:rsidP="00002EE3">
      <w:pPr>
        <w:pStyle w:val="Reference"/>
      </w:pPr>
      <w:r w:rsidRPr="004C6EA4">
        <w:t xml:space="preserve">Waller, A. (2019). Telling tales: Unlocking the potential of AAC technologies. </w:t>
      </w:r>
      <w:r w:rsidRPr="00D45CA2">
        <w:rPr>
          <w:rStyle w:val="Emphasis"/>
        </w:rPr>
        <w:t>International Journal of Language &amp; Communication Disorders, 54</w:t>
      </w:r>
      <w:r w:rsidRPr="004C6EA4">
        <w:t>, 159–169.</w:t>
      </w:r>
    </w:p>
    <w:p w14:paraId="4D6143BF" w14:textId="77777777" w:rsidR="00D45CA2" w:rsidRDefault="003B3552" w:rsidP="00002EE3">
      <w:pPr>
        <w:pStyle w:val="Reference"/>
      </w:pPr>
      <w:r w:rsidRPr="004C6EA4">
        <w:t>Childes, J. M., Palmer, A. D., &amp; Fried-</w:t>
      </w:r>
      <w:proofErr w:type="spellStart"/>
      <w:r w:rsidRPr="004C6EA4">
        <w:t>Oken</w:t>
      </w:r>
      <w:proofErr w:type="spellEnd"/>
      <w:r w:rsidRPr="004C6EA4">
        <w:t>, M. B. (2019). Communication support before, during, and after treatment for head and neck cancer. In P.</w:t>
      </w:r>
      <w:r w:rsidR="00683DB2">
        <w:t xml:space="preserve"> </w:t>
      </w:r>
      <w:r w:rsidRPr="004C6EA4">
        <w:t>C. Doyle (Ed.)</w:t>
      </w:r>
      <w:r w:rsidR="00683DB2">
        <w:t>,</w:t>
      </w:r>
      <w:r w:rsidRPr="004C6EA4">
        <w:t xml:space="preserve"> </w:t>
      </w:r>
      <w:r w:rsidRPr="00D45CA2">
        <w:rPr>
          <w:rStyle w:val="Emphasis"/>
        </w:rPr>
        <w:t xml:space="preserve">Clinical </w:t>
      </w:r>
      <w:r w:rsidR="00683DB2" w:rsidRPr="00D45CA2">
        <w:rPr>
          <w:rStyle w:val="Emphasis"/>
        </w:rPr>
        <w:t>c</w:t>
      </w:r>
      <w:r w:rsidRPr="00D45CA2">
        <w:rPr>
          <w:rStyle w:val="Emphasis"/>
        </w:rPr>
        <w:t xml:space="preserve">are and </w:t>
      </w:r>
      <w:r w:rsidR="00683DB2" w:rsidRPr="00D45CA2">
        <w:rPr>
          <w:rStyle w:val="Emphasis"/>
        </w:rPr>
        <w:t>r</w:t>
      </w:r>
      <w:r w:rsidRPr="00D45CA2">
        <w:rPr>
          <w:rStyle w:val="Emphasis"/>
        </w:rPr>
        <w:t xml:space="preserve">ehabilitation in </w:t>
      </w:r>
      <w:r w:rsidR="00683DB2" w:rsidRPr="00D45CA2">
        <w:rPr>
          <w:rStyle w:val="Emphasis"/>
        </w:rPr>
        <w:t>h</w:t>
      </w:r>
      <w:r w:rsidRPr="00D45CA2">
        <w:rPr>
          <w:rStyle w:val="Emphasis"/>
        </w:rPr>
        <w:t xml:space="preserve">ead and </w:t>
      </w:r>
      <w:r w:rsidR="00683DB2" w:rsidRPr="00D45CA2">
        <w:rPr>
          <w:rStyle w:val="Emphasis"/>
        </w:rPr>
        <w:t>n</w:t>
      </w:r>
      <w:r w:rsidRPr="00D45CA2">
        <w:rPr>
          <w:rStyle w:val="Emphasis"/>
        </w:rPr>
        <w:t xml:space="preserve">eck </w:t>
      </w:r>
      <w:r w:rsidR="00683DB2" w:rsidRPr="00D45CA2">
        <w:rPr>
          <w:rStyle w:val="Emphasis"/>
        </w:rPr>
        <w:t>c</w:t>
      </w:r>
      <w:r w:rsidRPr="00D45CA2">
        <w:rPr>
          <w:rStyle w:val="Emphasis"/>
        </w:rPr>
        <w:t>ancer</w:t>
      </w:r>
      <w:r w:rsidRPr="004C6EA4">
        <w:t xml:space="preserve"> (pp. 247–264). Springer</w:t>
      </w:r>
      <w:r w:rsidR="00683DB2">
        <w:t>.</w:t>
      </w:r>
    </w:p>
    <w:p w14:paraId="46095030" w14:textId="77777777" w:rsidR="00D45CA2" w:rsidRDefault="00DF4F87" w:rsidP="00CA1DF0">
      <w:pPr>
        <w:pStyle w:val="Heading4"/>
        <w:rPr>
          <w:rStyle w:val="Underline"/>
        </w:rPr>
      </w:pPr>
      <w:r w:rsidRPr="00800E49">
        <w:rPr>
          <w:rStyle w:val="Underline"/>
        </w:rPr>
        <w:t xml:space="preserve">General Motors </w:t>
      </w:r>
      <w:r w:rsidR="001D2497" w:rsidRPr="00800E49">
        <w:rPr>
          <w:rStyle w:val="Underline"/>
        </w:rPr>
        <w:t xml:space="preserve">(GM) </w:t>
      </w:r>
      <w:r w:rsidRPr="00800E49">
        <w:rPr>
          <w:rStyle w:val="Underline"/>
        </w:rPr>
        <w:t xml:space="preserve">Withdraws its </w:t>
      </w:r>
      <w:r w:rsidR="001D2497" w:rsidRPr="00800E49">
        <w:rPr>
          <w:rStyle w:val="Underline"/>
        </w:rPr>
        <w:t>Federal Communications Commission (</w:t>
      </w:r>
      <w:r w:rsidRPr="00800E49">
        <w:rPr>
          <w:rStyle w:val="Underline"/>
        </w:rPr>
        <w:t>FCC</w:t>
      </w:r>
      <w:r w:rsidR="001D2497" w:rsidRPr="00800E49">
        <w:rPr>
          <w:rStyle w:val="Underline"/>
        </w:rPr>
        <w:t>)</w:t>
      </w:r>
      <w:r w:rsidRPr="00800E49">
        <w:rPr>
          <w:rStyle w:val="Underline"/>
        </w:rPr>
        <w:t xml:space="preserve"> Petition </w:t>
      </w:r>
      <w:r w:rsidR="00B233DC" w:rsidRPr="00800E49">
        <w:rPr>
          <w:rStyle w:val="Underline"/>
        </w:rPr>
        <w:t>f</w:t>
      </w:r>
      <w:r w:rsidRPr="00800E49">
        <w:rPr>
          <w:rStyle w:val="Underline"/>
        </w:rPr>
        <w:t xml:space="preserve">or an Exemption to Certain Real-Time Text </w:t>
      </w:r>
      <w:r w:rsidR="001D2497" w:rsidRPr="00800E49">
        <w:rPr>
          <w:rStyle w:val="Underline"/>
        </w:rPr>
        <w:t xml:space="preserve">(RTT) </w:t>
      </w:r>
      <w:r w:rsidRPr="00800E49">
        <w:rPr>
          <w:rStyle w:val="Underline"/>
        </w:rPr>
        <w:t>Regulations</w:t>
      </w:r>
    </w:p>
    <w:p w14:paraId="6E5620D2" w14:textId="77777777" w:rsidR="00D45CA2" w:rsidRDefault="00D1293B" w:rsidP="00800E49">
      <w:hyperlink r:id="rId20" w:history="1">
        <w:r w:rsidR="00DF4F87">
          <w:rPr>
            <w:rStyle w:val="Hyperlink"/>
          </w:rPr>
          <w:t>RTT</w:t>
        </w:r>
      </w:hyperlink>
      <w:r w:rsidR="00DF4F87">
        <w:t xml:space="preserve"> is an important technology for many persons with disabilities, especially those with communication or hearing difficulties, because it allows instant text transmission and receipt without having to press a “Send” button. Instant text transmission is similar to the instantaneous exchange of information that happens during a voice telephone conversation. This instant text transmission is particularly important in emergency situations. The FCC </w:t>
      </w:r>
      <w:r w:rsidR="00DF4F87">
        <w:lastRenderedPageBreak/>
        <w:t xml:space="preserve">recognized the importance of RTT by </w:t>
      </w:r>
      <w:r w:rsidR="00DF4F87" w:rsidRPr="00D925D8">
        <w:t xml:space="preserve">adopting a set of </w:t>
      </w:r>
      <w:r w:rsidR="00DF4F87">
        <w:t xml:space="preserve">federal RTT regulations found in </w:t>
      </w:r>
      <w:hyperlink r:id="rId21" w:history="1">
        <w:r w:rsidR="00DF4F87" w:rsidRPr="00D925D8">
          <w:rPr>
            <w:rStyle w:val="Hyperlink"/>
          </w:rPr>
          <w:t>47 CFR Part 67</w:t>
        </w:r>
      </w:hyperlink>
      <w:r w:rsidR="00DF4F87">
        <w:t>.</w:t>
      </w:r>
    </w:p>
    <w:p w14:paraId="7935FAE4" w14:textId="10CBE4F4" w:rsidR="00D45CA2" w:rsidRDefault="00DF4F87" w:rsidP="00800E49">
      <w:r>
        <w:t xml:space="preserve">In December 2018, GM submitted </w:t>
      </w:r>
      <w:r w:rsidRPr="007002F9">
        <w:t xml:space="preserve">a </w:t>
      </w:r>
      <w:hyperlink r:id="rId22" w:history="1">
        <w:r w:rsidRPr="007002F9">
          <w:rPr>
            <w:rStyle w:val="Hyperlink"/>
          </w:rPr>
          <w:t>request for a waiver to some of the FCC RTT requirements</w:t>
        </w:r>
      </w:hyperlink>
      <w:r>
        <w:t xml:space="preserve"> with respect to its new autonomous vehicle ride-hailing service but then </w:t>
      </w:r>
      <w:hyperlink r:id="rId23" w:history="1">
        <w:r w:rsidRPr="00D925D8">
          <w:rPr>
            <w:rStyle w:val="Hyperlink"/>
          </w:rPr>
          <w:t>requested and received approval to withdraw this request</w:t>
        </w:r>
      </w:hyperlink>
      <w:r>
        <w:t xml:space="preserve">. The withdrawal of this request was due in large part to the </w:t>
      </w:r>
      <w:hyperlink r:id="rId24" w:history="1">
        <w:r w:rsidRPr="00F2076A">
          <w:rPr>
            <w:rStyle w:val="Hyperlink"/>
          </w:rPr>
          <w:t>comments</w:t>
        </w:r>
      </w:hyperlink>
      <w:r>
        <w:t xml:space="preserve"> and ongoing consultation with researchers and consumer groups at the </w:t>
      </w:r>
      <w:hyperlink r:id="rId25" w:history="1">
        <w:r w:rsidRPr="00941381">
          <w:rPr>
            <w:rStyle w:val="Hyperlink"/>
          </w:rPr>
          <w:t>RERC on Universal Interface and Information Technology Access</w:t>
        </w:r>
      </w:hyperlink>
      <w:r>
        <w:t>.</w:t>
      </w:r>
    </w:p>
    <w:p w14:paraId="26E6FE88" w14:textId="77777777" w:rsidR="00D45CA2" w:rsidRDefault="00DF4F87" w:rsidP="0095770E">
      <w:r w:rsidRPr="00473C70">
        <w:t xml:space="preserve">The RERC worked with consumer groups on the development of </w:t>
      </w:r>
      <w:r>
        <w:t xml:space="preserve">these </w:t>
      </w:r>
      <w:hyperlink r:id="rId26" w:history="1">
        <w:r w:rsidRPr="00F2076A">
          <w:rPr>
            <w:rStyle w:val="Hyperlink"/>
          </w:rPr>
          <w:t>formal comments</w:t>
        </w:r>
      </w:hyperlink>
      <w:r w:rsidRPr="00473C70">
        <w:t xml:space="preserve"> to the FCC, pointing out that a waiver was unnecessary since the law and regulations as written already exempted the technology for which GM was looking for an exemption and that instead the FCC should simply respond that an exemption was not needed since the regulation did not cover GM's use case.</w:t>
      </w:r>
    </w:p>
    <w:p w14:paraId="06BF6B12" w14:textId="77777777" w:rsidR="00D45CA2" w:rsidRDefault="00DF4F87" w:rsidP="0095770E">
      <w:r w:rsidRPr="00473C70">
        <w:t>Issuing an exemptio</w:t>
      </w:r>
      <w:r>
        <w:t xml:space="preserve">n would have created a loophole for other covered organizations to avoid compliance with the federal RTT regulations. Consulting directly with GM over a period </w:t>
      </w:r>
      <w:r w:rsidR="003140E9">
        <w:t xml:space="preserve">of </w:t>
      </w:r>
      <w:r>
        <w:t xml:space="preserve">time resulted in GM realizing they did not need an exemption. Additionally, GM cited the RERC and consumer group </w:t>
      </w:r>
      <w:hyperlink r:id="rId27" w:history="1">
        <w:r w:rsidRPr="00D34E02">
          <w:rPr>
            <w:rStyle w:val="Hyperlink"/>
          </w:rPr>
          <w:t>comments</w:t>
        </w:r>
      </w:hyperlink>
      <w:r>
        <w:t xml:space="preserve"> as evidence supporting the withdrawal of their waiver request.</w:t>
      </w:r>
    </w:p>
    <w:p w14:paraId="787B45D6" w14:textId="77777777" w:rsidR="00D45CA2" w:rsidRDefault="00DF4F87" w:rsidP="00CA1DF0">
      <w:pPr>
        <w:pStyle w:val="Heading4"/>
        <w:rPr>
          <w:rStyle w:val="Underline"/>
        </w:rPr>
      </w:pPr>
      <w:r w:rsidRPr="009804A1">
        <w:rPr>
          <w:rStyle w:val="Underline"/>
        </w:rPr>
        <w:t>Factsheet Entitled “</w:t>
      </w:r>
      <w:r w:rsidR="000D1168" w:rsidRPr="009804A1">
        <w:rPr>
          <w:rStyle w:val="Underline"/>
        </w:rPr>
        <w:t xml:space="preserve">The </w:t>
      </w:r>
      <w:r w:rsidRPr="009804A1">
        <w:rPr>
          <w:rStyle w:val="Underline"/>
        </w:rPr>
        <w:t>ADA, Addiction and Recovery” Helps Addiction Professional</w:t>
      </w:r>
      <w:r w:rsidR="009804A1" w:rsidRPr="009804A1">
        <w:rPr>
          <w:rStyle w:val="Underline"/>
        </w:rPr>
        <w:t>s</w:t>
      </w:r>
    </w:p>
    <w:p w14:paraId="3F943DE3" w14:textId="791B115F" w:rsidR="00D45CA2" w:rsidRDefault="00DF4F87" w:rsidP="0095770E">
      <w:r>
        <w:t>M</w:t>
      </w:r>
      <w:r w:rsidRPr="009642E1">
        <w:t xml:space="preserve">any people in recovery from addiction </w:t>
      </w:r>
      <w:r>
        <w:t xml:space="preserve">are </w:t>
      </w:r>
      <w:r w:rsidRPr="009642E1">
        <w:t xml:space="preserve">unaware of their civil rights under the ADA. The ADA applies to addiction to alcohol, and to the illegal use of drugs differently. </w:t>
      </w:r>
      <w:r>
        <w:t xml:space="preserve">To address this situation, the New England ADA Center, </w:t>
      </w:r>
      <w:r w:rsidR="000D1168">
        <w:t xml:space="preserve">as well as </w:t>
      </w:r>
      <w:r>
        <w:t>expert members from the</w:t>
      </w:r>
      <w:r w:rsidR="005632C2">
        <w:t xml:space="preserve"> ADA National Network Knowledge Translation Center</w:t>
      </w:r>
      <w:r>
        <w:t xml:space="preserve"> , developed a factsheet in PDF format entitled </w:t>
      </w:r>
      <w:hyperlink r:id="rId28" w:history="1">
        <w:r w:rsidR="000D1168">
          <w:rPr>
            <w:rStyle w:val="Hyperlink"/>
          </w:rPr>
          <w:t>The A</w:t>
        </w:r>
        <w:r w:rsidRPr="00283964">
          <w:rPr>
            <w:rStyle w:val="Hyperlink"/>
          </w:rPr>
          <w:t>DA, Addiction and Recovery</w:t>
        </w:r>
      </w:hyperlink>
      <w:r>
        <w:t>.</w:t>
      </w:r>
    </w:p>
    <w:p w14:paraId="351706C8" w14:textId="77777777" w:rsidR="00D45CA2" w:rsidRDefault="00DF4F87" w:rsidP="0095770E">
      <w:r>
        <w:t xml:space="preserve">News of the availability of this factsheet spread and Kristin Hamilton, Director of Communication for the </w:t>
      </w:r>
      <w:hyperlink r:id="rId29" w:history="1">
        <w:r w:rsidRPr="00E35FE3">
          <w:rPr>
            <w:rStyle w:val="Hyperlink"/>
          </w:rPr>
          <w:t>National Association for Alcoholism and Drug Abuse Counselors</w:t>
        </w:r>
      </w:hyperlink>
      <w:r>
        <w:t xml:space="preserve">, decided to include the </w:t>
      </w:r>
      <w:hyperlink r:id="rId30" w:anchor="n4916510" w:history="1">
        <w:r>
          <w:rPr>
            <w:rStyle w:val="Hyperlink"/>
          </w:rPr>
          <w:t>factsheet in the May 2019 issue of their national association’s</w:t>
        </w:r>
        <w:r w:rsidR="00076D10">
          <w:rPr>
            <w:rStyle w:val="Hyperlink"/>
          </w:rPr>
          <w:t xml:space="preserve"> </w:t>
        </w:r>
        <w:r>
          <w:rPr>
            <w:rStyle w:val="Hyperlink"/>
          </w:rPr>
          <w:t>online newsletter</w:t>
        </w:r>
      </w:hyperlink>
      <w:r>
        <w:t xml:space="preserve">. This is an important step for dissemination of ADA addiction-related information because </w:t>
      </w:r>
      <w:r w:rsidR="000D1168">
        <w:t xml:space="preserve">the Association’s </w:t>
      </w:r>
      <w:r>
        <w:t xml:space="preserve">membership </w:t>
      </w:r>
      <w:r w:rsidRPr="00367B52">
        <w:t>represents the professional interests of more than 100,000 addiction counselors, educators</w:t>
      </w:r>
      <w:r w:rsidR="000D1168">
        <w:t>,</w:t>
      </w:r>
      <w:r w:rsidRPr="00367B52">
        <w:t xml:space="preserve"> and other addiction-focused health care professionals in the United States, Canada</w:t>
      </w:r>
      <w:r w:rsidR="000D1168">
        <w:t>,</w:t>
      </w:r>
      <w:r w:rsidRPr="00367B52">
        <w:t xml:space="preserve"> and abroad.</w:t>
      </w:r>
    </w:p>
    <w:p w14:paraId="4F6BEDEA" w14:textId="77777777" w:rsidR="00D45CA2" w:rsidRDefault="00DF4F87" w:rsidP="00CA1DF0">
      <w:pPr>
        <w:pStyle w:val="Heading4"/>
        <w:rPr>
          <w:rStyle w:val="Underline"/>
        </w:rPr>
      </w:pPr>
      <w:r w:rsidRPr="00002EE3">
        <w:rPr>
          <w:rStyle w:val="Underline"/>
        </w:rPr>
        <w:t>Free Short Courses on Blindness and Visual Impairment Provide New Knowledge to Those Who Take Them</w:t>
      </w:r>
    </w:p>
    <w:p w14:paraId="73891EB4" w14:textId="1E765436" w:rsidR="00D45CA2" w:rsidRDefault="00DF4F87" w:rsidP="0095770E">
      <w:r>
        <w:t xml:space="preserve">The </w:t>
      </w:r>
      <w:hyperlink r:id="rId31" w:history="1">
        <w:r>
          <w:rPr>
            <w:rStyle w:val="Hyperlink"/>
          </w:rPr>
          <w:t>National Research and Training Center on Blindness and Low Vision (NRTC)</w:t>
        </w:r>
      </w:hyperlink>
      <w:r>
        <w:t xml:space="preserve"> offers free-of-charge </w:t>
      </w:r>
      <w:hyperlink r:id="rId32" w:history="1">
        <w:r w:rsidRPr="00BF1948">
          <w:rPr>
            <w:rStyle w:val="Hyperlink"/>
          </w:rPr>
          <w:t>short online courses</w:t>
        </w:r>
      </w:hyperlink>
      <w:r w:rsidRPr="00BB1B1D">
        <w:t xml:space="preserve"> to everyone, with the purpose of increasing knowledge about blindness/low vision, employment of people who are </w:t>
      </w:r>
      <w:r w:rsidR="009E641C">
        <w:t>blind/visually impaired</w:t>
      </w:r>
      <w:r w:rsidRPr="00BB1B1D">
        <w:t xml:space="preserve">, and </w:t>
      </w:r>
      <w:r>
        <w:t>center</w:t>
      </w:r>
      <w:r w:rsidRPr="00BB1B1D">
        <w:t xml:space="preserve"> research results</w:t>
      </w:r>
      <w:r>
        <w:t>.</w:t>
      </w:r>
    </w:p>
    <w:p w14:paraId="6E6BC3DE" w14:textId="77777777" w:rsidR="00D45CA2" w:rsidRDefault="00DF4F87" w:rsidP="0095770E">
      <w:r>
        <w:lastRenderedPageBreak/>
        <w:t xml:space="preserve">Based on current 2019 information reported by </w:t>
      </w:r>
      <w:r w:rsidR="000F0E2F">
        <w:t>NRTC</w:t>
      </w:r>
      <w:r>
        <w:t xml:space="preserve">, </w:t>
      </w:r>
      <w:r w:rsidRPr="00D57AD5">
        <w:t xml:space="preserve">769 people accessed </w:t>
      </w:r>
      <w:r>
        <w:t>these</w:t>
      </w:r>
      <w:r w:rsidRPr="00D57AD5">
        <w:t xml:space="preserve"> online courses and completed 1,712 courses with a passing grade. Most of the users </w:t>
      </w:r>
      <w:r>
        <w:t>were</w:t>
      </w:r>
      <w:r w:rsidRPr="00D57AD5">
        <w:t xml:space="preserve"> </w:t>
      </w:r>
      <w:r w:rsidR="0068527C">
        <w:t>VR</w:t>
      </w:r>
      <w:r>
        <w:t xml:space="preserve"> </w:t>
      </w:r>
      <w:r w:rsidRPr="00D57AD5">
        <w:t>professionals, but users also include</w:t>
      </w:r>
      <w:r>
        <w:t>d</w:t>
      </w:r>
      <w:r w:rsidRPr="00D57AD5">
        <w:t xml:space="preserve"> educators, individuals with </w:t>
      </w:r>
      <w:r w:rsidR="000F0E2F" w:rsidRPr="00BB1B1D">
        <w:t xml:space="preserve">who are </w:t>
      </w:r>
      <w:r w:rsidR="000F0E2F">
        <w:t xml:space="preserve">blind/visually impaired, </w:t>
      </w:r>
      <w:r w:rsidRPr="00D57AD5">
        <w:t>friends and family members of these individua</w:t>
      </w:r>
      <w:r>
        <w:t xml:space="preserve">ls, and </w:t>
      </w:r>
      <w:r w:rsidR="0068527C">
        <w:t>VR</w:t>
      </w:r>
      <w:r>
        <w:t xml:space="preserve"> </w:t>
      </w:r>
      <w:r w:rsidRPr="00D57AD5">
        <w:t>administrators.</w:t>
      </w:r>
    </w:p>
    <w:p w14:paraId="37460BD1" w14:textId="77777777" w:rsidR="00D45CA2" w:rsidRDefault="00DF4F87" w:rsidP="0095770E">
      <w:r>
        <w:t xml:space="preserve">These courses are quite popular with state </w:t>
      </w:r>
      <w:r w:rsidR="0068527C">
        <w:t>VR</w:t>
      </w:r>
      <w:r>
        <w:t xml:space="preserve"> agencies. </w:t>
      </w:r>
      <w:r w:rsidRPr="003D22E9">
        <w:t xml:space="preserve">Virginia Department for the Blind and Vision Impaired and South Carolina </w:t>
      </w:r>
      <w:r>
        <w:t>Commission for the Blind use these</w:t>
      </w:r>
      <w:r w:rsidRPr="003D22E9">
        <w:t xml:space="preserve"> courses for training of their new staff. Georgia Vocational Rehabilitation Agency use</w:t>
      </w:r>
      <w:r w:rsidR="000F0E2F">
        <w:t>s</w:t>
      </w:r>
      <w:r w:rsidRPr="003D22E9">
        <w:t xml:space="preserve"> </w:t>
      </w:r>
      <w:r>
        <w:t>these</w:t>
      </w:r>
      <w:r w:rsidRPr="003D22E9">
        <w:t xml:space="preserve"> courses as a component of trainings that they provide to their staff. Individual users are also taking the courses on </w:t>
      </w:r>
      <w:r w:rsidR="000F0E2F">
        <w:t>NRTC’s</w:t>
      </w:r>
      <w:r w:rsidR="000F0E2F" w:rsidRPr="003D22E9">
        <w:t xml:space="preserve"> </w:t>
      </w:r>
      <w:r w:rsidRPr="003D22E9">
        <w:t>website.</w:t>
      </w:r>
    </w:p>
    <w:p w14:paraId="0977755C" w14:textId="77777777" w:rsidR="00D45CA2" w:rsidRDefault="00DF4F87" w:rsidP="00002EE3">
      <w:pPr>
        <w:pStyle w:val="Quote"/>
      </w:pPr>
      <w:r w:rsidRPr="00002EE3">
        <w:t>“I took multiple courses from the NRTC Continuing Education page. I found that the information on employer relations and use of Business Relations employees in VR agencies to be particularly helpful in describing to VR Counselors in my agency the importance of opening up to the employer/business side of our work. This has been useful to help them understand that when we reduce stigma, fears, etc. of employers our participants can have greater success.”</w:t>
      </w:r>
    </w:p>
    <w:p w14:paraId="46DE08E9" w14:textId="77777777" w:rsidR="00D45CA2" w:rsidRDefault="00DF4F87" w:rsidP="00002EE3">
      <w:pPr>
        <w:pStyle w:val="Quote"/>
      </w:pPr>
      <w:r w:rsidRPr="00002EE3">
        <w:t>“With this course, I was better able to understand the different causes of low vision and how the different types of low vision create barriers. I also learn about resources to help people with low vision and blindness. Learning to read an eye report was also very helpful.”</w:t>
      </w:r>
    </w:p>
    <w:p w14:paraId="4F08BF37" w14:textId="77777777" w:rsidR="00D45CA2" w:rsidRDefault="00DF4F87" w:rsidP="00002EE3">
      <w:pPr>
        <w:pStyle w:val="Quote"/>
      </w:pPr>
      <w:r w:rsidRPr="00002EE3">
        <w:t>“Assisting my father who has macular degeneration and has low vision.”</w:t>
      </w:r>
    </w:p>
    <w:p w14:paraId="1D9C8264" w14:textId="09E7BBC0" w:rsidR="00D45CA2" w:rsidRDefault="008E4260" w:rsidP="006D1AD5">
      <w:pPr>
        <w:pStyle w:val="Heading4"/>
        <w:rPr>
          <w:rStyle w:val="Underline"/>
        </w:rPr>
      </w:pPr>
      <w:r w:rsidRPr="008E4260">
        <w:rPr>
          <w:bCs/>
          <w:u w:val="single"/>
        </w:rPr>
        <w:t xml:space="preserve">Standards Developed by NIDILRR </w:t>
      </w:r>
      <w:r w:rsidR="00C95D1B">
        <w:rPr>
          <w:bCs/>
          <w:u w:val="single"/>
        </w:rPr>
        <w:t xml:space="preserve">Program </w:t>
      </w:r>
      <w:r w:rsidRPr="008E4260">
        <w:rPr>
          <w:bCs/>
          <w:u w:val="single"/>
        </w:rPr>
        <w:t xml:space="preserve">Grantee are Foundational to New Proposed Federal Legislation on Accessible Fitness </w:t>
      </w:r>
    </w:p>
    <w:p w14:paraId="1842EEE7" w14:textId="3C896845" w:rsidR="00D45CA2" w:rsidRDefault="00DF4F87" w:rsidP="001F6BE6">
      <w:r>
        <w:t xml:space="preserve">Little information on accessible fitness equipment, exercise or fitness classes, and instruction is available to individuals with disabilities. Dr. Jim </w:t>
      </w:r>
      <w:proofErr w:type="spellStart"/>
      <w:r>
        <w:t>Rimmer</w:t>
      </w:r>
      <w:proofErr w:type="spellEnd"/>
      <w:r>
        <w:t xml:space="preserve"> and his colleagues at the </w:t>
      </w:r>
      <w:hyperlink r:id="rId33" w:history="1">
        <w:r w:rsidRPr="007226B0">
          <w:rPr>
            <w:rStyle w:val="Hyperlink"/>
          </w:rPr>
          <w:t>RERC on Exercise and Recreational Technologies for People with Disabilities</w:t>
        </w:r>
      </w:hyperlink>
      <w:r>
        <w:t xml:space="preserve"> have been working to solve this problem for several years</w:t>
      </w:r>
      <w:r w:rsidRPr="007226B0">
        <w:t>.</w:t>
      </w:r>
    </w:p>
    <w:p w14:paraId="5AD3CCB6" w14:textId="7E71F1EF" w:rsidR="00D45CA2" w:rsidRDefault="00DF4F87" w:rsidP="001F6BE6">
      <w:r>
        <w:t xml:space="preserve">Through ongoing research and development efforts led by Dr. </w:t>
      </w:r>
      <w:proofErr w:type="spellStart"/>
      <w:r>
        <w:t>Rimmer</w:t>
      </w:r>
      <w:proofErr w:type="spellEnd"/>
      <w:r>
        <w:t xml:space="preserve"> and his colleagues, an </w:t>
      </w:r>
      <w:hyperlink r:id="rId34" w:history="1">
        <w:r w:rsidRPr="008664BF">
          <w:rPr>
            <w:rStyle w:val="Hyperlink"/>
          </w:rPr>
          <w:t>American Society for Testing and Materials (ASTM)</w:t>
        </w:r>
      </w:hyperlink>
      <w:r>
        <w:t xml:space="preserve"> standard entitled </w:t>
      </w:r>
      <w:hyperlink r:id="rId35" w:history="1">
        <w:r w:rsidRPr="009A3142">
          <w:rPr>
            <w:rStyle w:val="Hyperlink"/>
          </w:rPr>
          <w:t>Standard Specification for Universal Design of Fitness Equipment for Inclusive Use by Persons with Functional Limitations and Impairments (ASTM F3021–17)</w:t>
        </w:r>
      </w:hyperlink>
      <w:r>
        <w:t xml:space="preserve"> has been developed. The first of its kind, t</w:t>
      </w:r>
      <w:r w:rsidRPr="00ED42E5">
        <w:t>his specification establishes the requirements for the design and manufacturing of fitness equipment intended for use by persons with functional limitations and impairments. It aims to assist designers and manufacturers in reducing the possibility of injury when these products are used in accordance with the manufacturer</w:t>
      </w:r>
      <w:r w:rsidR="00300380">
        <w:t>’</w:t>
      </w:r>
      <w:r w:rsidRPr="00ED42E5">
        <w:t xml:space="preserve">s operational instructions. It covers assistive technologies such as </w:t>
      </w:r>
      <w:r w:rsidRPr="00ED42E5">
        <w:lastRenderedPageBreak/>
        <w:t>wheelchairs, walkers, crutches, canes, prosthetics, alternative communication devices, and cell phones, as well as requirements for color contrast.</w:t>
      </w:r>
    </w:p>
    <w:p w14:paraId="0A61562F" w14:textId="417E5A1F" w:rsidR="00D45CA2" w:rsidRDefault="00F147B3" w:rsidP="001F6BE6">
      <w:r>
        <w:t xml:space="preserve">These standards have been used by Federal legislators </w:t>
      </w:r>
      <w:r w:rsidR="00DF4F87" w:rsidRPr="000C7350">
        <w:t xml:space="preserve">to help define “accessible exercise or fitness equipment” in </w:t>
      </w:r>
      <w:hyperlink r:id="rId36" w:history="1">
        <w:r w:rsidR="00DF4F87" w:rsidRPr="0091177D">
          <w:rPr>
            <w:rStyle w:val="Hyperlink"/>
          </w:rPr>
          <w:t>S.3728, the Exercise and Fitness for All Act</w:t>
        </w:r>
      </w:hyperlink>
      <w:r w:rsidR="00DF4F87">
        <w:t xml:space="preserve">, </w:t>
      </w:r>
      <w:r w:rsidR="00DF4F87" w:rsidRPr="00F0112F">
        <w:t>which was introduced in the 115th Congress in December 2018.</w:t>
      </w:r>
      <w:r w:rsidR="00DF4F87">
        <w:t xml:space="preserve"> </w:t>
      </w:r>
      <w:r w:rsidR="00DF4F87" w:rsidRPr="001B38DA">
        <w:t>The act was reintroduced in the</w:t>
      </w:r>
      <w:r w:rsidR="00DF4F87">
        <w:t xml:space="preserve"> </w:t>
      </w:r>
      <w:r w:rsidR="00DF4F87" w:rsidRPr="001B38DA">
        <w:t xml:space="preserve">116th Congress as </w:t>
      </w:r>
      <w:hyperlink r:id="rId37" w:history="1">
        <w:r w:rsidR="00DF4F87" w:rsidRPr="00FA20B3">
          <w:rPr>
            <w:rStyle w:val="Hyperlink"/>
          </w:rPr>
          <w:t>S.1244</w:t>
        </w:r>
      </w:hyperlink>
      <w:r w:rsidR="00DF4F87" w:rsidRPr="001B38DA">
        <w:t xml:space="preserve"> on April </w:t>
      </w:r>
      <w:r w:rsidR="00300380">
        <w:t xml:space="preserve">30, </w:t>
      </w:r>
      <w:r w:rsidR="00DF4F87" w:rsidRPr="001B38DA">
        <w:t xml:space="preserve">2019. The act will require the </w:t>
      </w:r>
      <w:hyperlink r:id="rId38" w:history="1">
        <w:r w:rsidR="00DF4F87" w:rsidRPr="00D26FB2">
          <w:rPr>
            <w:rStyle w:val="Hyperlink"/>
          </w:rPr>
          <w:t>Access Board</w:t>
        </w:r>
      </w:hyperlink>
      <w:r w:rsidR="00DF4F87" w:rsidRPr="001B38DA">
        <w:t xml:space="preserve"> to create guidelines regarding the provision of</w:t>
      </w:r>
      <w:r w:rsidR="00BC35EB">
        <w:t xml:space="preserve"> universally designed and inclusive fitness </w:t>
      </w:r>
      <w:r w:rsidR="00DF4F87" w:rsidRPr="001B38DA">
        <w:t>equipment, programming, and staff trained in working with people with impairments. As of April 2019, 30 advocacy organizations had pledged support of the bill.</w:t>
      </w:r>
    </w:p>
    <w:p w14:paraId="53340A69" w14:textId="259660AF" w:rsidR="00D45CA2" w:rsidRDefault="00DF4F87" w:rsidP="001F6BE6">
      <w:r>
        <w:t xml:space="preserve">A related bill </w:t>
      </w:r>
      <w:hyperlink r:id="rId39" w:history="1">
        <w:r w:rsidRPr="007523F3">
          <w:rPr>
            <w:rStyle w:val="Hyperlink"/>
          </w:rPr>
          <w:t>(H.R.4561) with the same name</w:t>
        </w:r>
      </w:hyperlink>
      <w:r>
        <w:t xml:space="preserve"> was introduced in the House of Representatives on September 27, 2019.</w:t>
      </w:r>
    </w:p>
    <w:p w14:paraId="0E8046F9" w14:textId="77777777" w:rsidR="00D45CA2" w:rsidRDefault="00DF4F87" w:rsidP="006D1AD5">
      <w:pPr>
        <w:pStyle w:val="Heading4"/>
        <w:rPr>
          <w:rStyle w:val="Underline"/>
        </w:rPr>
      </w:pPr>
      <w:r w:rsidRPr="009804A1">
        <w:rPr>
          <w:rStyle w:val="Underline"/>
        </w:rPr>
        <w:t>“</w:t>
      </w:r>
      <w:proofErr w:type="spellStart"/>
      <w:r w:rsidRPr="009804A1">
        <w:rPr>
          <w:rStyle w:val="Underline"/>
        </w:rPr>
        <w:t>YouDescribe</w:t>
      </w:r>
      <w:proofErr w:type="spellEnd"/>
      <w:r w:rsidRPr="009804A1">
        <w:rPr>
          <w:rStyle w:val="Underline"/>
        </w:rPr>
        <w:t>” is Creating Unprecedented Access to Video Materials</w:t>
      </w:r>
      <w:r w:rsidR="00300380" w:rsidRPr="009804A1">
        <w:rPr>
          <w:rStyle w:val="Underline"/>
        </w:rPr>
        <w:t xml:space="preserve"> for Blind Students and Adults</w:t>
      </w:r>
    </w:p>
    <w:p w14:paraId="6A2F765A" w14:textId="745B59FA" w:rsidR="00D45CA2" w:rsidRDefault="00DF4F87" w:rsidP="0095770E">
      <w:r>
        <w:t xml:space="preserve">Individuals who are blind have virtually no access to video materials unless they pay for a professional </w:t>
      </w:r>
      <w:r w:rsidRPr="004C6EA4">
        <w:rPr>
          <w:rFonts w:cstheme="minorHAnsi"/>
        </w:rPr>
        <w:t>service</w:t>
      </w:r>
      <w:r w:rsidR="00300380">
        <w:rPr>
          <w:rFonts w:cstheme="minorHAnsi"/>
        </w:rPr>
        <w:t>,</w:t>
      </w:r>
      <w:r w:rsidRPr="004C6EA4">
        <w:rPr>
          <w:rFonts w:cstheme="minorHAnsi"/>
        </w:rPr>
        <w:t xml:space="preserve"> which is extremely expensive. </w:t>
      </w:r>
      <w:r w:rsidR="00C95D1B">
        <w:rPr>
          <w:rFonts w:cstheme="minorHAnsi"/>
        </w:rPr>
        <w:t>R</w:t>
      </w:r>
      <w:r w:rsidRPr="004C6EA4">
        <w:rPr>
          <w:rFonts w:cstheme="minorHAnsi"/>
        </w:rPr>
        <w:t xml:space="preserve">esearchers and engineers at the </w:t>
      </w:r>
      <w:hyperlink r:id="rId40" w:history="1">
        <w:r w:rsidRPr="004C6EA4">
          <w:rPr>
            <w:rStyle w:val="Hyperlink"/>
            <w:rFonts w:cstheme="minorHAnsi"/>
          </w:rPr>
          <w:t>Smith-</w:t>
        </w:r>
        <w:proofErr w:type="spellStart"/>
        <w:r w:rsidRPr="004C6EA4">
          <w:rPr>
            <w:rStyle w:val="Hyperlink"/>
            <w:rFonts w:cstheme="minorHAnsi"/>
          </w:rPr>
          <w:t>Kettlewell</w:t>
        </w:r>
        <w:proofErr w:type="spellEnd"/>
        <w:r w:rsidRPr="004C6EA4">
          <w:rPr>
            <w:rStyle w:val="Hyperlink"/>
            <w:rFonts w:cstheme="minorHAnsi"/>
          </w:rPr>
          <w:t xml:space="preserve"> Eye Research Institute</w:t>
        </w:r>
      </w:hyperlink>
      <w:r w:rsidRPr="004C6EA4">
        <w:rPr>
          <w:rFonts w:cstheme="minorHAnsi"/>
        </w:rPr>
        <w:t xml:space="preserve"> have come up with a better</w:t>
      </w:r>
      <w:r w:rsidR="00300380">
        <w:rPr>
          <w:rFonts w:cstheme="minorHAnsi"/>
        </w:rPr>
        <w:t>,</w:t>
      </w:r>
      <w:r w:rsidRPr="004C6EA4">
        <w:rPr>
          <w:rFonts w:cstheme="minorHAnsi"/>
        </w:rPr>
        <w:t xml:space="preserve"> more cost-effective solution to this problem.</w:t>
      </w:r>
    </w:p>
    <w:p w14:paraId="39DC47DE" w14:textId="77777777" w:rsidR="00D45CA2" w:rsidRDefault="00DF4F87" w:rsidP="0095770E">
      <w:pPr>
        <w:rPr>
          <w:rFonts w:cstheme="minorHAnsi"/>
        </w:rPr>
      </w:pPr>
      <w:r w:rsidRPr="004C6EA4">
        <w:rPr>
          <w:rFonts w:cstheme="minorHAnsi"/>
        </w:rPr>
        <w:t>They have developed</w:t>
      </w:r>
      <w:r w:rsidR="00300380">
        <w:rPr>
          <w:rFonts w:cstheme="minorHAnsi"/>
        </w:rPr>
        <w:t xml:space="preserve"> “</w:t>
      </w:r>
      <w:proofErr w:type="spellStart"/>
      <w:r w:rsidR="001A351C">
        <w:fldChar w:fldCharType="begin"/>
      </w:r>
      <w:r w:rsidR="001A351C">
        <w:instrText xml:space="preserve"> HYPERLINK "https://youdescribe.org" </w:instrText>
      </w:r>
      <w:r w:rsidR="001A351C">
        <w:fldChar w:fldCharType="separate"/>
      </w:r>
      <w:r w:rsidRPr="004C6EA4">
        <w:rPr>
          <w:rStyle w:val="Hyperlink"/>
          <w:rFonts w:cstheme="minorHAnsi"/>
        </w:rPr>
        <w:t>YouDescribe</w:t>
      </w:r>
      <w:proofErr w:type="spellEnd"/>
      <w:r w:rsidR="001A351C">
        <w:rPr>
          <w:rStyle w:val="Hyperlink"/>
          <w:rFonts w:cstheme="minorHAnsi"/>
        </w:rPr>
        <w:fldChar w:fldCharType="end"/>
      </w:r>
      <w:r w:rsidRPr="004C6EA4">
        <w:rPr>
          <w:rFonts w:cstheme="minorHAnsi"/>
        </w:rPr>
        <w:t>.</w:t>
      </w:r>
      <w:r w:rsidR="00300380">
        <w:rPr>
          <w:rFonts w:cstheme="minorHAnsi"/>
        </w:rPr>
        <w:t>”</w:t>
      </w:r>
      <w:r w:rsidR="00076D10" w:rsidRPr="004C6EA4">
        <w:rPr>
          <w:rFonts w:cstheme="minorHAnsi"/>
        </w:rPr>
        <w:t xml:space="preserve"> </w:t>
      </w:r>
      <w:r w:rsidRPr="004C6EA4">
        <w:rPr>
          <w:rFonts w:cstheme="minorHAnsi"/>
        </w:rPr>
        <w:t>Since individuals who are blind cannot see videos, they must rely on audio description. Audio description is basically an extra soundtrack added by a describer so that a viewer who is blind knows what is happening on the screen. Family members, educators, friends</w:t>
      </w:r>
      <w:r w:rsidR="00300380">
        <w:rPr>
          <w:rFonts w:cstheme="minorHAnsi"/>
        </w:rPr>
        <w:t>,</w:t>
      </w:r>
      <w:r w:rsidRPr="004C6EA4">
        <w:rPr>
          <w:rFonts w:cstheme="minorHAnsi"/>
        </w:rPr>
        <w:t xml:space="preserve"> and service providers volunteer to do the descriptions. For more information on how </w:t>
      </w:r>
      <w:proofErr w:type="spellStart"/>
      <w:r w:rsidRPr="004C6EA4">
        <w:rPr>
          <w:rFonts w:cstheme="minorHAnsi"/>
        </w:rPr>
        <w:t>YouDescribe</w:t>
      </w:r>
      <w:proofErr w:type="spellEnd"/>
      <w:r w:rsidRPr="004C6EA4">
        <w:rPr>
          <w:rFonts w:cstheme="minorHAnsi"/>
        </w:rPr>
        <w:t xml:space="preserve"> works, visit their </w:t>
      </w:r>
      <w:hyperlink r:id="rId41" w:history="1">
        <w:r w:rsidRPr="004C6EA4">
          <w:rPr>
            <w:rStyle w:val="Hyperlink"/>
            <w:rFonts w:cstheme="minorHAnsi"/>
          </w:rPr>
          <w:t>support and user information page</w:t>
        </w:r>
      </w:hyperlink>
      <w:r w:rsidRPr="004C6EA4">
        <w:rPr>
          <w:rFonts w:cstheme="minorHAnsi"/>
        </w:rPr>
        <w:t>.</w:t>
      </w:r>
    </w:p>
    <w:p w14:paraId="52BDDC13" w14:textId="77777777" w:rsidR="00D45CA2" w:rsidRDefault="00DF4F87" w:rsidP="0095770E">
      <w:pPr>
        <w:rPr>
          <w:rFonts w:cstheme="minorHAnsi"/>
        </w:rPr>
      </w:pPr>
      <w:proofErr w:type="spellStart"/>
      <w:r w:rsidRPr="004C6EA4">
        <w:rPr>
          <w:rFonts w:cstheme="minorHAnsi"/>
        </w:rPr>
        <w:t>YouDescribe</w:t>
      </w:r>
      <w:proofErr w:type="spellEnd"/>
      <w:r w:rsidRPr="004C6EA4">
        <w:rPr>
          <w:rFonts w:cstheme="minorHAnsi"/>
        </w:rPr>
        <w:t xml:space="preserve"> is generating a lot of excitement. In the past 6 months alone nearly 900 people have opened </w:t>
      </w:r>
      <w:proofErr w:type="spellStart"/>
      <w:r w:rsidRPr="004C6EA4">
        <w:rPr>
          <w:rFonts w:cstheme="minorHAnsi"/>
        </w:rPr>
        <w:t>YouDescribe</w:t>
      </w:r>
      <w:proofErr w:type="spellEnd"/>
      <w:r w:rsidRPr="004C6EA4">
        <w:rPr>
          <w:rFonts w:cstheme="minorHAnsi"/>
        </w:rPr>
        <w:t xml:space="preserve"> accounts</w:t>
      </w:r>
      <w:r w:rsidR="00300380">
        <w:rPr>
          <w:rFonts w:cstheme="minorHAnsi"/>
        </w:rPr>
        <w:t>,</w:t>
      </w:r>
      <w:r w:rsidRPr="004C6EA4">
        <w:rPr>
          <w:rFonts w:cstheme="minorHAnsi"/>
        </w:rPr>
        <w:t xml:space="preserve"> bringing </w:t>
      </w:r>
      <w:r w:rsidR="00300380">
        <w:rPr>
          <w:rFonts w:cstheme="minorHAnsi"/>
        </w:rPr>
        <w:t>the</w:t>
      </w:r>
      <w:r w:rsidR="00300380" w:rsidRPr="004C6EA4">
        <w:rPr>
          <w:rFonts w:cstheme="minorHAnsi"/>
        </w:rPr>
        <w:t xml:space="preserve"> </w:t>
      </w:r>
      <w:r w:rsidRPr="004C6EA4">
        <w:rPr>
          <w:rFonts w:cstheme="minorHAnsi"/>
        </w:rPr>
        <w:t>total to close to 2,500 subscribers</w:t>
      </w:r>
      <w:r w:rsidR="00300380">
        <w:rPr>
          <w:rFonts w:cstheme="minorHAnsi"/>
        </w:rPr>
        <w:t>,</w:t>
      </w:r>
      <w:r w:rsidRPr="004C6EA4">
        <w:rPr>
          <w:rFonts w:cstheme="minorHAnsi"/>
        </w:rPr>
        <w:t xml:space="preserve"> and 600 new, high</w:t>
      </w:r>
      <w:r w:rsidR="00300380">
        <w:rPr>
          <w:rFonts w:cstheme="minorHAnsi"/>
        </w:rPr>
        <w:t>-</w:t>
      </w:r>
      <w:r w:rsidRPr="004C6EA4">
        <w:rPr>
          <w:rFonts w:cstheme="minorHAnsi"/>
        </w:rPr>
        <w:t xml:space="preserve">quality videos have been posted. An interesting short </w:t>
      </w:r>
      <w:proofErr w:type="spellStart"/>
      <w:r w:rsidRPr="004C6EA4">
        <w:rPr>
          <w:rFonts w:cstheme="minorHAnsi"/>
        </w:rPr>
        <w:t>YouDescribe</w:t>
      </w:r>
      <w:proofErr w:type="spellEnd"/>
      <w:r w:rsidRPr="004C6EA4">
        <w:rPr>
          <w:rFonts w:cstheme="minorHAnsi"/>
        </w:rPr>
        <w:t xml:space="preserve"> video is </w:t>
      </w:r>
      <w:hyperlink r:id="rId42" w:history="1">
        <w:r w:rsidRPr="004C6EA4">
          <w:rPr>
            <w:rStyle w:val="Hyperlink"/>
            <w:rFonts w:cstheme="minorHAnsi"/>
          </w:rPr>
          <w:t>the 2017 Solar Eclipse</w:t>
        </w:r>
      </w:hyperlink>
      <w:r w:rsidRPr="004C6EA4">
        <w:rPr>
          <w:rFonts w:cstheme="minorHAnsi"/>
        </w:rPr>
        <w:t xml:space="preserve">. Currently approximately 15 videos are being described per day. Center staff are very active on the </w:t>
      </w:r>
      <w:hyperlink r:id="rId43" w:history="1">
        <w:proofErr w:type="spellStart"/>
        <w:r w:rsidRPr="004C6EA4">
          <w:rPr>
            <w:rStyle w:val="Hyperlink"/>
            <w:rFonts w:cstheme="minorHAnsi"/>
          </w:rPr>
          <w:t>YouDescribe</w:t>
        </w:r>
        <w:proofErr w:type="spellEnd"/>
        <w:r w:rsidRPr="004C6EA4">
          <w:rPr>
            <w:rStyle w:val="Hyperlink"/>
            <w:rFonts w:cstheme="minorHAnsi"/>
          </w:rPr>
          <w:t xml:space="preserve"> twitter account</w:t>
        </w:r>
      </w:hyperlink>
      <w:r w:rsidR="00300380">
        <w:rPr>
          <w:rFonts w:cstheme="minorHAnsi"/>
        </w:rPr>
        <w:t xml:space="preserve">, </w:t>
      </w:r>
      <w:r w:rsidRPr="004C6EA4">
        <w:rPr>
          <w:rFonts w:cstheme="minorHAnsi"/>
        </w:rPr>
        <w:t xml:space="preserve">keeping </w:t>
      </w:r>
      <w:proofErr w:type="spellStart"/>
      <w:r w:rsidRPr="004C6EA4">
        <w:rPr>
          <w:rFonts w:cstheme="minorHAnsi"/>
        </w:rPr>
        <w:t>YouDescribe</w:t>
      </w:r>
      <w:proofErr w:type="spellEnd"/>
      <w:r w:rsidRPr="004C6EA4">
        <w:rPr>
          <w:rFonts w:cstheme="minorHAnsi"/>
        </w:rPr>
        <w:t xml:space="preserve"> viewers abreast of exceptional content from volunteers.</w:t>
      </w:r>
    </w:p>
    <w:p w14:paraId="58B0A93B" w14:textId="77777777" w:rsidR="00D45CA2" w:rsidRDefault="00DF4F87" w:rsidP="0095770E">
      <w:pPr>
        <w:rPr>
          <w:rFonts w:cstheme="minorHAnsi"/>
        </w:rPr>
      </w:pPr>
      <w:r w:rsidRPr="004C6EA4">
        <w:rPr>
          <w:rFonts w:cstheme="minorHAnsi"/>
        </w:rPr>
        <w:t xml:space="preserve">Center staff also maintain a </w:t>
      </w:r>
      <w:hyperlink r:id="rId44" w:history="1">
        <w:proofErr w:type="spellStart"/>
        <w:r w:rsidRPr="004C6EA4">
          <w:rPr>
            <w:rStyle w:val="Hyperlink"/>
            <w:rFonts w:cstheme="minorHAnsi"/>
          </w:rPr>
          <w:t>YouDescribe</w:t>
        </w:r>
        <w:proofErr w:type="spellEnd"/>
        <w:r w:rsidRPr="004C6EA4">
          <w:rPr>
            <w:rStyle w:val="Hyperlink"/>
            <w:rFonts w:cstheme="minorHAnsi"/>
          </w:rPr>
          <w:t xml:space="preserve"> Facebook</w:t>
        </w:r>
      </w:hyperlink>
      <w:r w:rsidRPr="004C6EA4">
        <w:rPr>
          <w:rFonts w:cstheme="minorHAnsi"/>
        </w:rPr>
        <w:t xml:space="preserve"> page</w:t>
      </w:r>
      <w:r w:rsidR="00667D3A">
        <w:rPr>
          <w:rFonts w:cstheme="minorHAnsi"/>
        </w:rPr>
        <w:t>,</w:t>
      </w:r>
      <w:r w:rsidRPr="004C6EA4">
        <w:rPr>
          <w:rFonts w:cstheme="minorHAnsi"/>
        </w:rPr>
        <w:t xml:space="preserve"> which highlights great audio description, presents mini tutorials, and posts articles about audio description in general. This structure creates a community of practice for teachers and keeps them growing as audio describers in and out of the classroom. One volunteer describer recently used </w:t>
      </w:r>
      <w:proofErr w:type="spellStart"/>
      <w:r w:rsidRPr="004C6EA4">
        <w:rPr>
          <w:rFonts w:cstheme="minorHAnsi"/>
        </w:rPr>
        <w:t>YouDescribe</w:t>
      </w:r>
      <w:proofErr w:type="spellEnd"/>
      <w:r w:rsidRPr="004C6EA4">
        <w:rPr>
          <w:rFonts w:cstheme="minorHAnsi"/>
        </w:rPr>
        <w:t xml:space="preserve"> to hone her skills and build a portfolio of excellent described videos</w:t>
      </w:r>
      <w:r w:rsidR="00667D3A">
        <w:rPr>
          <w:rFonts w:cstheme="minorHAnsi"/>
        </w:rPr>
        <w:t>,</w:t>
      </w:r>
      <w:r w:rsidRPr="004C6EA4">
        <w:rPr>
          <w:rFonts w:cstheme="minorHAnsi"/>
        </w:rPr>
        <w:t xml:space="preserve"> which she was then able to use to apply for and obtain a job as a professional describer for </w:t>
      </w:r>
      <w:proofErr w:type="spellStart"/>
      <w:r w:rsidRPr="004C6EA4">
        <w:rPr>
          <w:rFonts w:cstheme="minorHAnsi"/>
        </w:rPr>
        <w:t>CaptionMax</w:t>
      </w:r>
      <w:proofErr w:type="spellEnd"/>
      <w:r w:rsidRPr="004C6EA4">
        <w:rPr>
          <w:rFonts w:cstheme="minorHAnsi"/>
        </w:rPr>
        <w:t xml:space="preserve">. This is one of the </w:t>
      </w:r>
      <w:r w:rsidRPr="004C6EA4">
        <w:rPr>
          <w:rFonts w:cstheme="minorHAnsi"/>
        </w:rPr>
        <w:lastRenderedPageBreak/>
        <w:t>largest providers of closed captioning and media access in the U</w:t>
      </w:r>
      <w:r w:rsidR="00667D3A">
        <w:rPr>
          <w:rFonts w:cstheme="minorHAnsi"/>
        </w:rPr>
        <w:t>.</w:t>
      </w:r>
      <w:r w:rsidRPr="004C6EA4">
        <w:rPr>
          <w:rFonts w:cstheme="minorHAnsi"/>
        </w:rPr>
        <w:t>S</w:t>
      </w:r>
      <w:r w:rsidR="00667D3A">
        <w:rPr>
          <w:rFonts w:cstheme="minorHAnsi"/>
        </w:rPr>
        <w:t>.</w:t>
      </w:r>
      <w:r w:rsidRPr="004C6EA4">
        <w:rPr>
          <w:rFonts w:cstheme="minorHAnsi"/>
        </w:rPr>
        <w:t>, whose clients include Warner Brothers Television, NBC Universal, and Sony Pictures Entertainment.</w:t>
      </w:r>
    </w:p>
    <w:p w14:paraId="0C591E98" w14:textId="77777777" w:rsidR="00D45CA2" w:rsidRDefault="00DF4F87" w:rsidP="0095770E">
      <w:pPr>
        <w:rPr>
          <w:rFonts w:cstheme="minorHAnsi"/>
        </w:rPr>
      </w:pPr>
      <w:r w:rsidRPr="004C6EA4">
        <w:rPr>
          <w:rFonts w:cstheme="minorHAnsi"/>
        </w:rPr>
        <w:t xml:space="preserve">Finally, third-party websites are citing and talking about </w:t>
      </w:r>
      <w:proofErr w:type="spellStart"/>
      <w:r w:rsidRPr="004C6EA4">
        <w:rPr>
          <w:rFonts w:cstheme="minorHAnsi"/>
        </w:rPr>
        <w:t>YouDescribe</w:t>
      </w:r>
      <w:proofErr w:type="spellEnd"/>
      <w:r w:rsidRPr="004C6EA4">
        <w:rPr>
          <w:rFonts w:cstheme="minorHAnsi"/>
        </w:rPr>
        <w:t>. Examples include but are not limited to:</w:t>
      </w:r>
    </w:p>
    <w:p w14:paraId="51F75EBF" w14:textId="77777777" w:rsidR="00D45CA2" w:rsidRDefault="00D1293B" w:rsidP="002E6495">
      <w:pPr>
        <w:pStyle w:val="ListParagraph"/>
        <w:rPr>
          <w:rFonts w:cstheme="minorHAnsi"/>
        </w:rPr>
      </w:pPr>
      <w:hyperlink r:id="rId45" w:history="1">
        <w:r w:rsidR="00DF4F87" w:rsidRPr="0095770E">
          <w:rPr>
            <w:rStyle w:val="Hyperlink"/>
            <w:rFonts w:cstheme="minorHAnsi"/>
          </w:rPr>
          <w:t xml:space="preserve">Perkins School for the Blind Review of </w:t>
        </w:r>
        <w:proofErr w:type="spellStart"/>
        <w:r w:rsidR="00DF4F87" w:rsidRPr="0095770E">
          <w:rPr>
            <w:rStyle w:val="Hyperlink"/>
            <w:rFonts w:cstheme="minorHAnsi"/>
          </w:rPr>
          <w:t>YouDescribe</w:t>
        </w:r>
        <w:proofErr w:type="spellEnd"/>
      </w:hyperlink>
    </w:p>
    <w:p w14:paraId="19FAA1B3" w14:textId="77777777" w:rsidR="00D45CA2" w:rsidRDefault="00D1293B" w:rsidP="002E6495">
      <w:pPr>
        <w:pStyle w:val="ListParagraph"/>
      </w:pPr>
      <w:hyperlink r:id="rId46" w:history="1">
        <w:r w:rsidR="00DF4F87" w:rsidRPr="0095770E">
          <w:rPr>
            <w:rStyle w:val="Hyperlink"/>
            <w:rFonts w:cstheme="minorHAnsi"/>
          </w:rPr>
          <w:t>Media Access of Australia</w:t>
        </w:r>
        <w:r w:rsidR="00667D3A" w:rsidRPr="0095770E">
          <w:rPr>
            <w:rStyle w:val="Hyperlink"/>
            <w:rFonts w:cstheme="minorHAnsi"/>
          </w:rPr>
          <w:t xml:space="preserve"> </w:t>
        </w:r>
        <w:r w:rsidR="00DF4F87" w:rsidRPr="0095770E">
          <w:rPr>
            <w:rStyle w:val="Hyperlink"/>
            <w:rFonts w:cstheme="minorHAnsi"/>
          </w:rPr>
          <w:t>—</w:t>
        </w:r>
        <w:r w:rsidR="00667D3A" w:rsidRPr="0095770E">
          <w:rPr>
            <w:rStyle w:val="Hyperlink"/>
            <w:rFonts w:cstheme="minorHAnsi"/>
          </w:rPr>
          <w:t xml:space="preserve"> </w:t>
        </w:r>
        <w:r w:rsidR="00DF4F87" w:rsidRPr="0095770E">
          <w:rPr>
            <w:rStyle w:val="Hyperlink"/>
            <w:rFonts w:cstheme="minorHAnsi"/>
          </w:rPr>
          <w:t>How to Audio Describe a YouTube Video</w:t>
        </w:r>
      </w:hyperlink>
    </w:p>
    <w:p w14:paraId="3F1A217A" w14:textId="77777777" w:rsidR="00D45CA2" w:rsidRDefault="00DF4F87" w:rsidP="006D1AD5">
      <w:pPr>
        <w:pStyle w:val="Heading4"/>
        <w:rPr>
          <w:rStyle w:val="Underline"/>
        </w:rPr>
      </w:pPr>
      <w:r w:rsidRPr="009804A1">
        <w:rPr>
          <w:rStyle w:val="Underline"/>
        </w:rPr>
        <w:t xml:space="preserve">Progressive Employment </w:t>
      </w:r>
      <w:r w:rsidR="00667D3A" w:rsidRPr="009804A1">
        <w:rPr>
          <w:rStyle w:val="Underline"/>
        </w:rPr>
        <w:t xml:space="preserve">(PE) </w:t>
      </w:r>
      <w:r w:rsidRPr="009804A1">
        <w:rPr>
          <w:rStyle w:val="Underline"/>
        </w:rPr>
        <w:t>Fidelity of Implementation Toolkit May Help States Correctly Implement</w:t>
      </w:r>
      <w:r w:rsidR="00667D3A" w:rsidRPr="009804A1">
        <w:rPr>
          <w:rStyle w:val="Underline"/>
        </w:rPr>
        <w:t xml:space="preserve"> </w:t>
      </w:r>
      <w:r w:rsidRPr="009804A1">
        <w:rPr>
          <w:rStyle w:val="Underline"/>
        </w:rPr>
        <w:t>PE</w:t>
      </w:r>
    </w:p>
    <w:p w14:paraId="688309CD" w14:textId="77777777" w:rsidR="00D45CA2" w:rsidRDefault="00DF4F87" w:rsidP="00D45CA2">
      <w:r w:rsidRPr="00ED02C6">
        <w:t>There is a critical need for innovation to ensure that persons with disabilities who have multiple work barriers, limited work skills or educational credentials, and who may have a need for intensive work experience opportunities are not left out of a system-wide initiative to align public employment services with business needs.</w:t>
      </w:r>
    </w:p>
    <w:p w14:paraId="061BFE6E" w14:textId="6F97CB45" w:rsidR="00D45CA2" w:rsidRDefault="00DF4F87" w:rsidP="0095770E">
      <w:r>
        <w:t xml:space="preserve">One potentially innovative model that can address this critical situation is known as the </w:t>
      </w:r>
      <w:hyperlink r:id="rId47" w:history="1">
        <w:r w:rsidRPr="006426B2">
          <w:rPr>
            <w:rStyle w:val="Hyperlink"/>
          </w:rPr>
          <w:t>PE Model</w:t>
        </w:r>
      </w:hyperlink>
      <w:r>
        <w:t xml:space="preserve">. </w:t>
      </w:r>
      <w:r w:rsidR="00C95D1B">
        <w:t>R</w:t>
      </w:r>
      <w:r>
        <w:t>esearchers wrote the first peer-previewed publication on PE. The citation for this publication is below:</w:t>
      </w:r>
    </w:p>
    <w:p w14:paraId="7AFC6639" w14:textId="77777777" w:rsidR="00D45CA2" w:rsidRDefault="001F6BE6" w:rsidP="00002EE3">
      <w:pPr>
        <w:pStyle w:val="Reference"/>
      </w:pPr>
      <w:r w:rsidRPr="00656F3F">
        <w:t>Moore, D., Haines, K., Bradshaw, H., Porter, A., Smith, J., &amp; Foley, S</w:t>
      </w:r>
      <w:r>
        <w:t>.</w:t>
      </w:r>
      <w:r w:rsidRPr="00656F3F">
        <w:t xml:space="preserve"> (2018). Development of the Progressive Employment dual customer model for vocational rehabilitation. </w:t>
      </w:r>
      <w:r w:rsidRPr="00D45CA2">
        <w:rPr>
          <w:rStyle w:val="Emphasis"/>
        </w:rPr>
        <w:t>Journal of Vocational Rehabilitation, 49</w:t>
      </w:r>
      <w:r>
        <w:t>(2), 149</w:t>
      </w:r>
      <w:r>
        <w:rPr>
          <w:rFonts w:cstheme="minorHAnsi"/>
        </w:rPr>
        <w:t>–</w:t>
      </w:r>
      <w:r>
        <w:t xml:space="preserve">160. </w:t>
      </w:r>
      <w:hyperlink r:id="rId48" w:history="1">
        <w:r w:rsidRPr="009615E4">
          <w:rPr>
            <w:rStyle w:val="Hyperlink"/>
          </w:rPr>
          <w:t xml:space="preserve">View </w:t>
        </w:r>
        <w:r>
          <w:rPr>
            <w:rStyle w:val="Hyperlink"/>
          </w:rPr>
          <w:t>a</w:t>
        </w:r>
        <w:r w:rsidRPr="009615E4">
          <w:rPr>
            <w:rStyle w:val="Hyperlink"/>
          </w:rPr>
          <w:t>bstract</w:t>
        </w:r>
      </w:hyperlink>
      <w:r>
        <w:t>.</w:t>
      </w:r>
    </w:p>
    <w:p w14:paraId="3FEA959D" w14:textId="2D5E1539" w:rsidR="00D45CA2" w:rsidRDefault="00DF4F87" w:rsidP="0095770E">
      <w:r>
        <w:t xml:space="preserve">Moreover, </w:t>
      </w:r>
      <w:r w:rsidR="00C95D1B">
        <w:t>R</w:t>
      </w:r>
      <w:r>
        <w:t xml:space="preserve">esearchers at the University of Massachusetts at Boston, working on a </w:t>
      </w:r>
      <w:r w:rsidR="001D732D">
        <w:t>3</w:t>
      </w:r>
      <w:r>
        <w:t>-year grant entitled</w:t>
      </w:r>
      <w:r w:rsidRPr="00F41EED">
        <w:t xml:space="preserve"> </w:t>
      </w:r>
      <w:hyperlink r:id="rId49" w:history="1">
        <w:r w:rsidRPr="00F41EED">
          <w:rPr>
            <w:rStyle w:val="Hyperlink"/>
          </w:rPr>
          <w:t>Progressive Employment for Individuals with the Most Significant Disabilities</w:t>
        </w:r>
      </w:hyperlink>
      <w:r>
        <w:t xml:space="preserve">, have developed a Progressive Employment Fidelity of Implementation Toolkit. The Toolkit provides: </w:t>
      </w:r>
      <w:r w:rsidR="00C81E90">
        <w:t>(</w:t>
      </w:r>
      <w:r>
        <w:t xml:space="preserve">1) an overview of the PE </w:t>
      </w:r>
      <w:r w:rsidR="00C81E90">
        <w:t>M</w:t>
      </w:r>
      <w:r>
        <w:t xml:space="preserve">odel; </w:t>
      </w:r>
      <w:r w:rsidR="00C81E90">
        <w:t>(</w:t>
      </w:r>
      <w:r>
        <w:t xml:space="preserve">2) </w:t>
      </w:r>
      <w:r w:rsidR="00C81E90">
        <w:t>d</w:t>
      </w:r>
      <w:r>
        <w:t xml:space="preserve">efinition of terms; </w:t>
      </w:r>
      <w:r w:rsidR="00C81E90">
        <w:t>(</w:t>
      </w:r>
      <w:r>
        <w:t xml:space="preserve">3) </w:t>
      </w:r>
      <w:r w:rsidR="00C81E90">
        <w:t>k</w:t>
      </w:r>
      <w:r>
        <w:t xml:space="preserve">ey </w:t>
      </w:r>
      <w:r w:rsidR="00C81E90">
        <w:t>p</w:t>
      </w:r>
      <w:r>
        <w:t xml:space="preserve">rinciples of PE; </w:t>
      </w:r>
      <w:r w:rsidR="00C81E90">
        <w:t>(</w:t>
      </w:r>
      <w:r>
        <w:t xml:space="preserve">4) </w:t>
      </w:r>
      <w:r w:rsidR="00C81E90">
        <w:t>p</w:t>
      </w:r>
      <w:r>
        <w:t xml:space="preserve">rerequisites for operationalizing PE; and </w:t>
      </w:r>
      <w:r w:rsidR="00C81E90">
        <w:t xml:space="preserve">(5) </w:t>
      </w:r>
      <w:r>
        <w:t xml:space="preserve">the revised Fidelity of Implementation Measurement Tool (version 4.3). </w:t>
      </w:r>
      <w:r w:rsidR="00C81E90">
        <w:t xml:space="preserve">This Toolkit is important because it can </w:t>
      </w:r>
      <w:r w:rsidR="00C81E90" w:rsidRPr="00C76A1A">
        <w:t xml:space="preserve">be used to </w:t>
      </w:r>
      <w:r w:rsidR="00C81E90">
        <w:t>guide implementation of the PE M</w:t>
      </w:r>
      <w:r w:rsidR="00C81E90" w:rsidRPr="00C76A1A">
        <w:t xml:space="preserve">odel in a variety of settings and provide </w:t>
      </w:r>
      <w:r w:rsidR="00C81E90">
        <w:t xml:space="preserve">a </w:t>
      </w:r>
      <w:r w:rsidR="00C81E90" w:rsidRPr="00C76A1A">
        <w:t>quantitative measurement (score) of fidelity to the key model components to inform research and practice.</w:t>
      </w:r>
      <w:r w:rsidR="00C81E90">
        <w:t xml:space="preserve"> </w:t>
      </w:r>
      <w:r>
        <w:t xml:space="preserve">The </w:t>
      </w:r>
      <w:hyperlink r:id="rId50" w:history="1">
        <w:r w:rsidRPr="00134B05">
          <w:rPr>
            <w:rStyle w:val="Hyperlink"/>
          </w:rPr>
          <w:t>PE Learning Collaborative</w:t>
        </w:r>
      </w:hyperlink>
      <w:r>
        <w:t xml:space="preserve"> has informed the development of th</w:t>
      </w:r>
      <w:r w:rsidR="00C81E90">
        <w:t>e</w:t>
      </w:r>
      <w:r>
        <w:t xml:space="preserve"> </w:t>
      </w:r>
      <w:r w:rsidR="00C81E90">
        <w:t>T</w:t>
      </w:r>
      <w:r>
        <w:t>oolkit through site visits, Learning Collaborative meetings, and by direct input.</w:t>
      </w:r>
    </w:p>
    <w:p w14:paraId="257A7A15" w14:textId="27543466" w:rsidR="00D45CA2" w:rsidRDefault="00DF4F87" w:rsidP="0095770E">
      <w:r>
        <w:t xml:space="preserve">This fidelity of </w:t>
      </w:r>
      <w:r w:rsidR="00FC7438">
        <w:t>implementation t</w:t>
      </w:r>
      <w:r>
        <w:t xml:space="preserve">oolkit is not widely available yet. However, the </w:t>
      </w:r>
      <w:r w:rsidR="0068527C">
        <w:t>T</w:t>
      </w:r>
      <w:r w:rsidRPr="00F37239">
        <w:t>ool</w:t>
      </w:r>
      <w:r>
        <w:t>kit</w:t>
      </w:r>
      <w:r w:rsidRPr="00F37239">
        <w:t xml:space="preserve"> has been shared with </w:t>
      </w:r>
      <w:hyperlink r:id="rId51" w:history="1">
        <w:r w:rsidRPr="00DD3B68">
          <w:rPr>
            <w:rStyle w:val="Hyperlink"/>
          </w:rPr>
          <w:t xml:space="preserve">researchers at </w:t>
        </w:r>
        <w:r w:rsidR="00BF1C02" w:rsidRPr="00BF1C02">
          <w:rPr>
            <w:rStyle w:val="Hyperlink"/>
          </w:rPr>
          <w:t>the American Institutes for Research</w:t>
        </w:r>
        <w:r w:rsidR="00BF1C02">
          <w:rPr>
            <w:rStyle w:val="Hyperlink"/>
          </w:rPr>
          <w:t xml:space="preserve"> </w:t>
        </w:r>
        <w:r w:rsidRPr="00DD3B68">
          <w:rPr>
            <w:rStyle w:val="Hyperlink"/>
          </w:rPr>
          <w:t>(under Maine’s Work-Based Learning grant)</w:t>
        </w:r>
      </w:hyperlink>
      <w:r w:rsidRPr="00F37239">
        <w:t xml:space="preserve"> as well as </w:t>
      </w:r>
      <w:hyperlink r:id="rId52" w:history="1">
        <w:r w:rsidRPr="00DD3B68">
          <w:rPr>
            <w:rStyle w:val="Hyperlink"/>
          </w:rPr>
          <w:t>Mathematica Policy Research</w:t>
        </w:r>
      </w:hyperlink>
      <w:r w:rsidRPr="00F37239">
        <w:t xml:space="preserve"> current and former staff</w:t>
      </w:r>
      <w:r>
        <w:t>.</w:t>
      </w:r>
      <w:r w:rsidRPr="00F37239">
        <w:t xml:space="preserve"> </w:t>
      </w:r>
      <w:r w:rsidR="0068527C">
        <w:t>It</w:t>
      </w:r>
      <w:r w:rsidRPr="00F37239">
        <w:t xml:space="preserve"> was also shared with state VR agencies implementing PE.</w:t>
      </w:r>
      <w:r>
        <w:t xml:space="preserve"> Examples of states implementing PE include but are not limited to </w:t>
      </w:r>
      <w:hyperlink r:id="rId53" w:history="1">
        <w:r w:rsidRPr="00E679B2">
          <w:rPr>
            <w:rStyle w:val="Hyperlink"/>
          </w:rPr>
          <w:t>Maine</w:t>
        </w:r>
      </w:hyperlink>
      <w:r>
        <w:t xml:space="preserve"> and </w:t>
      </w:r>
      <w:hyperlink r:id="rId54" w:history="1">
        <w:r w:rsidRPr="00E679B2">
          <w:rPr>
            <w:rStyle w:val="Hyperlink"/>
          </w:rPr>
          <w:t>Vermont</w:t>
        </w:r>
      </w:hyperlink>
      <w:r>
        <w:t xml:space="preserve">. </w:t>
      </w:r>
    </w:p>
    <w:p w14:paraId="66AA4D7F" w14:textId="33FA32E6" w:rsidR="00D45CA2" w:rsidRDefault="00DF4F87" w:rsidP="0095770E">
      <w:r>
        <w:lastRenderedPageBreak/>
        <w:t xml:space="preserve">In Maine, a contractor </w:t>
      </w:r>
      <w:r w:rsidR="00BF1C02">
        <w:t xml:space="preserve">is using the Toolkit </w:t>
      </w:r>
      <w:r>
        <w:t xml:space="preserve">to inform the </w:t>
      </w:r>
      <w:r w:rsidRPr="00B00504">
        <w:t>current evaluation of PE expansion</w:t>
      </w:r>
      <w:r>
        <w:t xml:space="preserve"> within the state</w:t>
      </w:r>
      <w:r w:rsidRPr="00B00504">
        <w:t xml:space="preserve">. VR </w:t>
      </w:r>
      <w:r w:rsidR="0068527C">
        <w:t>a</w:t>
      </w:r>
      <w:r w:rsidRPr="00B00504">
        <w:t>gencies may use the tool to assess fidelity of implementation across area offices/statewide. VR agencies can review measurement indicators and provide or request additional training in content areas related to PE implementation strategies</w:t>
      </w:r>
      <w:r>
        <w:t>.</w:t>
      </w:r>
    </w:p>
    <w:p w14:paraId="2E6BE11F" w14:textId="77777777" w:rsidR="00D45CA2" w:rsidRDefault="00DF4F87" w:rsidP="0095770E">
      <w:r>
        <w:t xml:space="preserve">These examples of current uses of the </w:t>
      </w:r>
      <w:r w:rsidR="00BF1C02">
        <w:t>T</w:t>
      </w:r>
      <w:r>
        <w:t xml:space="preserve">oolkit, as well as other future uses, will help to ensure that the PE Model is being implemented as intended. </w:t>
      </w:r>
      <w:r w:rsidR="00BF1C02">
        <w:t xml:space="preserve">Ultimately, </w:t>
      </w:r>
      <w:r>
        <w:t xml:space="preserve">implementing PE as intended will help </w:t>
      </w:r>
      <w:r w:rsidR="00FC7438">
        <w:t xml:space="preserve">maximize employment outcomes among </w:t>
      </w:r>
      <w:r>
        <w:t>people with disabilities who face multiple work barriers, have a limited set of work skills, and limited educational credentials.</w:t>
      </w:r>
    </w:p>
    <w:p w14:paraId="7BA82FE2" w14:textId="77777777" w:rsidR="00D45CA2" w:rsidRDefault="00BB398E" w:rsidP="006D1AD5">
      <w:pPr>
        <w:pStyle w:val="Heading4"/>
        <w:rPr>
          <w:rStyle w:val="Underline"/>
        </w:rPr>
      </w:pPr>
      <w:r w:rsidRPr="009804A1">
        <w:rPr>
          <w:rStyle w:val="Underline"/>
        </w:rPr>
        <w:t>Anti-Stigma Curriculum Helps Veterans with Psychiatric Disabilities in California and Massachusetts</w:t>
      </w:r>
    </w:p>
    <w:p w14:paraId="7E41F832" w14:textId="193D7907" w:rsidR="00D45CA2" w:rsidRDefault="00BB398E" w:rsidP="0095770E">
      <w:r>
        <w:t>NIDI</w:t>
      </w:r>
      <w:r w:rsidR="00074785">
        <w:t>L</w:t>
      </w:r>
      <w:r>
        <w:t xml:space="preserve">RR-funded </w:t>
      </w:r>
      <w:hyperlink r:id="rId55" w:history="1">
        <w:r w:rsidRPr="00EB60DC">
          <w:rPr>
            <w:rStyle w:val="Hyperlink"/>
          </w:rPr>
          <w:t>researchers at Boston University’s Center for Psychiatric Rehabilitation</w:t>
        </w:r>
      </w:hyperlink>
      <w:r>
        <w:t xml:space="preserve"> have been working on </w:t>
      </w:r>
      <w:r w:rsidR="00FC7438">
        <w:t xml:space="preserve">interventions to reduce feelings of stigma among people with psychiatric disabilities.  </w:t>
      </w:r>
    </w:p>
    <w:p w14:paraId="17911BE4" w14:textId="50178BEB" w:rsidR="00A56331" w:rsidRDefault="00BB398E" w:rsidP="0095770E">
      <w:r>
        <w:t xml:space="preserve">In a previous funding cycle, these researchers developed and tested the </w:t>
      </w:r>
      <w:hyperlink r:id="rId56" w:history="1">
        <w:r w:rsidRPr="00CB45AF">
          <w:rPr>
            <w:rStyle w:val="Hyperlink"/>
          </w:rPr>
          <w:t>Anti-Stigma Photovoice Curriculum</w:t>
        </w:r>
      </w:hyperlink>
      <w:r>
        <w:t xml:space="preserve"> with individuals with psychiatric disabilities.</w:t>
      </w:r>
      <w:r w:rsidR="004F150F">
        <w:t xml:space="preserve"> </w:t>
      </w:r>
      <w:r>
        <w:t>News of this anti-stigma curriculum has spread</w:t>
      </w:r>
      <w:r w:rsidR="008F48F3">
        <w:t>,</w:t>
      </w:r>
      <w:r>
        <w:t xml:space="preserve"> and clinicians in the </w:t>
      </w:r>
      <w:r w:rsidR="006F62CA">
        <w:t xml:space="preserve">Department of Veterans Affairs </w:t>
      </w:r>
      <w:r w:rsidR="00BC17A1">
        <w:t xml:space="preserve">(VA) </w:t>
      </w:r>
      <w:r w:rsidR="006F62CA">
        <w:t>health system</w:t>
      </w:r>
      <w:r w:rsidR="00BC17A1">
        <w:t xml:space="preserve">s </w:t>
      </w:r>
      <w:r>
        <w:t xml:space="preserve">in Massachusetts and California are currently using it to treat stigma and internalized stigma among veterans. For more information on how the curriculum is being used by the </w:t>
      </w:r>
      <w:r w:rsidR="00BC17A1">
        <w:t xml:space="preserve">VA </w:t>
      </w:r>
      <w:r>
        <w:t>Palo Alto</w:t>
      </w:r>
      <w:r w:rsidR="00BC17A1">
        <w:t xml:space="preserve"> health care system </w:t>
      </w:r>
      <w:r>
        <w:t xml:space="preserve">in California, email </w:t>
      </w:r>
      <w:hyperlink r:id="rId57" w:history="1">
        <w:r w:rsidRPr="005F34C5">
          <w:rPr>
            <w:rStyle w:val="Hyperlink"/>
          </w:rPr>
          <w:t xml:space="preserve">Dr. </w:t>
        </w:r>
        <w:proofErr w:type="spellStart"/>
        <w:r w:rsidRPr="005F34C5">
          <w:rPr>
            <w:rStyle w:val="Hyperlink"/>
          </w:rPr>
          <w:t>DiAnn</w:t>
        </w:r>
        <w:proofErr w:type="spellEnd"/>
        <w:r w:rsidRPr="005F34C5">
          <w:rPr>
            <w:rStyle w:val="Hyperlink"/>
          </w:rPr>
          <w:t xml:space="preserve"> Aiello</w:t>
        </w:r>
      </w:hyperlink>
      <w:r>
        <w:t xml:space="preserve">, </w:t>
      </w:r>
      <w:r w:rsidR="008F48F3">
        <w:t>p</w:t>
      </w:r>
      <w:r w:rsidRPr="00D81334">
        <w:t xml:space="preserve">sychologist and </w:t>
      </w:r>
      <w:r w:rsidR="008F48F3">
        <w:t>l</w:t>
      </w:r>
      <w:r w:rsidRPr="00D81334">
        <w:t xml:space="preserve">ocal </w:t>
      </w:r>
      <w:r w:rsidR="008F48F3">
        <w:t>r</w:t>
      </w:r>
      <w:r w:rsidRPr="00D81334">
        <w:t xml:space="preserve">ecovery </w:t>
      </w:r>
      <w:r w:rsidR="008F48F3">
        <w:t>c</w:t>
      </w:r>
      <w:r w:rsidRPr="00D81334">
        <w:t>oordinator</w:t>
      </w:r>
      <w:r>
        <w:t xml:space="preserve">. For more information on how the curriculum is being used by the </w:t>
      </w:r>
      <w:r w:rsidR="00BC17A1">
        <w:t>VA he</w:t>
      </w:r>
      <w:r>
        <w:t xml:space="preserve">alth care system in Massachusetts and other states, email </w:t>
      </w:r>
      <w:hyperlink r:id="rId58" w:history="1">
        <w:r w:rsidRPr="005F34C5">
          <w:rPr>
            <w:rStyle w:val="Hyperlink"/>
          </w:rPr>
          <w:t xml:space="preserve">Dr. </w:t>
        </w:r>
        <w:proofErr w:type="spellStart"/>
        <w:r w:rsidRPr="005F34C5">
          <w:rPr>
            <w:rStyle w:val="Hyperlink"/>
          </w:rPr>
          <w:t>Zlatka</w:t>
        </w:r>
        <w:proofErr w:type="spellEnd"/>
        <w:r w:rsidRPr="005F34C5">
          <w:rPr>
            <w:rStyle w:val="Hyperlink"/>
          </w:rPr>
          <w:t xml:space="preserve"> </w:t>
        </w:r>
        <w:proofErr w:type="spellStart"/>
        <w:r w:rsidRPr="005F34C5">
          <w:rPr>
            <w:rStyle w:val="Hyperlink"/>
          </w:rPr>
          <w:t>Russinova</w:t>
        </w:r>
        <w:proofErr w:type="spellEnd"/>
      </w:hyperlink>
      <w:r>
        <w:t>, a staff member at Boston University’s Center for Psychiatric Rehabilitation.</w:t>
      </w:r>
    </w:p>
    <w:sectPr w:rsidR="00A56331" w:rsidSect="002B0901">
      <w:footerReference w:type="default" r:id="rId59"/>
      <w:head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AEEE" w14:textId="77777777" w:rsidR="00D1293B" w:rsidRDefault="00D1293B" w:rsidP="00A70A15">
      <w:pPr>
        <w:spacing w:after="0" w:line="240" w:lineRule="auto"/>
      </w:pPr>
      <w:r>
        <w:separator/>
      </w:r>
    </w:p>
  </w:endnote>
  <w:endnote w:type="continuationSeparator" w:id="0">
    <w:p w14:paraId="7A4F4D20" w14:textId="77777777" w:rsidR="00D1293B" w:rsidRDefault="00D1293B" w:rsidP="00A7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30F8" w14:textId="4831DB6A" w:rsidR="006C27A7" w:rsidRPr="002B0901" w:rsidRDefault="006C27A7" w:rsidP="002B0901">
    <w:pPr>
      <w:pStyle w:val="Footer"/>
      <w:jc w:val="right"/>
      <w:rPr>
        <w:rFonts w:asciiTheme="majorHAnsi" w:hAnsiTheme="majorHAnsi" w:cstheme="majorHAnsi"/>
        <w:sz w:val="32"/>
        <w:szCs w:val="32"/>
      </w:rPr>
    </w:pPr>
    <w:r>
      <w:rPr>
        <w:rFonts w:asciiTheme="majorHAnsi" w:hAnsiTheme="majorHAnsi" w:cstheme="majorHAnsi"/>
        <w:noProof/>
        <w:sz w:val="32"/>
        <w:szCs w:val="32"/>
      </w:rPr>
      <mc:AlternateContent>
        <mc:Choice Requires="wps">
          <w:drawing>
            <wp:anchor distT="0" distB="0" distL="114300" distR="114300" simplePos="0" relativeHeight="251659264" behindDoc="0" locked="0" layoutInCell="1" allowOverlap="1" wp14:anchorId="67779873" wp14:editId="722069DD">
              <wp:simplePos x="0" y="0"/>
              <wp:positionH relativeFrom="column">
                <wp:posOffset>0</wp:posOffset>
              </wp:positionH>
              <wp:positionV relativeFrom="paragraph">
                <wp:posOffset>-38100</wp:posOffset>
              </wp:positionV>
              <wp:extent cx="5943600" cy="0"/>
              <wp:effectExtent l="0" t="12700" r="1270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A82FD" id="Straight Connector 6"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" strokecolor="#4472c4 [3208]" strokeweight="2.25pt">
              <v:stroke joinstyle="miter"/>
            </v:line>
          </w:pict>
        </mc:Fallback>
      </mc:AlternateContent>
    </w:r>
    <w:sdt>
      <w:sdtPr>
        <w:rPr>
          <w:rFonts w:asciiTheme="majorHAnsi" w:hAnsiTheme="majorHAnsi" w:cstheme="majorHAnsi"/>
          <w:sz w:val="32"/>
          <w:szCs w:val="32"/>
        </w:rPr>
        <w:id w:val="-1500033281"/>
        <w:docPartObj>
          <w:docPartGallery w:val="Page Numbers (Bottom of Page)"/>
          <w:docPartUnique/>
        </w:docPartObj>
      </w:sdtPr>
      <w:sdtEndPr>
        <w:rPr>
          <w:noProof/>
        </w:rPr>
      </w:sdtEndPr>
      <w:sdtContent>
        <w:r w:rsidRPr="002B0901">
          <w:rPr>
            <w:rFonts w:asciiTheme="majorHAnsi" w:hAnsiTheme="majorHAnsi" w:cstheme="majorHAnsi"/>
            <w:sz w:val="32"/>
            <w:szCs w:val="32"/>
          </w:rPr>
          <w:fldChar w:fldCharType="begin"/>
        </w:r>
        <w:r w:rsidRPr="002B0901">
          <w:rPr>
            <w:rFonts w:asciiTheme="majorHAnsi" w:hAnsiTheme="majorHAnsi" w:cstheme="majorHAnsi"/>
            <w:sz w:val="32"/>
            <w:szCs w:val="32"/>
          </w:rPr>
          <w:instrText xml:space="preserve"> PAGE   \* MERGEFORMAT </w:instrText>
        </w:r>
        <w:r w:rsidRPr="002B0901">
          <w:rPr>
            <w:rFonts w:asciiTheme="majorHAnsi" w:hAnsiTheme="majorHAnsi" w:cstheme="majorHAnsi"/>
            <w:sz w:val="32"/>
            <w:szCs w:val="32"/>
          </w:rPr>
          <w:fldChar w:fldCharType="separate"/>
        </w:r>
        <w:r>
          <w:rPr>
            <w:rFonts w:asciiTheme="majorHAnsi" w:hAnsiTheme="majorHAnsi" w:cstheme="majorHAnsi"/>
            <w:noProof/>
            <w:sz w:val="32"/>
            <w:szCs w:val="32"/>
          </w:rPr>
          <w:t>21</w:t>
        </w:r>
        <w:r w:rsidRPr="002B0901">
          <w:rPr>
            <w:rFonts w:asciiTheme="majorHAnsi" w:hAnsiTheme="majorHAnsi" w:cstheme="majorHAnsi"/>
            <w:noProof/>
            <w:sz w:val="32"/>
            <w:szCs w:val="32"/>
          </w:rPr>
          <w:fldChar w:fldCharType="end"/>
        </w:r>
      </w:sdtContent>
    </w:sdt>
    <w:r>
      <w:rPr>
        <w:rFonts w:asciiTheme="majorHAnsi" w:hAnsiTheme="majorHAnsi" w:cstheme="majorHAnsi"/>
        <w:noProof/>
        <w:sz w:val="32"/>
        <w:szCs w:val="3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C64E" w14:textId="77777777" w:rsidR="00D1293B" w:rsidRDefault="00D1293B" w:rsidP="00A70A15">
      <w:pPr>
        <w:spacing w:after="0" w:line="240" w:lineRule="auto"/>
      </w:pPr>
      <w:r>
        <w:separator/>
      </w:r>
    </w:p>
  </w:footnote>
  <w:footnote w:type="continuationSeparator" w:id="0">
    <w:p w14:paraId="155EE799" w14:textId="77777777" w:rsidR="00D1293B" w:rsidRDefault="00D1293B" w:rsidP="00A7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1171" w14:textId="77777777" w:rsidR="006C27A7" w:rsidRDefault="006C27A7">
    <w:pPr>
      <w:pStyle w:val="Header"/>
    </w:pPr>
    <w:r>
      <w:rPr>
        <w:noProof/>
      </w:rPr>
      <mc:AlternateContent>
        <mc:Choice Requires="wps">
          <w:drawing>
            <wp:anchor distT="0" distB="0" distL="114300" distR="114300" simplePos="0" relativeHeight="251660288" behindDoc="0" locked="0" layoutInCell="1" allowOverlap="1" wp14:anchorId="608A2750" wp14:editId="2F1314C9">
              <wp:simplePos x="0" y="0"/>
              <wp:positionH relativeFrom="column">
                <wp:posOffset>-904240</wp:posOffset>
              </wp:positionH>
              <wp:positionV relativeFrom="paragraph">
                <wp:posOffset>-589280</wp:posOffset>
              </wp:positionV>
              <wp:extent cx="467360" cy="10271760"/>
              <wp:effectExtent l="0" t="0" r="2540" b="25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7360" cy="102717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840CC" id="Rectangle 5" o:spid="_x0000_s1026" alt="&quot;&quot;" style="position:absolute;margin-left:-71.2pt;margin-top:-46.4pt;width:36.8pt;height:80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" fillcolor="#4472c4 [320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5EC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8CC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E6A3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7061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98B6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A4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EC5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EE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3E5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667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6062"/>
    <w:multiLevelType w:val="hybridMultilevel"/>
    <w:tmpl w:val="A5E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615BD"/>
    <w:multiLevelType w:val="hybridMultilevel"/>
    <w:tmpl w:val="2FDA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DB79ED"/>
    <w:multiLevelType w:val="hybridMultilevel"/>
    <w:tmpl w:val="D630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92A43"/>
    <w:multiLevelType w:val="hybridMultilevel"/>
    <w:tmpl w:val="24900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3F84709"/>
    <w:multiLevelType w:val="hybridMultilevel"/>
    <w:tmpl w:val="D1006CFA"/>
    <w:lvl w:ilvl="0" w:tplc="27FEA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71557C"/>
    <w:multiLevelType w:val="hybridMultilevel"/>
    <w:tmpl w:val="C96CCA8E"/>
    <w:lvl w:ilvl="0" w:tplc="1492AC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308"/>
    <w:multiLevelType w:val="hybridMultilevel"/>
    <w:tmpl w:val="13E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52EFD"/>
    <w:multiLevelType w:val="hybridMultilevel"/>
    <w:tmpl w:val="C00E6496"/>
    <w:lvl w:ilvl="0" w:tplc="DEEE03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1550D"/>
    <w:multiLevelType w:val="hybridMultilevel"/>
    <w:tmpl w:val="306C1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35811"/>
    <w:multiLevelType w:val="hybridMultilevel"/>
    <w:tmpl w:val="4992B60E"/>
    <w:lvl w:ilvl="0" w:tplc="B3AE95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51BA9"/>
    <w:multiLevelType w:val="multilevel"/>
    <w:tmpl w:val="04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943321"/>
    <w:multiLevelType w:val="hybridMultilevel"/>
    <w:tmpl w:val="C7EE888A"/>
    <w:lvl w:ilvl="0" w:tplc="AD32CF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F07C6B"/>
    <w:multiLevelType w:val="hybridMultilevel"/>
    <w:tmpl w:val="74E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A7607"/>
    <w:multiLevelType w:val="hybridMultilevel"/>
    <w:tmpl w:val="6A3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C2531"/>
    <w:multiLevelType w:val="hybridMultilevel"/>
    <w:tmpl w:val="1E74C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DA3154"/>
    <w:multiLevelType w:val="hybridMultilevel"/>
    <w:tmpl w:val="43B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01006"/>
    <w:multiLevelType w:val="hybridMultilevel"/>
    <w:tmpl w:val="F822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7A733B"/>
    <w:multiLevelType w:val="hybridMultilevel"/>
    <w:tmpl w:val="56FA5030"/>
    <w:lvl w:ilvl="0" w:tplc="AA4245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1"/>
  </w:num>
  <w:num w:numId="4">
    <w:abstractNumId w:val="11"/>
  </w:num>
  <w:num w:numId="5">
    <w:abstractNumId w:val="22"/>
  </w:num>
  <w:num w:numId="6">
    <w:abstractNumId w:val="24"/>
  </w:num>
  <w:num w:numId="7">
    <w:abstractNumId w:val="12"/>
  </w:num>
  <w:num w:numId="8">
    <w:abstractNumId w:val="10"/>
  </w:num>
  <w:num w:numId="9">
    <w:abstractNumId w:val="13"/>
  </w:num>
  <w:num w:numId="10">
    <w:abstractNumId w:val="23"/>
  </w:num>
  <w:num w:numId="11">
    <w:abstractNumId w:val="15"/>
  </w:num>
  <w:num w:numId="12">
    <w:abstractNumId w:val="18"/>
  </w:num>
  <w:num w:numId="13">
    <w:abstractNumId w:val="16"/>
  </w:num>
  <w:num w:numId="14">
    <w:abstractNumId w:val="25"/>
  </w:num>
  <w:num w:numId="15">
    <w:abstractNumId w:val="19"/>
  </w:num>
  <w:num w:numId="16">
    <w:abstractNumId w:val="20"/>
  </w:num>
  <w:num w:numId="17">
    <w:abstractNumId w:val="14"/>
  </w:num>
  <w:num w:numId="18">
    <w:abstractNumId w:val="17"/>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2"/>
    <w:rsid w:val="0000296A"/>
    <w:rsid w:val="00002EE3"/>
    <w:rsid w:val="0000456F"/>
    <w:rsid w:val="00007705"/>
    <w:rsid w:val="0001083A"/>
    <w:rsid w:val="000113CF"/>
    <w:rsid w:val="00011AE2"/>
    <w:rsid w:val="000124F5"/>
    <w:rsid w:val="00012B8A"/>
    <w:rsid w:val="00012CF1"/>
    <w:rsid w:val="00013842"/>
    <w:rsid w:val="0001532D"/>
    <w:rsid w:val="000177CD"/>
    <w:rsid w:val="000240A3"/>
    <w:rsid w:val="00024D37"/>
    <w:rsid w:val="00025808"/>
    <w:rsid w:val="000267A2"/>
    <w:rsid w:val="00030F70"/>
    <w:rsid w:val="00032087"/>
    <w:rsid w:val="00033FC7"/>
    <w:rsid w:val="0003471F"/>
    <w:rsid w:val="00036219"/>
    <w:rsid w:val="00037B05"/>
    <w:rsid w:val="00046148"/>
    <w:rsid w:val="00046AA5"/>
    <w:rsid w:val="00047423"/>
    <w:rsid w:val="00047A74"/>
    <w:rsid w:val="000504D6"/>
    <w:rsid w:val="00052211"/>
    <w:rsid w:val="00055793"/>
    <w:rsid w:val="000626A2"/>
    <w:rsid w:val="0006359C"/>
    <w:rsid w:val="00063866"/>
    <w:rsid w:val="00066CC5"/>
    <w:rsid w:val="00074785"/>
    <w:rsid w:val="00076743"/>
    <w:rsid w:val="00076D10"/>
    <w:rsid w:val="00083F2B"/>
    <w:rsid w:val="00084630"/>
    <w:rsid w:val="00086A02"/>
    <w:rsid w:val="00087EEC"/>
    <w:rsid w:val="00090DA3"/>
    <w:rsid w:val="00091239"/>
    <w:rsid w:val="0009281B"/>
    <w:rsid w:val="0009357D"/>
    <w:rsid w:val="00095FA2"/>
    <w:rsid w:val="000961F8"/>
    <w:rsid w:val="000A30FE"/>
    <w:rsid w:val="000A60AF"/>
    <w:rsid w:val="000B002E"/>
    <w:rsid w:val="000B0F4B"/>
    <w:rsid w:val="000B1EBA"/>
    <w:rsid w:val="000B2F25"/>
    <w:rsid w:val="000B4CCA"/>
    <w:rsid w:val="000C05AB"/>
    <w:rsid w:val="000C255B"/>
    <w:rsid w:val="000C47CF"/>
    <w:rsid w:val="000C719C"/>
    <w:rsid w:val="000D1168"/>
    <w:rsid w:val="000D1C00"/>
    <w:rsid w:val="000D26ED"/>
    <w:rsid w:val="000D58C5"/>
    <w:rsid w:val="000D5AF6"/>
    <w:rsid w:val="000D5FA3"/>
    <w:rsid w:val="000D6091"/>
    <w:rsid w:val="000D6250"/>
    <w:rsid w:val="000D6BCC"/>
    <w:rsid w:val="000E10ED"/>
    <w:rsid w:val="000E18D9"/>
    <w:rsid w:val="000E3172"/>
    <w:rsid w:val="000E6374"/>
    <w:rsid w:val="000E6460"/>
    <w:rsid w:val="000E6AA0"/>
    <w:rsid w:val="000E6BC1"/>
    <w:rsid w:val="000E787E"/>
    <w:rsid w:val="000F050B"/>
    <w:rsid w:val="000F0E2F"/>
    <w:rsid w:val="000F0F35"/>
    <w:rsid w:val="000F186A"/>
    <w:rsid w:val="000F38E3"/>
    <w:rsid w:val="000F533E"/>
    <w:rsid w:val="000F5CBF"/>
    <w:rsid w:val="000F62EA"/>
    <w:rsid w:val="000F6F4C"/>
    <w:rsid w:val="00102C03"/>
    <w:rsid w:val="001034D5"/>
    <w:rsid w:val="0010397E"/>
    <w:rsid w:val="00104429"/>
    <w:rsid w:val="00105167"/>
    <w:rsid w:val="00105266"/>
    <w:rsid w:val="00105B6F"/>
    <w:rsid w:val="001064C4"/>
    <w:rsid w:val="00106F79"/>
    <w:rsid w:val="001113FA"/>
    <w:rsid w:val="0011443F"/>
    <w:rsid w:val="00116C18"/>
    <w:rsid w:val="00117D20"/>
    <w:rsid w:val="001201B0"/>
    <w:rsid w:val="00122F91"/>
    <w:rsid w:val="00124610"/>
    <w:rsid w:val="00132EDC"/>
    <w:rsid w:val="00134936"/>
    <w:rsid w:val="0014277E"/>
    <w:rsid w:val="00146775"/>
    <w:rsid w:val="00151B44"/>
    <w:rsid w:val="0015385F"/>
    <w:rsid w:val="0015731A"/>
    <w:rsid w:val="00157981"/>
    <w:rsid w:val="00160C82"/>
    <w:rsid w:val="00164745"/>
    <w:rsid w:val="00165EE0"/>
    <w:rsid w:val="00166189"/>
    <w:rsid w:val="00166936"/>
    <w:rsid w:val="00167E43"/>
    <w:rsid w:val="00170825"/>
    <w:rsid w:val="0017362F"/>
    <w:rsid w:val="00173790"/>
    <w:rsid w:val="00177224"/>
    <w:rsid w:val="001913A8"/>
    <w:rsid w:val="00193415"/>
    <w:rsid w:val="00193457"/>
    <w:rsid w:val="00193936"/>
    <w:rsid w:val="00195BFA"/>
    <w:rsid w:val="00196059"/>
    <w:rsid w:val="001A0615"/>
    <w:rsid w:val="001A0683"/>
    <w:rsid w:val="001A3449"/>
    <w:rsid w:val="001A351C"/>
    <w:rsid w:val="001A74E2"/>
    <w:rsid w:val="001A7A97"/>
    <w:rsid w:val="001A7CB9"/>
    <w:rsid w:val="001B095E"/>
    <w:rsid w:val="001B455E"/>
    <w:rsid w:val="001B5701"/>
    <w:rsid w:val="001B7CCB"/>
    <w:rsid w:val="001C15AE"/>
    <w:rsid w:val="001C6E02"/>
    <w:rsid w:val="001D162C"/>
    <w:rsid w:val="001D2497"/>
    <w:rsid w:val="001D3DBA"/>
    <w:rsid w:val="001D4115"/>
    <w:rsid w:val="001D455A"/>
    <w:rsid w:val="001D45A8"/>
    <w:rsid w:val="001D5B37"/>
    <w:rsid w:val="001D732D"/>
    <w:rsid w:val="001D7808"/>
    <w:rsid w:val="001E0965"/>
    <w:rsid w:val="001E1020"/>
    <w:rsid w:val="001E3F0D"/>
    <w:rsid w:val="001E5524"/>
    <w:rsid w:val="001E55AF"/>
    <w:rsid w:val="001E6BD9"/>
    <w:rsid w:val="001E70A2"/>
    <w:rsid w:val="001F255C"/>
    <w:rsid w:val="001F2E7E"/>
    <w:rsid w:val="001F68AE"/>
    <w:rsid w:val="001F6BE6"/>
    <w:rsid w:val="001F70AE"/>
    <w:rsid w:val="002003D5"/>
    <w:rsid w:val="00200E77"/>
    <w:rsid w:val="00202882"/>
    <w:rsid w:val="00204A91"/>
    <w:rsid w:val="00206A85"/>
    <w:rsid w:val="00207989"/>
    <w:rsid w:val="0021007A"/>
    <w:rsid w:val="00210CB5"/>
    <w:rsid w:val="002142B1"/>
    <w:rsid w:val="002142E7"/>
    <w:rsid w:val="0021554C"/>
    <w:rsid w:val="00216985"/>
    <w:rsid w:val="00220D74"/>
    <w:rsid w:val="002230E2"/>
    <w:rsid w:val="00224995"/>
    <w:rsid w:val="00225B18"/>
    <w:rsid w:val="00230DDE"/>
    <w:rsid w:val="00232BB5"/>
    <w:rsid w:val="002330D0"/>
    <w:rsid w:val="002339B1"/>
    <w:rsid w:val="00235DAA"/>
    <w:rsid w:val="00240960"/>
    <w:rsid w:val="00242B83"/>
    <w:rsid w:val="002437A1"/>
    <w:rsid w:val="00243881"/>
    <w:rsid w:val="002444D1"/>
    <w:rsid w:val="00246BCB"/>
    <w:rsid w:val="00252137"/>
    <w:rsid w:val="00254031"/>
    <w:rsid w:val="00261C54"/>
    <w:rsid w:val="00263A3E"/>
    <w:rsid w:val="00265604"/>
    <w:rsid w:val="0026691E"/>
    <w:rsid w:val="0027097A"/>
    <w:rsid w:val="0027113D"/>
    <w:rsid w:val="00271A2C"/>
    <w:rsid w:val="002736CB"/>
    <w:rsid w:val="002745E3"/>
    <w:rsid w:val="00274BD2"/>
    <w:rsid w:val="00275A62"/>
    <w:rsid w:val="002815D7"/>
    <w:rsid w:val="00283F4B"/>
    <w:rsid w:val="0028556B"/>
    <w:rsid w:val="00286092"/>
    <w:rsid w:val="00286EBE"/>
    <w:rsid w:val="002903C5"/>
    <w:rsid w:val="002928A8"/>
    <w:rsid w:val="00295A01"/>
    <w:rsid w:val="00297B95"/>
    <w:rsid w:val="002A169F"/>
    <w:rsid w:val="002A17B7"/>
    <w:rsid w:val="002A2D62"/>
    <w:rsid w:val="002A3CE2"/>
    <w:rsid w:val="002A3D64"/>
    <w:rsid w:val="002A53EF"/>
    <w:rsid w:val="002A710B"/>
    <w:rsid w:val="002A75B4"/>
    <w:rsid w:val="002B0901"/>
    <w:rsid w:val="002B3195"/>
    <w:rsid w:val="002B66D3"/>
    <w:rsid w:val="002C0891"/>
    <w:rsid w:val="002C0D8C"/>
    <w:rsid w:val="002C1870"/>
    <w:rsid w:val="002C5F9F"/>
    <w:rsid w:val="002C7F45"/>
    <w:rsid w:val="002D20D5"/>
    <w:rsid w:val="002D228C"/>
    <w:rsid w:val="002D292C"/>
    <w:rsid w:val="002D4CA5"/>
    <w:rsid w:val="002D4D0F"/>
    <w:rsid w:val="002D6A6A"/>
    <w:rsid w:val="002E0554"/>
    <w:rsid w:val="002E0C76"/>
    <w:rsid w:val="002E2E61"/>
    <w:rsid w:val="002E43FA"/>
    <w:rsid w:val="002E4A69"/>
    <w:rsid w:val="002E5425"/>
    <w:rsid w:val="002E6495"/>
    <w:rsid w:val="002E7AEC"/>
    <w:rsid w:val="002E7C13"/>
    <w:rsid w:val="002F1B61"/>
    <w:rsid w:val="002F2B35"/>
    <w:rsid w:val="002F4E92"/>
    <w:rsid w:val="002F6000"/>
    <w:rsid w:val="002F7428"/>
    <w:rsid w:val="002F7C59"/>
    <w:rsid w:val="00300380"/>
    <w:rsid w:val="003007AA"/>
    <w:rsid w:val="00300BD1"/>
    <w:rsid w:val="00302350"/>
    <w:rsid w:val="00302451"/>
    <w:rsid w:val="003108BD"/>
    <w:rsid w:val="003140E9"/>
    <w:rsid w:val="0031487B"/>
    <w:rsid w:val="00315010"/>
    <w:rsid w:val="00317B02"/>
    <w:rsid w:val="00326311"/>
    <w:rsid w:val="00327246"/>
    <w:rsid w:val="0033556C"/>
    <w:rsid w:val="003364E6"/>
    <w:rsid w:val="003367A4"/>
    <w:rsid w:val="00337BA1"/>
    <w:rsid w:val="00337C69"/>
    <w:rsid w:val="003415BA"/>
    <w:rsid w:val="003432B9"/>
    <w:rsid w:val="00343E38"/>
    <w:rsid w:val="003459AF"/>
    <w:rsid w:val="00346613"/>
    <w:rsid w:val="0035171C"/>
    <w:rsid w:val="00352E46"/>
    <w:rsid w:val="00353073"/>
    <w:rsid w:val="0035351B"/>
    <w:rsid w:val="00353BE9"/>
    <w:rsid w:val="003563E5"/>
    <w:rsid w:val="0035678D"/>
    <w:rsid w:val="00356FB6"/>
    <w:rsid w:val="003601A2"/>
    <w:rsid w:val="0036278C"/>
    <w:rsid w:val="00366C2B"/>
    <w:rsid w:val="00370CCE"/>
    <w:rsid w:val="00372E7D"/>
    <w:rsid w:val="003734A7"/>
    <w:rsid w:val="003742F6"/>
    <w:rsid w:val="00375B00"/>
    <w:rsid w:val="0037603D"/>
    <w:rsid w:val="00380057"/>
    <w:rsid w:val="00381EAD"/>
    <w:rsid w:val="003862C7"/>
    <w:rsid w:val="00391846"/>
    <w:rsid w:val="00394E58"/>
    <w:rsid w:val="003A0210"/>
    <w:rsid w:val="003A3086"/>
    <w:rsid w:val="003A44F5"/>
    <w:rsid w:val="003A61A5"/>
    <w:rsid w:val="003A62F6"/>
    <w:rsid w:val="003A7781"/>
    <w:rsid w:val="003B24E8"/>
    <w:rsid w:val="003B32DF"/>
    <w:rsid w:val="003B3522"/>
    <w:rsid w:val="003B3552"/>
    <w:rsid w:val="003B4E92"/>
    <w:rsid w:val="003B5243"/>
    <w:rsid w:val="003B54E1"/>
    <w:rsid w:val="003B5FE1"/>
    <w:rsid w:val="003C1F5F"/>
    <w:rsid w:val="003C551F"/>
    <w:rsid w:val="003C5EF3"/>
    <w:rsid w:val="003D0FF8"/>
    <w:rsid w:val="003D32CC"/>
    <w:rsid w:val="003D5F6F"/>
    <w:rsid w:val="003D5F8D"/>
    <w:rsid w:val="003D6633"/>
    <w:rsid w:val="003D6826"/>
    <w:rsid w:val="003E1AF7"/>
    <w:rsid w:val="003E2D5E"/>
    <w:rsid w:val="003E3876"/>
    <w:rsid w:val="003E3B19"/>
    <w:rsid w:val="003E41EA"/>
    <w:rsid w:val="003E62AD"/>
    <w:rsid w:val="003E6D4D"/>
    <w:rsid w:val="003F2FAC"/>
    <w:rsid w:val="00401B7F"/>
    <w:rsid w:val="00403ED8"/>
    <w:rsid w:val="00407F15"/>
    <w:rsid w:val="00413D42"/>
    <w:rsid w:val="00414E2C"/>
    <w:rsid w:val="00414F04"/>
    <w:rsid w:val="00417F13"/>
    <w:rsid w:val="00420DEB"/>
    <w:rsid w:val="004235E9"/>
    <w:rsid w:val="0042364C"/>
    <w:rsid w:val="0042395D"/>
    <w:rsid w:val="00423BD5"/>
    <w:rsid w:val="00426533"/>
    <w:rsid w:val="004319A1"/>
    <w:rsid w:val="004341F2"/>
    <w:rsid w:val="004351C4"/>
    <w:rsid w:val="00435873"/>
    <w:rsid w:val="00437BB6"/>
    <w:rsid w:val="00440093"/>
    <w:rsid w:val="0044424E"/>
    <w:rsid w:val="00444AD3"/>
    <w:rsid w:val="00447229"/>
    <w:rsid w:val="004474A2"/>
    <w:rsid w:val="00447ED8"/>
    <w:rsid w:val="0045469B"/>
    <w:rsid w:val="00461BB1"/>
    <w:rsid w:val="00461F87"/>
    <w:rsid w:val="004639FA"/>
    <w:rsid w:val="00464D02"/>
    <w:rsid w:val="00465F38"/>
    <w:rsid w:val="00466683"/>
    <w:rsid w:val="00466698"/>
    <w:rsid w:val="004704A3"/>
    <w:rsid w:val="004714F8"/>
    <w:rsid w:val="004746FB"/>
    <w:rsid w:val="0047493A"/>
    <w:rsid w:val="00476435"/>
    <w:rsid w:val="00480009"/>
    <w:rsid w:val="00483076"/>
    <w:rsid w:val="004838E4"/>
    <w:rsid w:val="0048487A"/>
    <w:rsid w:val="00486AB6"/>
    <w:rsid w:val="00490B85"/>
    <w:rsid w:val="00491FB4"/>
    <w:rsid w:val="00493823"/>
    <w:rsid w:val="004947BF"/>
    <w:rsid w:val="00495407"/>
    <w:rsid w:val="004959F2"/>
    <w:rsid w:val="00497E95"/>
    <w:rsid w:val="004A03BE"/>
    <w:rsid w:val="004A2B16"/>
    <w:rsid w:val="004A58F7"/>
    <w:rsid w:val="004A6CE8"/>
    <w:rsid w:val="004A7D1A"/>
    <w:rsid w:val="004B1C2C"/>
    <w:rsid w:val="004B363D"/>
    <w:rsid w:val="004B3D93"/>
    <w:rsid w:val="004B3F37"/>
    <w:rsid w:val="004B40C0"/>
    <w:rsid w:val="004B74B2"/>
    <w:rsid w:val="004C14A3"/>
    <w:rsid w:val="004C1CF1"/>
    <w:rsid w:val="004C348E"/>
    <w:rsid w:val="004C4412"/>
    <w:rsid w:val="004C6EA4"/>
    <w:rsid w:val="004C75DF"/>
    <w:rsid w:val="004C7953"/>
    <w:rsid w:val="004D1695"/>
    <w:rsid w:val="004D24B5"/>
    <w:rsid w:val="004E0E17"/>
    <w:rsid w:val="004E446B"/>
    <w:rsid w:val="004E4805"/>
    <w:rsid w:val="004E4FA3"/>
    <w:rsid w:val="004E6483"/>
    <w:rsid w:val="004E7EAD"/>
    <w:rsid w:val="004F0AB2"/>
    <w:rsid w:val="004F150F"/>
    <w:rsid w:val="004F17C8"/>
    <w:rsid w:val="004F1FF7"/>
    <w:rsid w:val="0050015E"/>
    <w:rsid w:val="00501109"/>
    <w:rsid w:val="00504CF5"/>
    <w:rsid w:val="00505303"/>
    <w:rsid w:val="00510909"/>
    <w:rsid w:val="0051298F"/>
    <w:rsid w:val="00515D78"/>
    <w:rsid w:val="00516726"/>
    <w:rsid w:val="00516C7B"/>
    <w:rsid w:val="005212DD"/>
    <w:rsid w:val="005213AE"/>
    <w:rsid w:val="00522EBB"/>
    <w:rsid w:val="00523AE3"/>
    <w:rsid w:val="00526F82"/>
    <w:rsid w:val="0052760C"/>
    <w:rsid w:val="0053199C"/>
    <w:rsid w:val="00534E03"/>
    <w:rsid w:val="0053562A"/>
    <w:rsid w:val="00536DE9"/>
    <w:rsid w:val="00537614"/>
    <w:rsid w:val="00537C40"/>
    <w:rsid w:val="0054007D"/>
    <w:rsid w:val="00541907"/>
    <w:rsid w:val="00541CCE"/>
    <w:rsid w:val="005455E2"/>
    <w:rsid w:val="0055524C"/>
    <w:rsid w:val="005561FD"/>
    <w:rsid w:val="005574EE"/>
    <w:rsid w:val="00561895"/>
    <w:rsid w:val="005632C2"/>
    <w:rsid w:val="00566064"/>
    <w:rsid w:val="00573416"/>
    <w:rsid w:val="005833FD"/>
    <w:rsid w:val="005840FC"/>
    <w:rsid w:val="005860B6"/>
    <w:rsid w:val="00587736"/>
    <w:rsid w:val="00590449"/>
    <w:rsid w:val="005908DB"/>
    <w:rsid w:val="005924AA"/>
    <w:rsid w:val="00592770"/>
    <w:rsid w:val="00596448"/>
    <w:rsid w:val="005964CD"/>
    <w:rsid w:val="005A0C9E"/>
    <w:rsid w:val="005A5297"/>
    <w:rsid w:val="005A561B"/>
    <w:rsid w:val="005A65BE"/>
    <w:rsid w:val="005A73D5"/>
    <w:rsid w:val="005B68C1"/>
    <w:rsid w:val="005B6DD1"/>
    <w:rsid w:val="005B6E82"/>
    <w:rsid w:val="005C0339"/>
    <w:rsid w:val="005C062C"/>
    <w:rsid w:val="005C35A9"/>
    <w:rsid w:val="005C37BA"/>
    <w:rsid w:val="005C5427"/>
    <w:rsid w:val="005D248D"/>
    <w:rsid w:val="005D6F12"/>
    <w:rsid w:val="005D7488"/>
    <w:rsid w:val="005E0C5B"/>
    <w:rsid w:val="005E2C77"/>
    <w:rsid w:val="005E396E"/>
    <w:rsid w:val="005E45E7"/>
    <w:rsid w:val="005F001E"/>
    <w:rsid w:val="005F0544"/>
    <w:rsid w:val="005F1BB6"/>
    <w:rsid w:val="005F25EE"/>
    <w:rsid w:val="005F2631"/>
    <w:rsid w:val="005F27A5"/>
    <w:rsid w:val="005F3C7C"/>
    <w:rsid w:val="006001F4"/>
    <w:rsid w:val="00601B7B"/>
    <w:rsid w:val="00603CB2"/>
    <w:rsid w:val="00605926"/>
    <w:rsid w:val="00606A2E"/>
    <w:rsid w:val="00610201"/>
    <w:rsid w:val="00611196"/>
    <w:rsid w:val="00612039"/>
    <w:rsid w:val="00613608"/>
    <w:rsid w:val="00614E86"/>
    <w:rsid w:val="00616323"/>
    <w:rsid w:val="00616526"/>
    <w:rsid w:val="006172D5"/>
    <w:rsid w:val="0062057B"/>
    <w:rsid w:val="00621860"/>
    <w:rsid w:val="00622064"/>
    <w:rsid w:val="00622164"/>
    <w:rsid w:val="00623454"/>
    <w:rsid w:val="00624EE9"/>
    <w:rsid w:val="0062578D"/>
    <w:rsid w:val="006277AB"/>
    <w:rsid w:val="00630DA7"/>
    <w:rsid w:val="006324BA"/>
    <w:rsid w:val="00633571"/>
    <w:rsid w:val="006347AB"/>
    <w:rsid w:val="00637506"/>
    <w:rsid w:val="00637E47"/>
    <w:rsid w:val="00640C64"/>
    <w:rsid w:val="00643700"/>
    <w:rsid w:val="006455A4"/>
    <w:rsid w:val="006509B3"/>
    <w:rsid w:val="0065287F"/>
    <w:rsid w:val="006532C4"/>
    <w:rsid w:val="00653E5C"/>
    <w:rsid w:val="00655B5F"/>
    <w:rsid w:val="00656694"/>
    <w:rsid w:val="00657E30"/>
    <w:rsid w:val="006631FE"/>
    <w:rsid w:val="00663A47"/>
    <w:rsid w:val="006646E2"/>
    <w:rsid w:val="00667289"/>
    <w:rsid w:val="00667D3A"/>
    <w:rsid w:val="00667FBF"/>
    <w:rsid w:val="0067176B"/>
    <w:rsid w:val="00672533"/>
    <w:rsid w:val="00676C41"/>
    <w:rsid w:val="006804AB"/>
    <w:rsid w:val="0068085B"/>
    <w:rsid w:val="00682041"/>
    <w:rsid w:val="00682136"/>
    <w:rsid w:val="00683DB2"/>
    <w:rsid w:val="0068527C"/>
    <w:rsid w:val="00690C8A"/>
    <w:rsid w:val="006914CF"/>
    <w:rsid w:val="0069469C"/>
    <w:rsid w:val="00695980"/>
    <w:rsid w:val="006976FE"/>
    <w:rsid w:val="0069780C"/>
    <w:rsid w:val="00697A70"/>
    <w:rsid w:val="00697F27"/>
    <w:rsid w:val="006A346A"/>
    <w:rsid w:val="006A6AFC"/>
    <w:rsid w:val="006A6CD2"/>
    <w:rsid w:val="006A6FE7"/>
    <w:rsid w:val="006B10D1"/>
    <w:rsid w:val="006B13E5"/>
    <w:rsid w:val="006B1B83"/>
    <w:rsid w:val="006B1CDD"/>
    <w:rsid w:val="006B3E12"/>
    <w:rsid w:val="006C01C0"/>
    <w:rsid w:val="006C0E66"/>
    <w:rsid w:val="006C27A7"/>
    <w:rsid w:val="006C3BEF"/>
    <w:rsid w:val="006C3F55"/>
    <w:rsid w:val="006C5D85"/>
    <w:rsid w:val="006D0527"/>
    <w:rsid w:val="006D1AD5"/>
    <w:rsid w:val="006D67E5"/>
    <w:rsid w:val="006D718E"/>
    <w:rsid w:val="006E18D9"/>
    <w:rsid w:val="006E2AB0"/>
    <w:rsid w:val="006E67E3"/>
    <w:rsid w:val="006F18B4"/>
    <w:rsid w:val="006F3479"/>
    <w:rsid w:val="006F4C21"/>
    <w:rsid w:val="006F62CA"/>
    <w:rsid w:val="00700981"/>
    <w:rsid w:val="0070181A"/>
    <w:rsid w:val="00705F7D"/>
    <w:rsid w:val="00706868"/>
    <w:rsid w:val="00710F37"/>
    <w:rsid w:val="00715D1B"/>
    <w:rsid w:val="00717BF5"/>
    <w:rsid w:val="00717E6A"/>
    <w:rsid w:val="00720DC7"/>
    <w:rsid w:val="00726C40"/>
    <w:rsid w:val="0072748F"/>
    <w:rsid w:val="007311E4"/>
    <w:rsid w:val="007314F6"/>
    <w:rsid w:val="0073195F"/>
    <w:rsid w:val="00732666"/>
    <w:rsid w:val="00733158"/>
    <w:rsid w:val="00734EE1"/>
    <w:rsid w:val="00736ECD"/>
    <w:rsid w:val="00737186"/>
    <w:rsid w:val="0074731C"/>
    <w:rsid w:val="007505EF"/>
    <w:rsid w:val="007509C2"/>
    <w:rsid w:val="0075359C"/>
    <w:rsid w:val="00755678"/>
    <w:rsid w:val="007568D4"/>
    <w:rsid w:val="00757EF6"/>
    <w:rsid w:val="0076664A"/>
    <w:rsid w:val="00767A86"/>
    <w:rsid w:val="00773F4F"/>
    <w:rsid w:val="007754F0"/>
    <w:rsid w:val="0077569D"/>
    <w:rsid w:val="00776885"/>
    <w:rsid w:val="007774E7"/>
    <w:rsid w:val="00781245"/>
    <w:rsid w:val="007833F6"/>
    <w:rsid w:val="00784895"/>
    <w:rsid w:val="007848AF"/>
    <w:rsid w:val="0078490F"/>
    <w:rsid w:val="0078586F"/>
    <w:rsid w:val="00787E4A"/>
    <w:rsid w:val="00796491"/>
    <w:rsid w:val="007967A8"/>
    <w:rsid w:val="00796CA8"/>
    <w:rsid w:val="00797831"/>
    <w:rsid w:val="007A199D"/>
    <w:rsid w:val="007A2D27"/>
    <w:rsid w:val="007A4CD1"/>
    <w:rsid w:val="007A5F0F"/>
    <w:rsid w:val="007A6537"/>
    <w:rsid w:val="007B02E6"/>
    <w:rsid w:val="007B16A8"/>
    <w:rsid w:val="007B460F"/>
    <w:rsid w:val="007B5B3C"/>
    <w:rsid w:val="007B5D45"/>
    <w:rsid w:val="007B650B"/>
    <w:rsid w:val="007C05B1"/>
    <w:rsid w:val="007C3CAA"/>
    <w:rsid w:val="007C48F5"/>
    <w:rsid w:val="007C61A1"/>
    <w:rsid w:val="007D0542"/>
    <w:rsid w:val="007D10E4"/>
    <w:rsid w:val="007D1609"/>
    <w:rsid w:val="007D234F"/>
    <w:rsid w:val="007D2C73"/>
    <w:rsid w:val="007D570F"/>
    <w:rsid w:val="007D5E6E"/>
    <w:rsid w:val="007D61EE"/>
    <w:rsid w:val="007D75C4"/>
    <w:rsid w:val="007D77C9"/>
    <w:rsid w:val="007E03B4"/>
    <w:rsid w:val="007E27C5"/>
    <w:rsid w:val="007E2E20"/>
    <w:rsid w:val="007E3541"/>
    <w:rsid w:val="007E3EE9"/>
    <w:rsid w:val="007E44EA"/>
    <w:rsid w:val="007E68F9"/>
    <w:rsid w:val="007E7499"/>
    <w:rsid w:val="007F4974"/>
    <w:rsid w:val="007F55FB"/>
    <w:rsid w:val="007F600A"/>
    <w:rsid w:val="0080047B"/>
    <w:rsid w:val="00800ACB"/>
    <w:rsid w:val="00800E49"/>
    <w:rsid w:val="00804030"/>
    <w:rsid w:val="00804A90"/>
    <w:rsid w:val="008063A5"/>
    <w:rsid w:val="00807025"/>
    <w:rsid w:val="00811241"/>
    <w:rsid w:val="0081248E"/>
    <w:rsid w:val="008128DD"/>
    <w:rsid w:val="00814351"/>
    <w:rsid w:val="008169F8"/>
    <w:rsid w:val="008206D6"/>
    <w:rsid w:val="00821974"/>
    <w:rsid w:val="008243B3"/>
    <w:rsid w:val="00824510"/>
    <w:rsid w:val="008255F9"/>
    <w:rsid w:val="008259D6"/>
    <w:rsid w:val="00826B56"/>
    <w:rsid w:val="00826D76"/>
    <w:rsid w:val="0083017D"/>
    <w:rsid w:val="00832459"/>
    <w:rsid w:val="008348CC"/>
    <w:rsid w:val="0083556E"/>
    <w:rsid w:val="008363A2"/>
    <w:rsid w:val="008367F2"/>
    <w:rsid w:val="00836FA3"/>
    <w:rsid w:val="00837574"/>
    <w:rsid w:val="00837F1E"/>
    <w:rsid w:val="0084010D"/>
    <w:rsid w:val="00840C11"/>
    <w:rsid w:val="00841078"/>
    <w:rsid w:val="008511A6"/>
    <w:rsid w:val="0085294B"/>
    <w:rsid w:val="008539B2"/>
    <w:rsid w:val="00853BA6"/>
    <w:rsid w:val="00856F54"/>
    <w:rsid w:val="00857ED0"/>
    <w:rsid w:val="00864AAF"/>
    <w:rsid w:val="00865258"/>
    <w:rsid w:val="00865759"/>
    <w:rsid w:val="0086634B"/>
    <w:rsid w:val="00866A7C"/>
    <w:rsid w:val="00866B2F"/>
    <w:rsid w:val="00866EDB"/>
    <w:rsid w:val="00871B67"/>
    <w:rsid w:val="00871DE4"/>
    <w:rsid w:val="008818F1"/>
    <w:rsid w:val="00881967"/>
    <w:rsid w:val="00882B99"/>
    <w:rsid w:val="00885CF5"/>
    <w:rsid w:val="00886294"/>
    <w:rsid w:val="0089201B"/>
    <w:rsid w:val="00895D67"/>
    <w:rsid w:val="008A02B4"/>
    <w:rsid w:val="008A07B3"/>
    <w:rsid w:val="008A1A60"/>
    <w:rsid w:val="008A631C"/>
    <w:rsid w:val="008B21C1"/>
    <w:rsid w:val="008B5353"/>
    <w:rsid w:val="008C034E"/>
    <w:rsid w:val="008C142F"/>
    <w:rsid w:val="008C4366"/>
    <w:rsid w:val="008C4CE3"/>
    <w:rsid w:val="008D024A"/>
    <w:rsid w:val="008D127B"/>
    <w:rsid w:val="008D25F3"/>
    <w:rsid w:val="008D35D7"/>
    <w:rsid w:val="008D4061"/>
    <w:rsid w:val="008D595D"/>
    <w:rsid w:val="008D698C"/>
    <w:rsid w:val="008D721D"/>
    <w:rsid w:val="008E1075"/>
    <w:rsid w:val="008E3E69"/>
    <w:rsid w:val="008E4260"/>
    <w:rsid w:val="008E6B73"/>
    <w:rsid w:val="008E70BB"/>
    <w:rsid w:val="008F02CF"/>
    <w:rsid w:val="008F0B24"/>
    <w:rsid w:val="008F0D24"/>
    <w:rsid w:val="008F0ED6"/>
    <w:rsid w:val="008F48F3"/>
    <w:rsid w:val="008F5B96"/>
    <w:rsid w:val="008F74C8"/>
    <w:rsid w:val="008F7900"/>
    <w:rsid w:val="008F7AAD"/>
    <w:rsid w:val="00905527"/>
    <w:rsid w:val="00907630"/>
    <w:rsid w:val="00914643"/>
    <w:rsid w:val="00914918"/>
    <w:rsid w:val="00915C25"/>
    <w:rsid w:val="00915F16"/>
    <w:rsid w:val="00916632"/>
    <w:rsid w:val="00916B34"/>
    <w:rsid w:val="009209D8"/>
    <w:rsid w:val="00920AA8"/>
    <w:rsid w:val="00920F8F"/>
    <w:rsid w:val="009228D2"/>
    <w:rsid w:val="009228E5"/>
    <w:rsid w:val="00922F04"/>
    <w:rsid w:val="00924876"/>
    <w:rsid w:val="009304A8"/>
    <w:rsid w:val="0093220D"/>
    <w:rsid w:val="00932505"/>
    <w:rsid w:val="00932F95"/>
    <w:rsid w:val="00933AF3"/>
    <w:rsid w:val="009357C6"/>
    <w:rsid w:val="009368EC"/>
    <w:rsid w:val="00941902"/>
    <w:rsid w:val="00941A45"/>
    <w:rsid w:val="00941E67"/>
    <w:rsid w:val="0094641C"/>
    <w:rsid w:val="00951ADA"/>
    <w:rsid w:val="00956ADF"/>
    <w:rsid w:val="0095728D"/>
    <w:rsid w:val="0095770E"/>
    <w:rsid w:val="00967FF2"/>
    <w:rsid w:val="0097024F"/>
    <w:rsid w:val="0097084E"/>
    <w:rsid w:val="0097118B"/>
    <w:rsid w:val="00975DD6"/>
    <w:rsid w:val="00977070"/>
    <w:rsid w:val="009804A1"/>
    <w:rsid w:val="009831C6"/>
    <w:rsid w:val="0098533C"/>
    <w:rsid w:val="0098645F"/>
    <w:rsid w:val="00991468"/>
    <w:rsid w:val="009915CB"/>
    <w:rsid w:val="00991782"/>
    <w:rsid w:val="0099208A"/>
    <w:rsid w:val="00995F65"/>
    <w:rsid w:val="00997439"/>
    <w:rsid w:val="009A001F"/>
    <w:rsid w:val="009A0281"/>
    <w:rsid w:val="009A0F0C"/>
    <w:rsid w:val="009A4195"/>
    <w:rsid w:val="009A6B86"/>
    <w:rsid w:val="009A7684"/>
    <w:rsid w:val="009B435E"/>
    <w:rsid w:val="009B47A6"/>
    <w:rsid w:val="009C183A"/>
    <w:rsid w:val="009C23ED"/>
    <w:rsid w:val="009C319C"/>
    <w:rsid w:val="009C40FB"/>
    <w:rsid w:val="009C4B60"/>
    <w:rsid w:val="009C4FC3"/>
    <w:rsid w:val="009C515E"/>
    <w:rsid w:val="009C6C8C"/>
    <w:rsid w:val="009D14A4"/>
    <w:rsid w:val="009D364C"/>
    <w:rsid w:val="009D3977"/>
    <w:rsid w:val="009D65A6"/>
    <w:rsid w:val="009D690E"/>
    <w:rsid w:val="009D6E88"/>
    <w:rsid w:val="009E0450"/>
    <w:rsid w:val="009E1B80"/>
    <w:rsid w:val="009E2195"/>
    <w:rsid w:val="009E22BF"/>
    <w:rsid w:val="009E45CF"/>
    <w:rsid w:val="009E480E"/>
    <w:rsid w:val="009E641C"/>
    <w:rsid w:val="009F05CE"/>
    <w:rsid w:val="009F06B8"/>
    <w:rsid w:val="009F24C8"/>
    <w:rsid w:val="009F297D"/>
    <w:rsid w:val="009F334E"/>
    <w:rsid w:val="009F3A8D"/>
    <w:rsid w:val="009F779B"/>
    <w:rsid w:val="00A00E55"/>
    <w:rsid w:val="00A01407"/>
    <w:rsid w:val="00A02A55"/>
    <w:rsid w:val="00A032D5"/>
    <w:rsid w:val="00A064FA"/>
    <w:rsid w:val="00A10D3A"/>
    <w:rsid w:val="00A12171"/>
    <w:rsid w:val="00A17E34"/>
    <w:rsid w:val="00A239AF"/>
    <w:rsid w:val="00A268BB"/>
    <w:rsid w:val="00A26E46"/>
    <w:rsid w:val="00A27B3C"/>
    <w:rsid w:val="00A32C59"/>
    <w:rsid w:val="00A3302D"/>
    <w:rsid w:val="00A33435"/>
    <w:rsid w:val="00A41C0C"/>
    <w:rsid w:val="00A4426C"/>
    <w:rsid w:val="00A450FC"/>
    <w:rsid w:val="00A471CE"/>
    <w:rsid w:val="00A50580"/>
    <w:rsid w:val="00A53638"/>
    <w:rsid w:val="00A56331"/>
    <w:rsid w:val="00A60F47"/>
    <w:rsid w:val="00A62624"/>
    <w:rsid w:val="00A65C1F"/>
    <w:rsid w:val="00A67EC3"/>
    <w:rsid w:val="00A70A15"/>
    <w:rsid w:val="00A85B24"/>
    <w:rsid w:val="00A85C68"/>
    <w:rsid w:val="00A868B4"/>
    <w:rsid w:val="00A90B23"/>
    <w:rsid w:val="00A91E47"/>
    <w:rsid w:val="00A945E7"/>
    <w:rsid w:val="00A96588"/>
    <w:rsid w:val="00A97BF9"/>
    <w:rsid w:val="00AA1F52"/>
    <w:rsid w:val="00AA3836"/>
    <w:rsid w:val="00AA664D"/>
    <w:rsid w:val="00AB1B0D"/>
    <w:rsid w:val="00AB3F4F"/>
    <w:rsid w:val="00AB4805"/>
    <w:rsid w:val="00AB7107"/>
    <w:rsid w:val="00AC1CE8"/>
    <w:rsid w:val="00AC385B"/>
    <w:rsid w:val="00AC6AA5"/>
    <w:rsid w:val="00AC6F49"/>
    <w:rsid w:val="00AD031A"/>
    <w:rsid w:val="00AD3C8F"/>
    <w:rsid w:val="00AD76B2"/>
    <w:rsid w:val="00AE1DC5"/>
    <w:rsid w:val="00AE74AA"/>
    <w:rsid w:val="00AF03AB"/>
    <w:rsid w:val="00AF4751"/>
    <w:rsid w:val="00AF512E"/>
    <w:rsid w:val="00AF5A3E"/>
    <w:rsid w:val="00B00764"/>
    <w:rsid w:val="00B01B19"/>
    <w:rsid w:val="00B02CC0"/>
    <w:rsid w:val="00B0387E"/>
    <w:rsid w:val="00B03F15"/>
    <w:rsid w:val="00B05514"/>
    <w:rsid w:val="00B0713C"/>
    <w:rsid w:val="00B12D4C"/>
    <w:rsid w:val="00B12FF1"/>
    <w:rsid w:val="00B147F7"/>
    <w:rsid w:val="00B16547"/>
    <w:rsid w:val="00B16AB3"/>
    <w:rsid w:val="00B17B1E"/>
    <w:rsid w:val="00B20401"/>
    <w:rsid w:val="00B20C07"/>
    <w:rsid w:val="00B21641"/>
    <w:rsid w:val="00B233DC"/>
    <w:rsid w:val="00B24309"/>
    <w:rsid w:val="00B25D8E"/>
    <w:rsid w:val="00B2646E"/>
    <w:rsid w:val="00B32D6F"/>
    <w:rsid w:val="00B33D0E"/>
    <w:rsid w:val="00B3444A"/>
    <w:rsid w:val="00B424DD"/>
    <w:rsid w:val="00B45F87"/>
    <w:rsid w:val="00B46BE3"/>
    <w:rsid w:val="00B47D17"/>
    <w:rsid w:val="00B5011F"/>
    <w:rsid w:val="00B54694"/>
    <w:rsid w:val="00B54D9D"/>
    <w:rsid w:val="00B55CA8"/>
    <w:rsid w:val="00B57327"/>
    <w:rsid w:val="00B606BA"/>
    <w:rsid w:val="00B62EBA"/>
    <w:rsid w:val="00B63115"/>
    <w:rsid w:val="00B67174"/>
    <w:rsid w:val="00B72889"/>
    <w:rsid w:val="00B73328"/>
    <w:rsid w:val="00B7370B"/>
    <w:rsid w:val="00B7388E"/>
    <w:rsid w:val="00B745A2"/>
    <w:rsid w:val="00B74FBB"/>
    <w:rsid w:val="00B76806"/>
    <w:rsid w:val="00B8105F"/>
    <w:rsid w:val="00B81D77"/>
    <w:rsid w:val="00B85439"/>
    <w:rsid w:val="00B85F62"/>
    <w:rsid w:val="00B87E30"/>
    <w:rsid w:val="00B9152C"/>
    <w:rsid w:val="00B936C8"/>
    <w:rsid w:val="00B94304"/>
    <w:rsid w:val="00B95015"/>
    <w:rsid w:val="00B97098"/>
    <w:rsid w:val="00BA25FC"/>
    <w:rsid w:val="00BA2A1E"/>
    <w:rsid w:val="00BA67C2"/>
    <w:rsid w:val="00BA6B1F"/>
    <w:rsid w:val="00BB0285"/>
    <w:rsid w:val="00BB07CA"/>
    <w:rsid w:val="00BB0EFE"/>
    <w:rsid w:val="00BB398E"/>
    <w:rsid w:val="00BB653B"/>
    <w:rsid w:val="00BB7229"/>
    <w:rsid w:val="00BC067C"/>
    <w:rsid w:val="00BC17A1"/>
    <w:rsid w:val="00BC35EB"/>
    <w:rsid w:val="00BC59EA"/>
    <w:rsid w:val="00BC6363"/>
    <w:rsid w:val="00BC6A91"/>
    <w:rsid w:val="00BC6BE1"/>
    <w:rsid w:val="00BC71FF"/>
    <w:rsid w:val="00BC72C7"/>
    <w:rsid w:val="00BC7B08"/>
    <w:rsid w:val="00BD18AE"/>
    <w:rsid w:val="00BD34C1"/>
    <w:rsid w:val="00BD485A"/>
    <w:rsid w:val="00BD48F3"/>
    <w:rsid w:val="00BD6E8D"/>
    <w:rsid w:val="00BE0F75"/>
    <w:rsid w:val="00BE1691"/>
    <w:rsid w:val="00BE2B39"/>
    <w:rsid w:val="00BE37EE"/>
    <w:rsid w:val="00BE3F1F"/>
    <w:rsid w:val="00BE5429"/>
    <w:rsid w:val="00BE5B28"/>
    <w:rsid w:val="00BE6D59"/>
    <w:rsid w:val="00BF0FD6"/>
    <w:rsid w:val="00BF1617"/>
    <w:rsid w:val="00BF1C02"/>
    <w:rsid w:val="00BF1DE0"/>
    <w:rsid w:val="00BF3310"/>
    <w:rsid w:val="00BF4012"/>
    <w:rsid w:val="00BF4D48"/>
    <w:rsid w:val="00BF5EA5"/>
    <w:rsid w:val="00C0011B"/>
    <w:rsid w:val="00C019D2"/>
    <w:rsid w:val="00C046E6"/>
    <w:rsid w:val="00C04BC5"/>
    <w:rsid w:val="00C0750B"/>
    <w:rsid w:val="00C115C2"/>
    <w:rsid w:val="00C12272"/>
    <w:rsid w:val="00C125EE"/>
    <w:rsid w:val="00C12655"/>
    <w:rsid w:val="00C13D50"/>
    <w:rsid w:val="00C175DA"/>
    <w:rsid w:val="00C175DB"/>
    <w:rsid w:val="00C17F69"/>
    <w:rsid w:val="00C20EA6"/>
    <w:rsid w:val="00C21EEA"/>
    <w:rsid w:val="00C22C4D"/>
    <w:rsid w:val="00C22F31"/>
    <w:rsid w:val="00C23407"/>
    <w:rsid w:val="00C272AA"/>
    <w:rsid w:val="00C27F61"/>
    <w:rsid w:val="00C312E1"/>
    <w:rsid w:val="00C31EF9"/>
    <w:rsid w:val="00C330B3"/>
    <w:rsid w:val="00C33C9C"/>
    <w:rsid w:val="00C344BF"/>
    <w:rsid w:val="00C36835"/>
    <w:rsid w:val="00C41715"/>
    <w:rsid w:val="00C44361"/>
    <w:rsid w:val="00C45BD4"/>
    <w:rsid w:val="00C522F8"/>
    <w:rsid w:val="00C54C70"/>
    <w:rsid w:val="00C64541"/>
    <w:rsid w:val="00C674EC"/>
    <w:rsid w:val="00C70F38"/>
    <w:rsid w:val="00C722A2"/>
    <w:rsid w:val="00C74A7C"/>
    <w:rsid w:val="00C76F36"/>
    <w:rsid w:val="00C77BAF"/>
    <w:rsid w:val="00C81E7B"/>
    <w:rsid w:val="00C81E90"/>
    <w:rsid w:val="00C82A52"/>
    <w:rsid w:val="00C83E09"/>
    <w:rsid w:val="00C85CD1"/>
    <w:rsid w:val="00C86414"/>
    <w:rsid w:val="00C8715E"/>
    <w:rsid w:val="00C9247B"/>
    <w:rsid w:val="00C94F68"/>
    <w:rsid w:val="00C9535A"/>
    <w:rsid w:val="00C95D1B"/>
    <w:rsid w:val="00C974C0"/>
    <w:rsid w:val="00CA1DF0"/>
    <w:rsid w:val="00CA1EE2"/>
    <w:rsid w:val="00CA2D0D"/>
    <w:rsid w:val="00CB0FC0"/>
    <w:rsid w:val="00CB1ECD"/>
    <w:rsid w:val="00CB339E"/>
    <w:rsid w:val="00CB5640"/>
    <w:rsid w:val="00CB60F8"/>
    <w:rsid w:val="00CC04AE"/>
    <w:rsid w:val="00CC0696"/>
    <w:rsid w:val="00CC11AE"/>
    <w:rsid w:val="00CC1653"/>
    <w:rsid w:val="00CC47D3"/>
    <w:rsid w:val="00CC4882"/>
    <w:rsid w:val="00CC54F3"/>
    <w:rsid w:val="00CD1692"/>
    <w:rsid w:val="00CE32A0"/>
    <w:rsid w:val="00CE4A34"/>
    <w:rsid w:val="00CE506B"/>
    <w:rsid w:val="00CE6260"/>
    <w:rsid w:val="00CF055E"/>
    <w:rsid w:val="00CF080A"/>
    <w:rsid w:val="00CF3947"/>
    <w:rsid w:val="00CF3B2F"/>
    <w:rsid w:val="00CF7AE0"/>
    <w:rsid w:val="00CF7E43"/>
    <w:rsid w:val="00D01797"/>
    <w:rsid w:val="00D02867"/>
    <w:rsid w:val="00D02CF0"/>
    <w:rsid w:val="00D02D16"/>
    <w:rsid w:val="00D0578F"/>
    <w:rsid w:val="00D06D46"/>
    <w:rsid w:val="00D10331"/>
    <w:rsid w:val="00D1293B"/>
    <w:rsid w:val="00D12F7E"/>
    <w:rsid w:val="00D1545A"/>
    <w:rsid w:val="00D1792B"/>
    <w:rsid w:val="00D21FB6"/>
    <w:rsid w:val="00D22747"/>
    <w:rsid w:val="00D24AA6"/>
    <w:rsid w:val="00D254A4"/>
    <w:rsid w:val="00D27F31"/>
    <w:rsid w:val="00D32E70"/>
    <w:rsid w:val="00D345DE"/>
    <w:rsid w:val="00D34981"/>
    <w:rsid w:val="00D37088"/>
    <w:rsid w:val="00D40A35"/>
    <w:rsid w:val="00D440FD"/>
    <w:rsid w:val="00D446E2"/>
    <w:rsid w:val="00D45CA2"/>
    <w:rsid w:val="00D46485"/>
    <w:rsid w:val="00D51822"/>
    <w:rsid w:val="00D52B3B"/>
    <w:rsid w:val="00D541E4"/>
    <w:rsid w:val="00D5482E"/>
    <w:rsid w:val="00D556DE"/>
    <w:rsid w:val="00D574EA"/>
    <w:rsid w:val="00D642D2"/>
    <w:rsid w:val="00D65121"/>
    <w:rsid w:val="00D65A3B"/>
    <w:rsid w:val="00D65D79"/>
    <w:rsid w:val="00D65D93"/>
    <w:rsid w:val="00D7081B"/>
    <w:rsid w:val="00D70FEC"/>
    <w:rsid w:val="00D71A1B"/>
    <w:rsid w:val="00D72B75"/>
    <w:rsid w:val="00D739FE"/>
    <w:rsid w:val="00D76FA9"/>
    <w:rsid w:val="00D8226B"/>
    <w:rsid w:val="00D82ACC"/>
    <w:rsid w:val="00D85E86"/>
    <w:rsid w:val="00D871B3"/>
    <w:rsid w:val="00D91185"/>
    <w:rsid w:val="00D92A38"/>
    <w:rsid w:val="00D960EA"/>
    <w:rsid w:val="00DA20D0"/>
    <w:rsid w:val="00DA250C"/>
    <w:rsid w:val="00DA486E"/>
    <w:rsid w:val="00DA528B"/>
    <w:rsid w:val="00DA65D9"/>
    <w:rsid w:val="00DB093C"/>
    <w:rsid w:val="00DB6D6F"/>
    <w:rsid w:val="00DB758D"/>
    <w:rsid w:val="00DB7703"/>
    <w:rsid w:val="00DC2024"/>
    <w:rsid w:val="00DC2807"/>
    <w:rsid w:val="00DC6DBA"/>
    <w:rsid w:val="00DD1ABF"/>
    <w:rsid w:val="00DD1ED2"/>
    <w:rsid w:val="00DD56DF"/>
    <w:rsid w:val="00DD5C7F"/>
    <w:rsid w:val="00DD6CA5"/>
    <w:rsid w:val="00DD701E"/>
    <w:rsid w:val="00DD72A5"/>
    <w:rsid w:val="00DE35FD"/>
    <w:rsid w:val="00DE62D5"/>
    <w:rsid w:val="00DF1010"/>
    <w:rsid w:val="00DF18F7"/>
    <w:rsid w:val="00DF24A5"/>
    <w:rsid w:val="00DF2711"/>
    <w:rsid w:val="00DF3D02"/>
    <w:rsid w:val="00DF4F87"/>
    <w:rsid w:val="00DF60C3"/>
    <w:rsid w:val="00DF6632"/>
    <w:rsid w:val="00DF6ED5"/>
    <w:rsid w:val="00DF7A99"/>
    <w:rsid w:val="00E05463"/>
    <w:rsid w:val="00E10EB3"/>
    <w:rsid w:val="00E12E79"/>
    <w:rsid w:val="00E1309D"/>
    <w:rsid w:val="00E132AF"/>
    <w:rsid w:val="00E13F97"/>
    <w:rsid w:val="00E14A04"/>
    <w:rsid w:val="00E20DBF"/>
    <w:rsid w:val="00E219AF"/>
    <w:rsid w:val="00E219BB"/>
    <w:rsid w:val="00E258F9"/>
    <w:rsid w:val="00E26EBB"/>
    <w:rsid w:val="00E3268A"/>
    <w:rsid w:val="00E354EE"/>
    <w:rsid w:val="00E36521"/>
    <w:rsid w:val="00E400E8"/>
    <w:rsid w:val="00E41099"/>
    <w:rsid w:val="00E41FC9"/>
    <w:rsid w:val="00E44116"/>
    <w:rsid w:val="00E44A1A"/>
    <w:rsid w:val="00E453A7"/>
    <w:rsid w:val="00E46155"/>
    <w:rsid w:val="00E50674"/>
    <w:rsid w:val="00E52898"/>
    <w:rsid w:val="00E55D33"/>
    <w:rsid w:val="00E57ED4"/>
    <w:rsid w:val="00E61C19"/>
    <w:rsid w:val="00E62622"/>
    <w:rsid w:val="00E62CA1"/>
    <w:rsid w:val="00E67512"/>
    <w:rsid w:val="00E67F0B"/>
    <w:rsid w:val="00E722F9"/>
    <w:rsid w:val="00E729FB"/>
    <w:rsid w:val="00E72FE8"/>
    <w:rsid w:val="00E75445"/>
    <w:rsid w:val="00E76281"/>
    <w:rsid w:val="00E773AF"/>
    <w:rsid w:val="00E80C1C"/>
    <w:rsid w:val="00E81EBC"/>
    <w:rsid w:val="00E84753"/>
    <w:rsid w:val="00E912DC"/>
    <w:rsid w:val="00E93571"/>
    <w:rsid w:val="00EA1B5A"/>
    <w:rsid w:val="00EA1D9C"/>
    <w:rsid w:val="00EA3BCD"/>
    <w:rsid w:val="00EA4EC2"/>
    <w:rsid w:val="00EA740F"/>
    <w:rsid w:val="00EA7A50"/>
    <w:rsid w:val="00EB2AD1"/>
    <w:rsid w:val="00EB587F"/>
    <w:rsid w:val="00EB73CD"/>
    <w:rsid w:val="00EC0797"/>
    <w:rsid w:val="00EC0AEE"/>
    <w:rsid w:val="00EC0BAF"/>
    <w:rsid w:val="00EC0F94"/>
    <w:rsid w:val="00EC4797"/>
    <w:rsid w:val="00EC6535"/>
    <w:rsid w:val="00ED1778"/>
    <w:rsid w:val="00ED3681"/>
    <w:rsid w:val="00ED3917"/>
    <w:rsid w:val="00EE5F12"/>
    <w:rsid w:val="00EE62CF"/>
    <w:rsid w:val="00EF0ABA"/>
    <w:rsid w:val="00EF1A81"/>
    <w:rsid w:val="00EF3343"/>
    <w:rsid w:val="00EF3965"/>
    <w:rsid w:val="00EF3C15"/>
    <w:rsid w:val="00EF4262"/>
    <w:rsid w:val="00EF53F0"/>
    <w:rsid w:val="00EF59DE"/>
    <w:rsid w:val="00EF6929"/>
    <w:rsid w:val="00EF6C6B"/>
    <w:rsid w:val="00F07C62"/>
    <w:rsid w:val="00F10F2C"/>
    <w:rsid w:val="00F12152"/>
    <w:rsid w:val="00F12B0D"/>
    <w:rsid w:val="00F1383C"/>
    <w:rsid w:val="00F14185"/>
    <w:rsid w:val="00F147B3"/>
    <w:rsid w:val="00F152F4"/>
    <w:rsid w:val="00F15FFD"/>
    <w:rsid w:val="00F24A8C"/>
    <w:rsid w:val="00F24B79"/>
    <w:rsid w:val="00F24ECA"/>
    <w:rsid w:val="00F320BB"/>
    <w:rsid w:val="00F3404A"/>
    <w:rsid w:val="00F3530A"/>
    <w:rsid w:val="00F36EA0"/>
    <w:rsid w:val="00F41DFD"/>
    <w:rsid w:val="00F433B1"/>
    <w:rsid w:val="00F451CF"/>
    <w:rsid w:val="00F4549F"/>
    <w:rsid w:val="00F4622F"/>
    <w:rsid w:val="00F50DD6"/>
    <w:rsid w:val="00F51D8A"/>
    <w:rsid w:val="00F529D8"/>
    <w:rsid w:val="00F55DD4"/>
    <w:rsid w:val="00F55EA2"/>
    <w:rsid w:val="00F56A2B"/>
    <w:rsid w:val="00F60616"/>
    <w:rsid w:val="00F61B1A"/>
    <w:rsid w:val="00F62949"/>
    <w:rsid w:val="00F6394A"/>
    <w:rsid w:val="00F65A81"/>
    <w:rsid w:val="00F67440"/>
    <w:rsid w:val="00F74CC8"/>
    <w:rsid w:val="00F75A08"/>
    <w:rsid w:val="00F75EE2"/>
    <w:rsid w:val="00F773FC"/>
    <w:rsid w:val="00F77876"/>
    <w:rsid w:val="00F80647"/>
    <w:rsid w:val="00F85808"/>
    <w:rsid w:val="00F86E22"/>
    <w:rsid w:val="00F919F0"/>
    <w:rsid w:val="00F93250"/>
    <w:rsid w:val="00F935E6"/>
    <w:rsid w:val="00FA0330"/>
    <w:rsid w:val="00FA0CA0"/>
    <w:rsid w:val="00FA232A"/>
    <w:rsid w:val="00FA5FDB"/>
    <w:rsid w:val="00FB3D2B"/>
    <w:rsid w:val="00FB6FAD"/>
    <w:rsid w:val="00FB74B4"/>
    <w:rsid w:val="00FC3F7D"/>
    <w:rsid w:val="00FC52FD"/>
    <w:rsid w:val="00FC7438"/>
    <w:rsid w:val="00FD0909"/>
    <w:rsid w:val="00FD0FB2"/>
    <w:rsid w:val="00FD114E"/>
    <w:rsid w:val="00FD271B"/>
    <w:rsid w:val="00FD4296"/>
    <w:rsid w:val="00FD5053"/>
    <w:rsid w:val="00FD6055"/>
    <w:rsid w:val="00FD71BF"/>
    <w:rsid w:val="00FE05A8"/>
    <w:rsid w:val="00FE0E38"/>
    <w:rsid w:val="00FE307A"/>
    <w:rsid w:val="00FE59A5"/>
    <w:rsid w:val="00FE60A7"/>
    <w:rsid w:val="00FE6668"/>
    <w:rsid w:val="00FE7AFD"/>
    <w:rsid w:val="00FF0C3E"/>
    <w:rsid w:val="00FF35A6"/>
    <w:rsid w:val="00FF5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3B102"/>
  <w15:docId w15:val="{691ADCB5-8412-4F7B-8B2F-44DE773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92"/>
    <w:pPr>
      <w:spacing w:after="240" w:line="264" w:lineRule="auto"/>
    </w:pPr>
    <w:rPr>
      <w:sz w:val="24"/>
    </w:rPr>
  </w:style>
  <w:style w:type="paragraph" w:styleId="Heading1">
    <w:name w:val="heading 1"/>
    <w:basedOn w:val="Title"/>
    <w:next w:val="Normal"/>
    <w:link w:val="Heading1Char"/>
    <w:uiPriority w:val="9"/>
    <w:qFormat/>
    <w:rsid w:val="00B0387E"/>
    <w:pPr>
      <w:ind w:left="540"/>
      <w:outlineLvl w:val="0"/>
    </w:pPr>
    <w:rPr>
      <w:sz w:val="84"/>
      <w:szCs w:val="84"/>
    </w:rPr>
  </w:style>
  <w:style w:type="paragraph" w:styleId="Heading2">
    <w:name w:val="heading 2"/>
    <w:basedOn w:val="Heading1"/>
    <w:next w:val="Normal"/>
    <w:link w:val="Heading2Char"/>
    <w:uiPriority w:val="9"/>
    <w:unhideWhenUsed/>
    <w:qFormat/>
    <w:rsid w:val="003364E6"/>
    <w:pPr>
      <w:outlineLvl w:val="1"/>
    </w:pPr>
    <w:rPr>
      <w:sz w:val="36"/>
    </w:rPr>
  </w:style>
  <w:style w:type="paragraph" w:styleId="Heading3">
    <w:name w:val="heading 3"/>
    <w:basedOn w:val="Normal"/>
    <w:next w:val="Normal"/>
    <w:link w:val="Heading3Char"/>
    <w:uiPriority w:val="9"/>
    <w:unhideWhenUsed/>
    <w:qFormat/>
    <w:rsid w:val="00D02D16"/>
    <w:pPr>
      <w:keepNext/>
      <w:keepLines/>
      <w:spacing w:before="40" w:after="0"/>
      <w:outlineLvl w:val="2"/>
    </w:pPr>
    <w:rPr>
      <w:rFonts w:asciiTheme="majorHAnsi" w:eastAsiaTheme="majorEastAsia" w:hAnsiTheme="majorHAnsi" w:cstheme="majorBidi"/>
      <w:color w:val="002060"/>
      <w:sz w:val="32"/>
      <w:szCs w:val="32"/>
    </w:rPr>
  </w:style>
  <w:style w:type="paragraph" w:styleId="Heading4">
    <w:name w:val="heading 4"/>
    <w:basedOn w:val="Normal"/>
    <w:next w:val="Normal"/>
    <w:link w:val="Heading4Char"/>
    <w:uiPriority w:val="9"/>
    <w:unhideWhenUsed/>
    <w:qFormat/>
    <w:rsid w:val="00B0387E"/>
    <w:pPr>
      <w:keepNext/>
      <w:suppressAutoHyphens/>
      <w:spacing w:after="120"/>
      <w:outlineLvl w:val="3"/>
    </w:pPr>
    <w:rPr>
      <w:b/>
    </w:rPr>
  </w:style>
  <w:style w:type="paragraph" w:styleId="Heading5">
    <w:name w:val="heading 5"/>
    <w:basedOn w:val="Normal"/>
    <w:next w:val="Normal"/>
    <w:link w:val="Heading5Char"/>
    <w:uiPriority w:val="9"/>
    <w:semiHidden/>
    <w:unhideWhenUsed/>
    <w:qFormat/>
    <w:rsid w:val="00B501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4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87E"/>
    <w:rPr>
      <w:sz w:val="84"/>
      <w:szCs w:val="84"/>
    </w:rPr>
  </w:style>
  <w:style w:type="paragraph" w:styleId="NoSpacing">
    <w:name w:val="No Spacing"/>
    <w:basedOn w:val="Normal"/>
    <w:next w:val="Normal"/>
    <w:link w:val="NoSpacingChar"/>
    <w:uiPriority w:val="1"/>
    <w:rsid w:val="009804A1"/>
    <w:pPr>
      <w:snapToGrid w:val="0"/>
      <w:spacing w:after="0" w:line="240" w:lineRule="auto"/>
    </w:pPr>
  </w:style>
  <w:style w:type="character" w:customStyle="1" w:styleId="A11">
    <w:name w:val="A11"/>
    <w:uiPriority w:val="99"/>
    <w:rsid w:val="009A7684"/>
    <w:rPr>
      <w:rFonts w:cs="Gill Sans MT"/>
      <w:b/>
      <w:bCs/>
      <w:color w:val="000000"/>
    </w:rPr>
  </w:style>
  <w:style w:type="character" w:customStyle="1" w:styleId="NoSpacingChar">
    <w:name w:val="No Spacing Char"/>
    <w:basedOn w:val="DefaultParagraphFont"/>
    <w:link w:val="NoSpacing"/>
    <w:uiPriority w:val="1"/>
    <w:rsid w:val="009804A1"/>
    <w:rPr>
      <w:sz w:val="24"/>
    </w:rPr>
  </w:style>
  <w:style w:type="character" w:customStyle="1" w:styleId="Heading2Char">
    <w:name w:val="Heading 2 Char"/>
    <w:basedOn w:val="DefaultParagraphFont"/>
    <w:link w:val="Heading2"/>
    <w:uiPriority w:val="9"/>
    <w:rsid w:val="003364E6"/>
    <w:rPr>
      <w:rFonts w:eastAsiaTheme="majorEastAsia" w:cstheme="minorHAnsi"/>
      <w:b/>
      <w:bCs/>
      <w:color w:val="2E74B5" w:themeColor="accent1" w:themeShade="BF"/>
      <w:sz w:val="36"/>
      <w:szCs w:val="48"/>
    </w:rPr>
  </w:style>
  <w:style w:type="paragraph" w:styleId="Title">
    <w:name w:val="Title"/>
    <w:basedOn w:val="Normal"/>
    <w:next w:val="Normal"/>
    <w:link w:val="TitleChar"/>
    <w:rsid w:val="003B3522"/>
    <w:rPr>
      <w:sz w:val="64"/>
      <w:szCs w:val="64"/>
    </w:rPr>
  </w:style>
  <w:style w:type="character" w:customStyle="1" w:styleId="TitleChar">
    <w:name w:val="Title Char"/>
    <w:basedOn w:val="DefaultParagraphFont"/>
    <w:link w:val="Title"/>
    <w:rsid w:val="003B3522"/>
    <w:rPr>
      <w:sz w:val="64"/>
      <w:szCs w:val="64"/>
    </w:rPr>
  </w:style>
  <w:style w:type="character" w:customStyle="1" w:styleId="Heading3Char">
    <w:name w:val="Heading 3 Char"/>
    <w:basedOn w:val="DefaultParagraphFont"/>
    <w:link w:val="Heading3"/>
    <w:uiPriority w:val="9"/>
    <w:rsid w:val="00D02D16"/>
    <w:rPr>
      <w:rFonts w:asciiTheme="majorHAnsi" w:eastAsiaTheme="majorEastAsia" w:hAnsiTheme="majorHAnsi" w:cstheme="majorBidi"/>
      <w:color w:val="002060"/>
      <w:sz w:val="32"/>
      <w:szCs w:val="32"/>
    </w:rPr>
  </w:style>
  <w:style w:type="table" w:styleId="TableGrid">
    <w:name w:val="Table Grid"/>
    <w:basedOn w:val="TableNormal"/>
    <w:uiPriority w:val="59"/>
    <w:rsid w:val="0010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rsid w:val="002E6495"/>
    <w:pPr>
      <w:numPr>
        <w:numId w:val="15"/>
      </w:numPr>
      <w:snapToGrid w:val="0"/>
      <w:contextualSpacing/>
    </w:pPr>
    <w:rPr>
      <w:sz w:val="22"/>
    </w:rPr>
  </w:style>
  <w:style w:type="character" w:customStyle="1" w:styleId="ListParagraphChar">
    <w:name w:val="List Paragraph Char"/>
    <w:link w:val="ListParagraph"/>
    <w:uiPriority w:val="34"/>
    <w:locked/>
    <w:rsid w:val="002E6495"/>
  </w:style>
  <w:style w:type="character" w:styleId="CommentReference">
    <w:name w:val="annotation reference"/>
    <w:basedOn w:val="DefaultParagraphFont"/>
    <w:uiPriority w:val="99"/>
    <w:semiHidden/>
    <w:unhideWhenUsed/>
    <w:rsid w:val="00F919F0"/>
    <w:rPr>
      <w:sz w:val="16"/>
      <w:szCs w:val="16"/>
    </w:rPr>
  </w:style>
  <w:style w:type="paragraph" w:styleId="CommentText">
    <w:name w:val="annotation text"/>
    <w:basedOn w:val="Normal"/>
    <w:link w:val="CommentTextChar"/>
    <w:uiPriority w:val="99"/>
    <w:unhideWhenUsed/>
    <w:rsid w:val="00F919F0"/>
    <w:pPr>
      <w:spacing w:line="240" w:lineRule="auto"/>
    </w:pPr>
    <w:rPr>
      <w:sz w:val="20"/>
      <w:szCs w:val="20"/>
    </w:rPr>
  </w:style>
  <w:style w:type="character" w:customStyle="1" w:styleId="CommentTextChar">
    <w:name w:val="Comment Text Char"/>
    <w:basedOn w:val="DefaultParagraphFont"/>
    <w:link w:val="CommentText"/>
    <w:uiPriority w:val="99"/>
    <w:rsid w:val="00F919F0"/>
    <w:rPr>
      <w:sz w:val="20"/>
      <w:szCs w:val="20"/>
    </w:rPr>
  </w:style>
  <w:style w:type="paragraph" w:styleId="CommentSubject">
    <w:name w:val="annotation subject"/>
    <w:basedOn w:val="CommentText"/>
    <w:next w:val="CommentText"/>
    <w:link w:val="CommentSubjectChar"/>
    <w:uiPriority w:val="99"/>
    <w:semiHidden/>
    <w:unhideWhenUsed/>
    <w:rsid w:val="00F919F0"/>
    <w:rPr>
      <w:b/>
      <w:bCs/>
    </w:rPr>
  </w:style>
  <w:style w:type="character" w:customStyle="1" w:styleId="CommentSubjectChar">
    <w:name w:val="Comment Subject Char"/>
    <w:basedOn w:val="CommentTextChar"/>
    <w:link w:val="CommentSubject"/>
    <w:uiPriority w:val="99"/>
    <w:semiHidden/>
    <w:rsid w:val="00F919F0"/>
    <w:rPr>
      <w:b/>
      <w:bCs/>
      <w:sz w:val="20"/>
      <w:szCs w:val="20"/>
    </w:rPr>
  </w:style>
  <w:style w:type="paragraph" w:styleId="BalloonText">
    <w:name w:val="Balloon Text"/>
    <w:basedOn w:val="Normal"/>
    <w:link w:val="BalloonTextChar"/>
    <w:uiPriority w:val="99"/>
    <w:semiHidden/>
    <w:unhideWhenUsed/>
    <w:rsid w:val="00F9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9F0"/>
    <w:rPr>
      <w:rFonts w:ascii="Segoe UI" w:hAnsi="Segoe UI" w:cs="Segoe UI"/>
      <w:sz w:val="18"/>
      <w:szCs w:val="18"/>
    </w:rPr>
  </w:style>
  <w:style w:type="character" w:styleId="Hyperlink">
    <w:name w:val="Hyperlink"/>
    <w:basedOn w:val="DefaultParagraphFont"/>
    <w:uiPriority w:val="99"/>
    <w:unhideWhenUsed/>
    <w:rsid w:val="00B62EBA"/>
    <w:rPr>
      <w:color w:val="0563C1" w:themeColor="hyperlink"/>
      <w:u w:val="single"/>
    </w:rPr>
  </w:style>
  <w:style w:type="character" w:styleId="Emphasis">
    <w:name w:val="Emphasis"/>
    <w:basedOn w:val="DefaultParagraphFont"/>
    <w:uiPriority w:val="20"/>
    <w:qFormat/>
    <w:rsid w:val="00BC7B08"/>
    <w:rPr>
      <w:i/>
      <w:iCs/>
    </w:rPr>
  </w:style>
  <w:style w:type="paragraph" w:styleId="NormalWeb">
    <w:name w:val="Normal (Web)"/>
    <w:basedOn w:val="Normal"/>
    <w:uiPriority w:val="99"/>
    <w:unhideWhenUsed/>
    <w:rsid w:val="008F0B24"/>
    <w:pPr>
      <w:spacing w:before="100" w:beforeAutospacing="1" w:after="100" w:afterAutospacing="1" w:line="240" w:lineRule="auto"/>
    </w:pPr>
    <w:rPr>
      <w:rFonts w:ascii="Times New Roman" w:eastAsiaTheme="minorEastAsia" w:hAnsi="Times New Roman" w:cs="Times New Roman"/>
      <w:szCs w:val="18"/>
    </w:rPr>
  </w:style>
  <w:style w:type="paragraph" w:styleId="Revision">
    <w:name w:val="Revision"/>
    <w:hidden/>
    <w:uiPriority w:val="99"/>
    <w:semiHidden/>
    <w:rsid w:val="00DF6ED5"/>
    <w:pPr>
      <w:spacing w:after="0" w:line="240" w:lineRule="auto"/>
    </w:pPr>
  </w:style>
  <w:style w:type="character" w:styleId="Strong">
    <w:name w:val="Strong"/>
    <w:basedOn w:val="DefaultParagraphFont"/>
    <w:uiPriority w:val="22"/>
    <w:qFormat/>
    <w:rsid w:val="0099208A"/>
    <w:rPr>
      <w:b/>
      <w:bCs/>
    </w:rPr>
  </w:style>
  <w:style w:type="character" w:customStyle="1" w:styleId="field1">
    <w:name w:val="field1"/>
    <w:basedOn w:val="DefaultParagraphFont"/>
    <w:rsid w:val="00655B5F"/>
    <w:rPr>
      <w:rFonts w:ascii="Verdana" w:hAnsi="Verdana" w:hint="default"/>
      <w:b/>
      <w:bCs/>
      <w:sz w:val="24"/>
      <w:szCs w:val="24"/>
    </w:rPr>
  </w:style>
  <w:style w:type="character" w:styleId="FollowedHyperlink">
    <w:name w:val="FollowedHyperlink"/>
    <w:basedOn w:val="DefaultParagraphFont"/>
    <w:uiPriority w:val="99"/>
    <w:semiHidden/>
    <w:unhideWhenUsed/>
    <w:rsid w:val="001913A8"/>
    <w:rPr>
      <w:color w:val="954F72" w:themeColor="followedHyperlink"/>
      <w:u w:val="single"/>
    </w:rPr>
  </w:style>
  <w:style w:type="character" w:customStyle="1" w:styleId="element-invisible">
    <w:name w:val="element-invisible"/>
    <w:basedOn w:val="DefaultParagraphFont"/>
    <w:rsid w:val="007A199D"/>
  </w:style>
  <w:style w:type="paragraph" w:styleId="Caption">
    <w:name w:val="caption"/>
    <w:basedOn w:val="Normal"/>
    <w:next w:val="Normal"/>
    <w:uiPriority w:val="35"/>
    <w:unhideWhenUsed/>
    <w:rsid w:val="00C44361"/>
    <w:pPr>
      <w:spacing w:after="200" w:line="276" w:lineRule="auto"/>
    </w:pPr>
    <w:rPr>
      <w:rFonts w:eastAsiaTheme="minorEastAsia"/>
      <w:b/>
      <w:bCs/>
      <w:caps/>
      <w:szCs w:val="18"/>
    </w:rPr>
  </w:style>
  <w:style w:type="character" w:customStyle="1" w:styleId="frmcontent1">
    <w:name w:val="frmcontent1"/>
    <w:basedOn w:val="DefaultParagraphFont"/>
    <w:rsid w:val="00E67512"/>
    <w:rPr>
      <w:rFonts w:ascii="Times New Roman" w:hAnsi="Times New Roman" w:cs="Times New Roman" w:hint="default"/>
      <w:color w:val="000000"/>
    </w:rPr>
  </w:style>
  <w:style w:type="paragraph" w:styleId="Header">
    <w:name w:val="header"/>
    <w:basedOn w:val="Normal"/>
    <w:link w:val="HeaderChar"/>
    <w:uiPriority w:val="99"/>
    <w:unhideWhenUsed/>
    <w:rsid w:val="00A7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15"/>
  </w:style>
  <w:style w:type="paragraph" w:styleId="Footer">
    <w:name w:val="footer"/>
    <w:basedOn w:val="Normal"/>
    <w:link w:val="FooterChar"/>
    <w:uiPriority w:val="99"/>
    <w:unhideWhenUsed/>
    <w:rsid w:val="00A7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15"/>
  </w:style>
  <w:style w:type="character" w:customStyle="1" w:styleId="UnresolvedMention1">
    <w:name w:val="Unresolved Mention1"/>
    <w:basedOn w:val="DefaultParagraphFont"/>
    <w:uiPriority w:val="99"/>
    <w:semiHidden/>
    <w:unhideWhenUsed/>
    <w:rsid w:val="005C5427"/>
    <w:rPr>
      <w:color w:val="605E5C"/>
      <w:shd w:val="clear" w:color="auto" w:fill="E1DFDD"/>
    </w:rPr>
  </w:style>
  <w:style w:type="paragraph" w:customStyle="1" w:styleId="Pa0">
    <w:name w:val="Pa0"/>
    <w:basedOn w:val="Normal"/>
    <w:uiPriority w:val="99"/>
    <w:rsid w:val="001B5701"/>
    <w:pPr>
      <w:autoSpaceDE w:val="0"/>
      <w:autoSpaceDN w:val="0"/>
      <w:spacing w:after="0" w:line="241" w:lineRule="atLeast"/>
    </w:pPr>
    <w:rPr>
      <w:rFonts w:ascii="Gill Sans MT" w:hAnsi="Gill Sans MT" w:cs="Times New Roman"/>
      <w:szCs w:val="24"/>
    </w:rPr>
  </w:style>
  <w:style w:type="character" w:customStyle="1" w:styleId="UnresolvedMention2">
    <w:name w:val="Unresolved Mention2"/>
    <w:basedOn w:val="DefaultParagraphFont"/>
    <w:uiPriority w:val="99"/>
    <w:semiHidden/>
    <w:unhideWhenUsed/>
    <w:rsid w:val="00737186"/>
    <w:rPr>
      <w:color w:val="605E5C"/>
      <w:shd w:val="clear" w:color="auto" w:fill="E1DFDD"/>
    </w:rPr>
  </w:style>
  <w:style w:type="table" w:styleId="TableWeb3">
    <w:name w:val="Table Web 3"/>
    <w:basedOn w:val="TableNormal"/>
    <w:uiPriority w:val="99"/>
    <w:rsid w:val="00BE54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3">
    <w:name w:val="Unresolved Mention3"/>
    <w:basedOn w:val="DefaultParagraphFont"/>
    <w:uiPriority w:val="99"/>
    <w:semiHidden/>
    <w:unhideWhenUsed/>
    <w:rsid w:val="000267A2"/>
    <w:rPr>
      <w:color w:val="605E5C"/>
      <w:shd w:val="clear" w:color="auto" w:fill="E1DFDD"/>
    </w:rPr>
  </w:style>
  <w:style w:type="character" w:customStyle="1" w:styleId="UnresolvedMention4">
    <w:name w:val="Unresolved Mention4"/>
    <w:basedOn w:val="DefaultParagraphFont"/>
    <w:uiPriority w:val="99"/>
    <w:semiHidden/>
    <w:unhideWhenUsed/>
    <w:rsid w:val="009A4195"/>
    <w:rPr>
      <w:color w:val="605E5C"/>
      <w:shd w:val="clear" w:color="auto" w:fill="E1DFDD"/>
    </w:rPr>
  </w:style>
  <w:style w:type="character" w:customStyle="1" w:styleId="Heading4Char">
    <w:name w:val="Heading 4 Char"/>
    <w:basedOn w:val="DefaultParagraphFont"/>
    <w:link w:val="Heading4"/>
    <w:uiPriority w:val="9"/>
    <w:rsid w:val="00B0387E"/>
    <w:rPr>
      <w:b/>
      <w:sz w:val="24"/>
    </w:rPr>
  </w:style>
  <w:style w:type="paragraph" w:styleId="Quote">
    <w:name w:val="Quote"/>
    <w:basedOn w:val="Normal"/>
    <w:next w:val="Normal"/>
    <w:link w:val="QuoteChar"/>
    <w:uiPriority w:val="29"/>
    <w:qFormat/>
    <w:rsid w:val="00002EE3"/>
    <w:pPr>
      <w:keepLines/>
      <w:snapToGrid w:val="0"/>
      <w:ind w:left="360" w:right="360"/>
      <w:jc w:val="both"/>
    </w:pPr>
    <w:rPr>
      <w:i/>
      <w:iCs/>
      <w:color w:val="404040" w:themeColor="text1" w:themeTint="BF"/>
    </w:rPr>
  </w:style>
  <w:style w:type="character" w:customStyle="1" w:styleId="QuoteChar">
    <w:name w:val="Quote Char"/>
    <w:basedOn w:val="DefaultParagraphFont"/>
    <w:link w:val="Quote"/>
    <w:uiPriority w:val="29"/>
    <w:rsid w:val="00002EE3"/>
    <w:rPr>
      <w:i/>
      <w:iCs/>
      <w:color w:val="404040" w:themeColor="text1" w:themeTint="BF"/>
      <w:sz w:val="24"/>
    </w:rPr>
  </w:style>
  <w:style w:type="numbering" w:customStyle="1" w:styleId="Bullet">
    <w:name w:val="Bullet"/>
    <w:basedOn w:val="NoList"/>
    <w:uiPriority w:val="99"/>
    <w:rsid w:val="001F6BE6"/>
    <w:pPr>
      <w:numPr>
        <w:numId w:val="16"/>
      </w:numPr>
    </w:pPr>
  </w:style>
  <w:style w:type="paragraph" w:customStyle="1" w:styleId="Source">
    <w:name w:val="Source"/>
    <w:basedOn w:val="Normal"/>
    <w:qFormat/>
    <w:rsid w:val="001F6BE6"/>
    <w:pPr>
      <w:snapToGrid w:val="0"/>
    </w:pPr>
    <w:rPr>
      <w:sz w:val="20"/>
      <w:szCs w:val="20"/>
    </w:rPr>
  </w:style>
  <w:style w:type="paragraph" w:customStyle="1" w:styleId="ExhibitHead">
    <w:name w:val="Exhibit Head"/>
    <w:basedOn w:val="Heading3"/>
    <w:autoRedefine/>
    <w:qFormat/>
    <w:rsid w:val="002E6495"/>
    <w:pPr>
      <w:spacing w:before="0"/>
      <w:outlineLvl w:val="3"/>
    </w:pPr>
    <w:rPr>
      <w:bCs/>
      <w:sz w:val="24"/>
      <w:szCs w:val="24"/>
    </w:rPr>
  </w:style>
  <w:style w:type="paragraph" w:customStyle="1" w:styleId="Reference">
    <w:name w:val="Reference"/>
    <w:basedOn w:val="Normal"/>
    <w:qFormat/>
    <w:rsid w:val="00002EE3"/>
    <w:pPr>
      <w:snapToGrid w:val="0"/>
      <w:ind w:left="360"/>
    </w:pPr>
  </w:style>
  <w:style w:type="character" w:customStyle="1" w:styleId="Underline">
    <w:name w:val="Underline"/>
    <w:basedOn w:val="DefaultParagraphFont"/>
    <w:uiPriority w:val="1"/>
    <w:qFormat/>
    <w:rsid w:val="009804A1"/>
    <w:rPr>
      <w:b w:val="0"/>
      <w:bCs/>
      <w:u w:val="single"/>
    </w:rPr>
  </w:style>
  <w:style w:type="paragraph" w:styleId="TOC1">
    <w:name w:val="toc 1"/>
    <w:basedOn w:val="Normal"/>
    <w:next w:val="Normal"/>
    <w:autoRedefine/>
    <w:uiPriority w:val="39"/>
    <w:unhideWhenUsed/>
    <w:rsid w:val="00657E30"/>
    <w:pPr>
      <w:spacing w:after="100"/>
    </w:pPr>
  </w:style>
  <w:style w:type="paragraph" w:styleId="TOC2">
    <w:name w:val="toc 2"/>
    <w:basedOn w:val="Normal"/>
    <w:next w:val="Normal"/>
    <w:autoRedefine/>
    <w:uiPriority w:val="39"/>
    <w:unhideWhenUsed/>
    <w:rsid w:val="0048487A"/>
    <w:pPr>
      <w:tabs>
        <w:tab w:val="right" w:leader="dot" w:pos="9350"/>
      </w:tabs>
      <w:spacing w:after="100"/>
      <w:ind w:left="240"/>
    </w:pPr>
  </w:style>
  <w:style w:type="paragraph" w:styleId="TOC3">
    <w:name w:val="toc 3"/>
    <w:basedOn w:val="Normal"/>
    <w:next w:val="Normal"/>
    <w:autoRedefine/>
    <w:uiPriority w:val="39"/>
    <w:unhideWhenUsed/>
    <w:rsid w:val="001F2E7E"/>
    <w:pPr>
      <w:tabs>
        <w:tab w:val="right" w:leader="dot" w:pos="9350"/>
      </w:tabs>
      <w:spacing w:after="100"/>
      <w:ind w:left="480"/>
    </w:pPr>
  </w:style>
  <w:style w:type="paragraph" w:styleId="TOC4">
    <w:name w:val="toc 4"/>
    <w:basedOn w:val="Normal"/>
    <w:next w:val="Normal"/>
    <w:autoRedefine/>
    <w:uiPriority w:val="39"/>
    <w:unhideWhenUsed/>
    <w:rsid w:val="00657E30"/>
    <w:pPr>
      <w:spacing w:after="100"/>
      <w:ind w:left="720"/>
    </w:pPr>
  </w:style>
  <w:style w:type="character" w:customStyle="1" w:styleId="Bold">
    <w:name w:val="Bold"/>
    <w:uiPriority w:val="1"/>
    <w:rsid w:val="002903C5"/>
    <w:rPr>
      <w:b/>
    </w:rPr>
  </w:style>
  <w:style w:type="table" w:customStyle="1" w:styleId="NIDILRRTable">
    <w:name w:val="NIDILRRTable"/>
    <w:basedOn w:val="PlainTable2"/>
    <w:uiPriority w:val="99"/>
    <w:rsid w:val="00697A70"/>
    <w:pPr>
      <w:tabs>
        <w:tab w:val="left" w:pos="288"/>
      </w:tabs>
      <w:snapToGrid w:val="0"/>
      <w:jc w:val="center"/>
    </w:pPr>
    <w:rPr>
      <w:sz w:val="24"/>
      <w:szCs w:val="20"/>
    </w:rPr>
    <w:tblPr>
      <w:tblBorders>
        <w:top w:val="single" w:sz="18" w:space="0" w:color="2F5496" w:themeColor="accent5" w:themeShade="BF"/>
        <w:bottom w:val="single" w:sz="18" w:space="0" w:color="2F5496" w:themeColor="accent5" w:themeShade="BF"/>
        <w:insideH w:val="single" w:sz="8" w:space="0" w:color="2F5496" w:themeColor="accent5" w:themeShade="BF"/>
        <w:insideV w:val="single" w:sz="8" w:space="0" w:color="2F5496" w:themeColor="accent5" w:themeShade="BF"/>
      </w:tblBorders>
      <w:tblCellMar>
        <w:left w:w="115" w:type="dxa"/>
        <w:right w:w="115" w:type="dxa"/>
      </w:tblCellMar>
    </w:tblPr>
    <w:tcPr>
      <w:shd w:val="clear" w:color="auto" w:fill="auto"/>
      <w:vAlign w:val="bottom"/>
    </w:tcPr>
    <w:tblStylePr w:type="firstRow">
      <w:pPr>
        <w:wordWrap/>
        <w:adjustRightInd w:val="0"/>
        <w:snapToGrid w:val="0"/>
        <w:spacing w:beforeLines="0" w:before="0" w:beforeAutospacing="0" w:afterLines="0" w:after="0" w:afterAutospacing="0" w:line="240" w:lineRule="auto"/>
        <w:ind w:leftChars="0" w:left="0" w:rightChars="0" w:right="0" w:firstLineChars="0" w:firstLine="0"/>
        <w:contextualSpacing w:val="0"/>
        <w:mirrorIndents w:val="0"/>
        <w:jc w:val="center"/>
        <w:outlineLvl w:val="9"/>
      </w:pPr>
      <w:rPr>
        <w:rFonts w:asciiTheme="minorHAnsi" w:hAnsiTheme="minorHAnsi"/>
        <w:b/>
        <w:bCs/>
        <w:color w:val="FFFFFF" w:themeColor="background1"/>
        <w:sz w:val="24"/>
      </w:rPr>
      <w:tblPr/>
      <w:trPr>
        <w:cantSplit/>
        <w:tblHeader/>
      </w:trPr>
      <w:tcPr>
        <w:tcBorders>
          <w:bottom w:val="single" w:sz="4" w:space="0" w:color="7F7F7F" w:themeColor="text1" w:themeTint="80"/>
        </w:tcBorders>
        <w:shd w:val="clear" w:color="auto" w:fill="002060"/>
        <w:tcMar>
          <w:top w:w="0" w:type="nil"/>
          <w:left w:w="0" w:type="nil"/>
          <w:bottom w:w="0" w:type="nil"/>
          <w:right w:w="115" w:type="dxa"/>
        </w:tcMar>
        <w:vAlign w:val="top"/>
      </w:tcPr>
    </w:tblStylePr>
    <w:tblStylePr w:type="lastRow">
      <w:rPr>
        <w:b/>
        <w:bCs/>
      </w:rPr>
      <w:tblPr/>
      <w:tcPr>
        <w:tcBorders>
          <w:top w:val="single" w:sz="4" w:space="0" w:color="7F7F7F" w:themeColor="text1" w:themeTint="80"/>
        </w:tcBorders>
        <w:shd w:val="clear" w:color="auto" w:fill="E0E0E0"/>
      </w:tcPr>
    </w:tblStylePr>
    <w:tblStylePr w:type="firstCol">
      <w:pPr>
        <w:keepNext w:val="0"/>
        <w:keepLines w:val="0"/>
        <w:pageBreakBefore w:val="0"/>
        <w:widowControl/>
        <w:suppressLineNumbers w:val="0"/>
        <w:wordWrap/>
        <w:adjustRightInd w:val="0"/>
        <w:snapToGrid w:val="0"/>
        <w:spacing w:beforeLines="0" w:before="0" w:beforeAutospacing="0" w:afterLines="0" w:after="0" w:afterAutospacing="0" w:line="240" w:lineRule="auto"/>
        <w:ind w:leftChars="0" w:left="0" w:rightChars="0" w:right="0" w:firstLineChars="0" w:firstLine="0"/>
        <w:contextualSpacing w:val="0"/>
        <w:mirrorIndents w:val="0"/>
        <w:jc w:val="left"/>
        <w:outlineLvl w:val="9"/>
      </w:pPr>
      <w:rPr>
        <w:b/>
        <w:bCs/>
      </w:rPr>
      <w:tblPr/>
      <w:tcPr>
        <w:shd w:val="clear" w:color="auto" w:fill="F2F2F2" w:themeFill="background1" w:themeFillShade="F2"/>
        <w:tcMar>
          <w:top w:w="0" w:type="nil"/>
          <w:left w:w="0" w:type="nil"/>
          <w:bottom w:w="0" w:type="nil"/>
          <w:right w:w="115" w:type="dxa"/>
        </w:tcMar>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llPad">
    <w:name w:val="CellPad"/>
    <w:basedOn w:val="NoSpacing"/>
    <w:qFormat/>
    <w:rsid w:val="00A27B3C"/>
    <w:pPr>
      <w:tabs>
        <w:tab w:val="left" w:pos="288"/>
      </w:tabs>
      <w:ind w:right="288"/>
      <w:jc w:val="right"/>
    </w:pPr>
  </w:style>
  <w:style w:type="table" w:styleId="PlainTable2">
    <w:name w:val="Plain Table 2"/>
    <w:basedOn w:val="TableNormal"/>
    <w:uiPriority w:val="42"/>
    <w:rsid w:val="003150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B5011F"/>
    <w:rPr>
      <w:rFonts w:asciiTheme="majorHAnsi" w:eastAsiaTheme="majorEastAsia" w:hAnsiTheme="majorHAnsi" w:cstheme="majorBidi"/>
      <w:color w:val="2E74B5" w:themeColor="accent1" w:themeShade="BF"/>
      <w:sz w:val="24"/>
    </w:rPr>
  </w:style>
  <w:style w:type="character" w:customStyle="1" w:styleId="UnresolvedMention5">
    <w:name w:val="Unresolved Mention5"/>
    <w:basedOn w:val="DefaultParagraphFont"/>
    <w:uiPriority w:val="99"/>
    <w:semiHidden/>
    <w:unhideWhenUsed/>
    <w:rsid w:val="00337BA1"/>
    <w:rPr>
      <w:color w:val="605E5C"/>
      <w:shd w:val="clear" w:color="auto" w:fill="E1DFDD"/>
    </w:rPr>
  </w:style>
  <w:style w:type="character" w:customStyle="1" w:styleId="Heading6Char">
    <w:name w:val="Heading 6 Char"/>
    <w:basedOn w:val="DefaultParagraphFont"/>
    <w:link w:val="Heading6"/>
    <w:rsid w:val="00B85439"/>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6471">
      <w:bodyDiv w:val="1"/>
      <w:marLeft w:val="0"/>
      <w:marRight w:val="0"/>
      <w:marTop w:val="0"/>
      <w:marBottom w:val="0"/>
      <w:divBdr>
        <w:top w:val="none" w:sz="0" w:space="0" w:color="auto"/>
        <w:left w:val="none" w:sz="0" w:space="0" w:color="auto"/>
        <w:bottom w:val="none" w:sz="0" w:space="0" w:color="auto"/>
        <w:right w:val="none" w:sz="0" w:space="0" w:color="auto"/>
      </w:divBdr>
      <w:divsChild>
        <w:div w:id="1098871683">
          <w:marLeft w:val="0"/>
          <w:marRight w:val="0"/>
          <w:marTop w:val="0"/>
          <w:marBottom w:val="0"/>
          <w:divBdr>
            <w:top w:val="none" w:sz="0" w:space="0" w:color="auto"/>
            <w:left w:val="none" w:sz="0" w:space="0" w:color="auto"/>
            <w:bottom w:val="none" w:sz="0" w:space="0" w:color="auto"/>
            <w:right w:val="none" w:sz="0" w:space="0" w:color="auto"/>
          </w:divBdr>
          <w:divsChild>
            <w:div w:id="1331444048">
              <w:marLeft w:val="-173"/>
              <w:marRight w:val="-173"/>
              <w:marTop w:val="0"/>
              <w:marBottom w:val="0"/>
              <w:divBdr>
                <w:top w:val="none" w:sz="0" w:space="0" w:color="auto"/>
                <w:left w:val="none" w:sz="0" w:space="0" w:color="auto"/>
                <w:bottom w:val="none" w:sz="0" w:space="0" w:color="auto"/>
                <w:right w:val="none" w:sz="0" w:space="0" w:color="auto"/>
              </w:divBdr>
              <w:divsChild>
                <w:div w:id="824932382">
                  <w:marLeft w:val="0"/>
                  <w:marRight w:val="0"/>
                  <w:marTop w:val="0"/>
                  <w:marBottom w:val="0"/>
                  <w:divBdr>
                    <w:top w:val="none" w:sz="0" w:space="0" w:color="auto"/>
                    <w:left w:val="none" w:sz="0" w:space="0" w:color="auto"/>
                    <w:bottom w:val="none" w:sz="0" w:space="0" w:color="auto"/>
                    <w:right w:val="none" w:sz="0" w:space="0" w:color="auto"/>
                  </w:divBdr>
                  <w:divsChild>
                    <w:div w:id="1123571696">
                      <w:marLeft w:val="0"/>
                      <w:marRight w:val="0"/>
                      <w:marTop w:val="0"/>
                      <w:marBottom w:val="0"/>
                      <w:divBdr>
                        <w:top w:val="none" w:sz="0" w:space="0" w:color="auto"/>
                        <w:left w:val="none" w:sz="0" w:space="0" w:color="auto"/>
                        <w:bottom w:val="none" w:sz="0" w:space="0" w:color="auto"/>
                        <w:right w:val="none" w:sz="0" w:space="0" w:color="auto"/>
                      </w:divBdr>
                      <w:divsChild>
                        <w:div w:id="1455178068">
                          <w:marLeft w:val="0"/>
                          <w:marRight w:val="0"/>
                          <w:marTop w:val="0"/>
                          <w:marBottom w:val="0"/>
                          <w:divBdr>
                            <w:top w:val="none" w:sz="0" w:space="0" w:color="auto"/>
                            <w:left w:val="none" w:sz="0" w:space="0" w:color="auto"/>
                            <w:bottom w:val="none" w:sz="0" w:space="0" w:color="auto"/>
                            <w:right w:val="none" w:sz="0" w:space="0" w:color="auto"/>
                          </w:divBdr>
                          <w:divsChild>
                            <w:div w:id="1930232094">
                              <w:marLeft w:val="0"/>
                              <w:marRight w:val="0"/>
                              <w:marTop w:val="0"/>
                              <w:marBottom w:val="0"/>
                              <w:divBdr>
                                <w:top w:val="none" w:sz="0" w:space="0" w:color="auto"/>
                                <w:left w:val="none" w:sz="0" w:space="0" w:color="auto"/>
                                <w:bottom w:val="none" w:sz="0" w:space="0" w:color="auto"/>
                                <w:right w:val="none" w:sz="0" w:space="0" w:color="auto"/>
                              </w:divBdr>
                              <w:divsChild>
                                <w:div w:id="664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536747">
      <w:bodyDiv w:val="1"/>
      <w:marLeft w:val="0"/>
      <w:marRight w:val="0"/>
      <w:marTop w:val="0"/>
      <w:marBottom w:val="0"/>
      <w:divBdr>
        <w:top w:val="none" w:sz="0" w:space="0" w:color="auto"/>
        <w:left w:val="none" w:sz="0" w:space="0" w:color="auto"/>
        <w:bottom w:val="none" w:sz="0" w:space="0" w:color="auto"/>
        <w:right w:val="none" w:sz="0" w:space="0" w:color="auto"/>
      </w:divBdr>
    </w:div>
    <w:div w:id="811871062">
      <w:bodyDiv w:val="1"/>
      <w:marLeft w:val="0"/>
      <w:marRight w:val="0"/>
      <w:marTop w:val="0"/>
      <w:marBottom w:val="0"/>
      <w:divBdr>
        <w:top w:val="none" w:sz="0" w:space="0" w:color="auto"/>
        <w:left w:val="none" w:sz="0" w:space="0" w:color="auto"/>
        <w:bottom w:val="none" w:sz="0" w:space="0" w:color="auto"/>
        <w:right w:val="none" w:sz="0" w:space="0" w:color="auto"/>
      </w:divBdr>
    </w:div>
    <w:div w:id="1004043585">
      <w:bodyDiv w:val="1"/>
      <w:marLeft w:val="0"/>
      <w:marRight w:val="0"/>
      <w:marTop w:val="0"/>
      <w:marBottom w:val="0"/>
      <w:divBdr>
        <w:top w:val="none" w:sz="0" w:space="0" w:color="auto"/>
        <w:left w:val="none" w:sz="0" w:space="0" w:color="auto"/>
        <w:bottom w:val="none" w:sz="0" w:space="0" w:color="auto"/>
        <w:right w:val="none" w:sz="0" w:space="0" w:color="auto"/>
      </w:divBdr>
    </w:div>
    <w:div w:id="1064915558">
      <w:bodyDiv w:val="1"/>
      <w:marLeft w:val="0"/>
      <w:marRight w:val="0"/>
      <w:marTop w:val="0"/>
      <w:marBottom w:val="0"/>
      <w:divBdr>
        <w:top w:val="none" w:sz="0" w:space="0" w:color="auto"/>
        <w:left w:val="none" w:sz="0" w:space="0" w:color="auto"/>
        <w:bottom w:val="none" w:sz="0" w:space="0" w:color="auto"/>
        <w:right w:val="none" w:sz="0" w:space="0" w:color="auto"/>
      </w:divBdr>
    </w:div>
    <w:div w:id="1065035199">
      <w:bodyDiv w:val="1"/>
      <w:marLeft w:val="0"/>
      <w:marRight w:val="0"/>
      <w:marTop w:val="0"/>
      <w:marBottom w:val="0"/>
      <w:divBdr>
        <w:top w:val="none" w:sz="0" w:space="0" w:color="auto"/>
        <w:left w:val="none" w:sz="0" w:space="0" w:color="auto"/>
        <w:bottom w:val="none" w:sz="0" w:space="0" w:color="auto"/>
        <w:right w:val="none" w:sz="0" w:space="0" w:color="auto"/>
      </w:divBdr>
    </w:div>
    <w:div w:id="1080757415">
      <w:bodyDiv w:val="1"/>
      <w:marLeft w:val="0"/>
      <w:marRight w:val="0"/>
      <w:marTop w:val="0"/>
      <w:marBottom w:val="0"/>
      <w:divBdr>
        <w:top w:val="none" w:sz="0" w:space="0" w:color="auto"/>
        <w:left w:val="none" w:sz="0" w:space="0" w:color="auto"/>
        <w:bottom w:val="none" w:sz="0" w:space="0" w:color="auto"/>
        <w:right w:val="none" w:sz="0" w:space="0" w:color="auto"/>
      </w:divBdr>
    </w:div>
    <w:div w:id="1178151161">
      <w:bodyDiv w:val="1"/>
      <w:marLeft w:val="0"/>
      <w:marRight w:val="0"/>
      <w:marTop w:val="0"/>
      <w:marBottom w:val="0"/>
      <w:divBdr>
        <w:top w:val="none" w:sz="0" w:space="0" w:color="auto"/>
        <w:left w:val="none" w:sz="0" w:space="0" w:color="auto"/>
        <w:bottom w:val="none" w:sz="0" w:space="0" w:color="auto"/>
        <w:right w:val="none" w:sz="0" w:space="0" w:color="auto"/>
      </w:divBdr>
    </w:div>
    <w:div w:id="1556964525">
      <w:bodyDiv w:val="1"/>
      <w:marLeft w:val="0"/>
      <w:marRight w:val="0"/>
      <w:marTop w:val="0"/>
      <w:marBottom w:val="0"/>
      <w:divBdr>
        <w:top w:val="none" w:sz="0" w:space="0" w:color="auto"/>
        <w:left w:val="none" w:sz="0" w:space="0" w:color="auto"/>
        <w:bottom w:val="none" w:sz="0" w:space="0" w:color="auto"/>
        <w:right w:val="none" w:sz="0" w:space="0" w:color="auto"/>
      </w:divBdr>
    </w:div>
    <w:div w:id="1746105317">
      <w:bodyDiv w:val="1"/>
      <w:marLeft w:val="0"/>
      <w:marRight w:val="0"/>
      <w:marTop w:val="0"/>
      <w:marBottom w:val="0"/>
      <w:divBdr>
        <w:top w:val="none" w:sz="0" w:space="0" w:color="auto"/>
        <w:left w:val="none" w:sz="0" w:space="0" w:color="auto"/>
        <w:bottom w:val="none" w:sz="0" w:space="0" w:color="auto"/>
        <w:right w:val="none" w:sz="0" w:space="0" w:color="auto"/>
      </w:divBdr>
    </w:div>
    <w:div w:id="1768848848">
      <w:bodyDiv w:val="1"/>
      <w:marLeft w:val="0"/>
      <w:marRight w:val="0"/>
      <w:marTop w:val="0"/>
      <w:marBottom w:val="0"/>
      <w:divBdr>
        <w:top w:val="none" w:sz="0" w:space="0" w:color="auto"/>
        <w:left w:val="none" w:sz="0" w:space="0" w:color="auto"/>
        <w:bottom w:val="none" w:sz="0" w:space="0" w:color="auto"/>
        <w:right w:val="none" w:sz="0" w:space="0" w:color="auto"/>
      </w:divBdr>
    </w:div>
    <w:div w:id="1820921235">
      <w:bodyDiv w:val="1"/>
      <w:marLeft w:val="0"/>
      <w:marRight w:val="0"/>
      <w:marTop w:val="0"/>
      <w:marBottom w:val="0"/>
      <w:divBdr>
        <w:top w:val="none" w:sz="0" w:space="0" w:color="auto"/>
        <w:left w:val="none" w:sz="0" w:space="0" w:color="auto"/>
        <w:bottom w:val="none" w:sz="0" w:space="0" w:color="auto"/>
        <w:right w:val="none" w:sz="0" w:space="0" w:color="auto"/>
      </w:divBdr>
    </w:div>
    <w:div w:id="1822426518">
      <w:bodyDiv w:val="1"/>
      <w:marLeft w:val="0"/>
      <w:marRight w:val="0"/>
      <w:marTop w:val="0"/>
      <w:marBottom w:val="0"/>
      <w:divBdr>
        <w:top w:val="none" w:sz="0" w:space="0" w:color="auto"/>
        <w:left w:val="none" w:sz="0" w:space="0" w:color="auto"/>
        <w:bottom w:val="none" w:sz="0" w:space="0" w:color="auto"/>
        <w:right w:val="none" w:sz="0" w:space="0" w:color="auto"/>
      </w:divBdr>
    </w:div>
    <w:div w:id="1840076285">
      <w:bodyDiv w:val="1"/>
      <w:marLeft w:val="0"/>
      <w:marRight w:val="0"/>
      <w:marTop w:val="0"/>
      <w:marBottom w:val="0"/>
      <w:divBdr>
        <w:top w:val="none" w:sz="0" w:space="0" w:color="auto"/>
        <w:left w:val="none" w:sz="0" w:space="0" w:color="auto"/>
        <w:bottom w:val="none" w:sz="0" w:space="0" w:color="auto"/>
        <w:right w:val="none" w:sz="0" w:space="0" w:color="auto"/>
      </w:divBdr>
    </w:div>
    <w:div w:id="1855530218">
      <w:bodyDiv w:val="1"/>
      <w:marLeft w:val="0"/>
      <w:marRight w:val="0"/>
      <w:marTop w:val="0"/>
      <w:marBottom w:val="0"/>
      <w:divBdr>
        <w:top w:val="none" w:sz="0" w:space="0" w:color="auto"/>
        <w:left w:val="none" w:sz="0" w:space="0" w:color="auto"/>
        <w:bottom w:val="none" w:sz="0" w:space="0" w:color="auto"/>
        <w:right w:val="none" w:sz="0" w:space="0" w:color="auto"/>
      </w:divBdr>
    </w:div>
    <w:div w:id="1861158111">
      <w:bodyDiv w:val="1"/>
      <w:marLeft w:val="0"/>
      <w:marRight w:val="0"/>
      <w:marTop w:val="0"/>
      <w:marBottom w:val="0"/>
      <w:divBdr>
        <w:top w:val="none" w:sz="0" w:space="0" w:color="auto"/>
        <w:left w:val="none" w:sz="0" w:space="0" w:color="auto"/>
        <w:bottom w:val="none" w:sz="0" w:space="0" w:color="auto"/>
        <w:right w:val="none" w:sz="0" w:space="0" w:color="auto"/>
      </w:divBdr>
    </w:div>
    <w:div w:id="1891989285">
      <w:bodyDiv w:val="1"/>
      <w:marLeft w:val="0"/>
      <w:marRight w:val="0"/>
      <w:marTop w:val="0"/>
      <w:marBottom w:val="0"/>
      <w:divBdr>
        <w:top w:val="none" w:sz="0" w:space="0" w:color="auto"/>
        <w:left w:val="none" w:sz="0" w:space="0" w:color="auto"/>
        <w:bottom w:val="none" w:sz="0" w:space="0" w:color="auto"/>
        <w:right w:val="none" w:sz="0" w:space="0" w:color="auto"/>
      </w:divBdr>
    </w:div>
    <w:div w:id="19622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ncbi.nlm.nih.gov/pmc/articles/PMC6241225/pdf/i1082-0744-24-4-379.pdf" TargetMode="External"/><Relationship Id="rId26" Type="http://schemas.openxmlformats.org/officeDocument/2006/relationships/hyperlink" Target="https://tlpc.colorado.edu/wp-content/uploads/2019/01/2019.01.25-Consumer-Groups-GM-RTT-Exemption-Comments-final.pdf" TargetMode="External"/><Relationship Id="rId39" Type="http://schemas.openxmlformats.org/officeDocument/2006/relationships/hyperlink" Target="https://www.congress.gov/bill/116th-congress/house-bill/4561/text" TargetMode="External"/><Relationship Id="rId21" Type="http://schemas.openxmlformats.org/officeDocument/2006/relationships/hyperlink" Target="https://www.ecfr.gov/cgi-bin/text-idx?SID=ada7cebd65433a9e05c35426a2bc76b8&amp;mc=true&amp;node=pt47.3.67&amp;rgn=div5" TargetMode="External"/><Relationship Id="rId34" Type="http://schemas.openxmlformats.org/officeDocument/2006/relationships/hyperlink" Target="https://www.astm.org/" TargetMode="External"/><Relationship Id="rId42" Type="http://schemas.openxmlformats.org/officeDocument/2006/relationships/hyperlink" Target="https://youdescribe.org/video/8jaxiha8-rY" TargetMode="External"/><Relationship Id="rId47" Type="http://schemas.openxmlformats.org/officeDocument/2006/relationships/hyperlink" Target="https://www.explorevr.org/content/vermont-progressive-employment-model" TargetMode="External"/><Relationship Id="rId50" Type="http://schemas.openxmlformats.org/officeDocument/2006/relationships/hyperlink" Target="https://www.explorevr.org/content/announcing-participants-vermont-progressive-employment-learning-collaborative" TargetMode="External"/><Relationship Id="rId55" Type="http://schemas.openxmlformats.org/officeDocument/2006/relationships/hyperlink" Target="https://search.naric.com/research/pd/redesign_record.cfm?search=1&amp;type=advanced&amp;display=detailed&amp;all=&amp;exact=&amp;any=&amp;omit=&amp;fld1=PN&amp;txt1=90RT5029&amp;op1=AND&amp;fld2=PN&amp;txt2=&amp;op2=AND&amp;fld3=PN&amp;txt3=&amp;op3=AND&amp;fld4=PN&amp;txt4=&amp;funding_status=all&amp;criteria=&amp;state=&amp;start_month=&amp;start_year=&amp;project_type=&amp;funding_priority=&amp;rec=35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earch.naric.com/research/pd/redesign_record.cfm?search=1&amp;type=advanced&amp;display=detailed&amp;all=&amp;exact=&amp;any=&amp;omit=&amp;fld1=PN&amp;txt1=90DP0074&amp;op1=AND&amp;fld2=PN&amp;txt2=&amp;op2=AND&amp;fld3=PN&amp;txt3=&amp;op3=AND&amp;fld4=PN&amp;txt4=&amp;funding_status=all&amp;criteria=&amp;state=&amp;start_month=&amp;start_year=&amp;project_type=&amp;funding_priority=&amp;rec=3411" TargetMode="External"/><Relationship Id="rId29" Type="http://schemas.openxmlformats.org/officeDocument/2006/relationships/hyperlink" Target="https://www.naadac.org/" TargetMode="External"/><Relationship Id="rId11" Type="http://schemas.openxmlformats.org/officeDocument/2006/relationships/chart" Target="charts/chart1.xml"/><Relationship Id="rId24" Type="http://schemas.openxmlformats.org/officeDocument/2006/relationships/hyperlink" Target="https://tlpc.colorado.edu/wp-content/uploads/2019/01/2019.01.25-Consumer-Groups-GM-RTT-Exemption-Comments-final.pdf" TargetMode="External"/><Relationship Id="rId32" Type="http://schemas.openxmlformats.org/officeDocument/2006/relationships/hyperlink" Target="https://www.ntac.blind.msstate.edu/courses/" TargetMode="External"/><Relationship Id="rId37" Type="http://schemas.openxmlformats.org/officeDocument/2006/relationships/hyperlink" Target="https://www.congress.gov/bill/116th-congress/senate-bill/1244/text" TargetMode="External"/><Relationship Id="rId40" Type="http://schemas.openxmlformats.org/officeDocument/2006/relationships/hyperlink" Target="https://search.naric.com/research/pd/redesign_record.cfm?search=1&amp;type=advanced&amp;display=detailed&amp;all=&amp;exact=&amp;any=&amp;omit=&amp;fld1=PN&amp;txt1=90RE5024&amp;op1=AND&amp;fld2=PN&amp;txt2=&amp;op2=AND&amp;fld3=PN&amp;txt3=&amp;op3=AND&amp;fld4=PN&amp;txt4=&amp;funding_status=all&amp;criteria=&amp;state=&amp;start_month=&amp;start_year=&amp;project_type=&amp;funding_priority=&amp;rec=3532" TargetMode="External"/><Relationship Id="rId45" Type="http://schemas.openxmlformats.org/officeDocument/2006/relationships/hyperlink" Target="https://www.perkinselearning.org/technology/blog/youdescribe-audio-described-youtube-videos-review" TargetMode="External"/><Relationship Id="rId53" Type="http://schemas.openxmlformats.org/officeDocument/2006/relationships/hyperlink" Target="https://www.explorevr.org/sites/explorevr.org/files/files/progressive_employment_maine.pdf" TargetMode="External"/><Relationship Id="rId58" Type="http://schemas.openxmlformats.org/officeDocument/2006/relationships/hyperlink" Target="mailto:zlatka@bu.ed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leader.pubs.asha.org/doi/full/10.1044/leader.APP.19062014.34" TargetMode="External"/><Relationship Id="rId14" Type="http://schemas.openxmlformats.org/officeDocument/2006/relationships/hyperlink" Target="http://www.naric.com/" TargetMode="External"/><Relationship Id="rId22" Type="http://schemas.openxmlformats.org/officeDocument/2006/relationships/hyperlink" Target="https://www.fcc.gov/ecfs/filing/1211251984697" TargetMode="External"/><Relationship Id="rId27" Type="http://schemas.openxmlformats.org/officeDocument/2006/relationships/hyperlink" Target="https://tlpc.colorado.edu/wp-content/uploads/2019/01/2019.01.25-Consumer-Groups-GM-RTT-Exemption-Comments-final.pdf" TargetMode="External"/><Relationship Id="rId30" Type="http://schemas.openxmlformats.org/officeDocument/2006/relationships/hyperlink" Target="https://naadac.informz.net/informzdataservice/onlineversion/ind/bWFpbGluZ2luc3RhbmNlaWQ9NzQ2MDIyOCZzdWJzY3JpYmVyaWQ9ODgwNzMxMDkx" TargetMode="External"/><Relationship Id="rId35" Type="http://schemas.openxmlformats.org/officeDocument/2006/relationships/hyperlink" Target="http://www.astm.org/cgi-bin/resolver.cgi?F3021" TargetMode="External"/><Relationship Id="rId43" Type="http://schemas.openxmlformats.org/officeDocument/2006/relationships/hyperlink" Target="https://twitter.com/hashtag/YouDescribe?lang=en-gb" TargetMode="External"/><Relationship Id="rId48" Type="http://schemas.openxmlformats.org/officeDocument/2006/relationships/hyperlink" Target="https://content.iospress.com/articles/journal-of-vocational-rehabilitation/jvr961" TargetMode="External"/><Relationship Id="rId56" Type="http://schemas.openxmlformats.org/officeDocument/2006/relationships/hyperlink" Target="https://cpr.bu.edu/research/enhancing-the-community-inclusion-of-individuals-with-severe-mental-illness-using/" TargetMode="External"/><Relationship Id="rId8" Type="http://schemas.openxmlformats.org/officeDocument/2006/relationships/image" Target="media/image1.wmf"/><Relationship Id="rId51" Type="http://schemas.openxmlformats.org/officeDocument/2006/relationships/hyperlink" Target="https://www.explorevr.org/progressive-employment-maine-transition-work-based-learning-model"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www.ncbi.nlm.nih.gov/pmc/articles/PMC6241225/" TargetMode="External"/><Relationship Id="rId25" Type="http://schemas.openxmlformats.org/officeDocument/2006/relationships/hyperlink" Target="https://search.naric.com/research/pd/redesign_record.cfm?search=1&amp;type=advanced&amp;display=detailed&amp;all=&amp;exact=&amp;any=&amp;omit=&amp;fld1=PN&amp;txt1=90RE5027&amp;op1=AND&amp;fld2=PN&amp;txt2=&amp;op2=AND&amp;fld3=PN&amp;txt3=&amp;op3=AND&amp;fld4=PN&amp;txt4=&amp;funding_status=all&amp;criteria=&amp;state=&amp;start_month=&amp;start_year=&amp;project_type=&amp;funding_priority=&amp;rec=3548" TargetMode="External"/><Relationship Id="rId33" Type="http://schemas.openxmlformats.org/officeDocument/2006/relationships/hyperlink" Target="https://search.naric.com/research/pd/redesign_record.cfm?search=1&amp;type=advanced&amp;display=detailed&amp;all=&amp;exact=&amp;any=&amp;omit=&amp;fld1=PN&amp;txt1=90REGE0002&amp;op1=AND&amp;fld2=PN&amp;txt2=&amp;op2=AND&amp;fld3=PN&amp;txt3=&amp;op3=AND&amp;fld4=PN&amp;txt4=&amp;funding_status=all&amp;criteria=&amp;state=&amp;start_month=&amp;start_year=&amp;project_type=&amp;funding_priority=&amp;rec=3577" TargetMode="External"/><Relationship Id="rId38" Type="http://schemas.openxmlformats.org/officeDocument/2006/relationships/hyperlink" Target="https://www.access-board.gov/" TargetMode="External"/><Relationship Id="rId46" Type="http://schemas.openxmlformats.org/officeDocument/2006/relationships/hyperlink" Target="https://mediaaccess.org.au/web/how-to-audio-describe-a-youtube-video" TargetMode="External"/><Relationship Id="rId59" Type="http://schemas.openxmlformats.org/officeDocument/2006/relationships/footer" Target="footer1.xml"/><Relationship Id="rId20" Type="http://schemas.openxmlformats.org/officeDocument/2006/relationships/hyperlink" Target="https://www.fcc.gov/consumers/guides/real-time-text-improving-accessible-telecommunications" TargetMode="External"/><Relationship Id="rId41" Type="http://schemas.openxmlformats.org/officeDocument/2006/relationships/hyperlink" Target="https://youdescribe.org/support/about" TargetMode="External"/><Relationship Id="rId54" Type="http://schemas.openxmlformats.org/officeDocument/2006/relationships/hyperlink" Target="https://www.explorevr.org/content/vermont-progressive-employment-mode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rmone.org/diseases-and-conditions/cardiometabolic-risk" TargetMode="External"/><Relationship Id="rId23" Type="http://schemas.openxmlformats.org/officeDocument/2006/relationships/hyperlink" Target="https://docs.fcc.gov/public/attachments/DA-19-437A1.pdf" TargetMode="External"/><Relationship Id="rId28" Type="http://schemas.openxmlformats.org/officeDocument/2006/relationships/hyperlink" Target="https://adata.org/sites/adata.org/files/files/Addiction%20and%20Recovery%20final2019.pdf?utm_source=Access+New+England+Newsletter+May+2019&amp;utm_campaign=Access+New+England+Newsletter+October+2017&amp;utm_medium=email" TargetMode="External"/><Relationship Id="rId36" Type="http://schemas.openxmlformats.org/officeDocument/2006/relationships/hyperlink" Target="https://www.congress.gov/bill/115th-congress/senate-bill/3728/text" TargetMode="External"/><Relationship Id="rId49" Type="http://schemas.openxmlformats.org/officeDocument/2006/relationships/hyperlink" Target="https://search.naric.com/research/pd/redesign_record.cfm?search=1&amp;type=advanced&amp;display=detailed&amp;all=&amp;exact=&amp;any=&amp;omit=&amp;fld1=PN&amp;txt1=90IFRE0009&amp;op1=AND&amp;fld2=PN&amp;txt2=&amp;op2=AND&amp;fld3=PN&amp;txt3=&amp;op3=AND&amp;fld4=PN&amp;txt4=&amp;funding_status=all&amp;criteria=&amp;state=&amp;start_month=&amp;start_year=&amp;project_type=&amp;funding_priority=&amp;rec=3576" TargetMode="External"/><Relationship Id="rId57" Type="http://schemas.openxmlformats.org/officeDocument/2006/relationships/hyperlink" Target="mailto:diann.aiello@va.gov" TargetMode="External"/><Relationship Id="rId10" Type="http://schemas.openxmlformats.org/officeDocument/2006/relationships/hyperlink" Target="https://youdescribe.org/" TargetMode="External"/><Relationship Id="rId31" Type="http://schemas.openxmlformats.org/officeDocument/2006/relationships/hyperlink" Target="https://search.naric.com/research/pd/redesign_record.cfm?search=1&amp;type=advanced&amp;display=detailed&amp;all=&amp;exact=&amp;any=&amp;omit=&amp;fld1=PN&amp;txt1=90RT5040&amp;op1=AND&amp;fld2=PN&amp;txt2=&amp;op2=AND&amp;fld3=PN&amp;txt3=&amp;op3=AND&amp;fld4=PN&amp;txt4=&amp;funding_status=all&amp;criteria=&amp;state=&amp;start_month=&amp;start_year=&amp;project_type=&amp;funding_priority=&amp;rec=3437" TargetMode="External"/><Relationship Id="rId44" Type="http://schemas.openxmlformats.org/officeDocument/2006/relationships/hyperlink" Target="https://www.facebook.com/youdescribe/" TargetMode="External"/><Relationship Id="rId52" Type="http://schemas.openxmlformats.org/officeDocument/2006/relationships/hyperlink" Target="https://www.mathematica.org/about-mathematica"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Research Projects</a:t>
            </a:r>
          </a:p>
          <a:p>
            <a:pPr>
              <a:defRPr sz="1600" b="1" i="0" u="none" strike="noStrike" kern="1200" cap="all"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Count</c:v>
                </c:pt>
              </c:strCache>
            </c:strRef>
          </c:tx>
          <c:dPt>
            <c:idx val="0"/>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2D4-44B6-826A-FB52F6622057}"/>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2D4-44B6-826A-FB52F6622057}"/>
              </c:ext>
            </c:extLst>
          </c:dPt>
          <c:dPt>
            <c:idx val="2"/>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2D4-44B6-826A-FB52F6622057}"/>
              </c:ext>
            </c:extLst>
          </c:dPt>
          <c:dPt>
            <c:idx val="3"/>
            <c:bubble3D val="0"/>
            <c:spPr>
              <a:solidFill>
                <a:schemeClr val="accent6">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2D4-44B6-826A-FB52F6622057}"/>
              </c:ext>
            </c:extLst>
          </c:dPt>
          <c:dLbls>
            <c:dLbl>
              <c:idx val="0"/>
              <c:layout>
                <c:manualLayout>
                  <c:x val="4.2735883976040669E-3"/>
                  <c:y val="-4.6296114027413238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6"/>
                        </a:solidFill>
                        <a:latin typeface="+mn-lt"/>
                        <a:ea typeface="+mn-ea"/>
                        <a:cs typeface="+mn-cs"/>
                      </a:defRPr>
                    </a:pPr>
                    <a:fld id="{D7E3A22D-391C-9B4A-A7C6-4BE4936B6533}" type="CATEGORYNAME">
                      <a:rPr lang="en-US">
                        <a:solidFill>
                          <a:schemeClr val="bg2">
                            <a:lumMod val="50000"/>
                          </a:schemeClr>
                        </a:solidFill>
                      </a:rPr>
                      <a:pPr>
                        <a:defRPr sz="1200" b="1" i="0" u="none" strike="noStrike" kern="1200" spc="0" baseline="0">
                          <a:solidFill>
                            <a:schemeClr val="accent6"/>
                          </a:solidFill>
                          <a:latin typeface="+mn-lt"/>
                          <a:ea typeface="+mn-ea"/>
                          <a:cs typeface="+mn-cs"/>
                        </a:defRPr>
                      </a:pPr>
                      <a:t>[CATEGORY NAME]</a:t>
                    </a:fld>
                    <a:endParaRPr lang="en-US"/>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8913469950871523"/>
                      <c:h val="0.10324074074074072"/>
                    </c:manualLayout>
                  </c15:layout>
                  <c15:dlblFieldTable/>
                  <c15:showDataLabelsRange val="0"/>
                </c:ext>
                <c:ext xmlns:c16="http://schemas.microsoft.com/office/drawing/2014/chart" uri="{C3380CC4-5D6E-409C-BE32-E72D297353CC}">
                  <c16:uniqueId val="{00000001-82D4-44B6-826A-FB52F6622057}"/>
                </c:ext>
              </c:extLst>
            </c:dLbl>
            <c:dLbl>
              <c:idx val="1"/>
              <c:layout>
                <c:manualLayout>
                  <c:x val="4.9145299145299221E-2"/>
                  <c:y val="9.2592592592592587E-3"/>
                </c:manualLayout>
              </c:layout>
              <c:tx>
                <c:rich>
                  <a:bodyPr/>
                  <a:lstStyle/>
                  <a:p>
                    <a:fld id="{A9C2F9DA-35DC-2D4E-9749-1D3979C0F290}" type="CATEGORYNAME">
                      <a:rPr lang="en-US">
                        <a:solidFill>
                          <a:schemeClr val="accent5">
                            <a:lumMod val="75000"/>
                          </a:schemeClr>
                        </a:solidFill>
                      </a:rPr>
                      <a:pPr/>
                      <a:t>[CATEGORY NAME]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D4-44B6-826A-FB52F6622057}"/>
                </c:ext>
              </c:extLst>
            </c:dLbl>
            <c:dLbl>
              <c:idx val="2"/>
              <c:layout>
                <c:manualLayout>
                  <c:x val="-2.6709485833501582E-2"/>
                  <c:y val="-6.0185002916302126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6"/>
                        </a:solidFill>
                        <a:latin typeface="+mn-lt"/>
                        <a:ea typeface="+mn-ea"/>
                        <a:cs typeface="+mn-cs"/>
                      </a:defRPr>
                    </a:pPr>
                    <a:fld id="{9F45ADDE-C93C-6B4B-85FD-608FF947FD2F}" type="CATEGORYNAME">
                      <a:rPr lang="en-US">
                        <a:solidFill>
                          <a:schemeClr val="accent1">
                            <a:lumMod val="75000"/>
                          </a:schemeClr>
                        </a:solidFill>
                      </a:rPr>
                      <a:pPr>
                        <a:defRPr sz="1200" b="1" i="0" u="none" strike="noStrike" kern="1200" spc="0" baseline="0">
                          <a:solidFill>
                            <a:schemeClr val="accent6"/>
                          </a:solidFill>
                          <a:latin typeface="+mn-lt"/>
                          <a:ea typeface="+mn-ea"/>
                          <a:cs typeface="+mn-cs"/>
                        </a:defRPr>
                      </a:pPr>
                      <a:t>[CATEGORY NAME]</a:t>
                    </a:fld>
                    <a:endParaRPr lang="en-US"/>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8837606837606833"/>
                      <c:h val="0.1756944444444444"/>
                    </c:manualLayout>
                  </c15:layout>
                  <c15:dlblFieldTable/>
                  <c15:showDataLabelsRange val="0"/>
                </c:ext>
                <c:ext xmlns:c16="http://schemas.microsoft.com/office/drawing/2014/chart" uri="{C3380CC4-5D6E-409C-BE32-E72D297353CC}">
                  <c16:uniqueId val="{00000005-82D4-44B6-826A-FB52F6622057}"/>
                </c:ext>
              </c:extLst>
            </c:dLbl>
            <c:dLbl>
              <c:idx val="3"/>
              <c:layout>
                <c:manualLayout>
                  <c:x val="-2.6709401709401726E-2"/>
                  <c:y val="-3.2407407407407475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6"/>
                        </a:solidFill>
                        <a:latin typeface="+mn-lt"/>
                        <a:ea typeface="+mn-ea"/>
                        <a:cs typeface="+mn-cs"/>
                      </a:defRPr>
                    </a:pPr>
                    <a:fld id="{8CAF70C9-0BBE-DC4C-A788-942CC35CAC16}" type="CATEGORYNAME">
                      <a:rPr lang="en-US">
                        <a:solidFill>
                          <a:schemeClr val="accent6">
                            <a:lumMod val="50000"/>
                          </a:schemeClr>
                        </a:solidFill>
                      </a:rPr>
                      <a:pPr>
                        <a:defRPr sz="1200" b="1" i="0" u="none" strike="noStrike" kern="1200" spc="0" baseline="0">
                          <a:solidFill>
                            <a:schemeClr val="accent6"/>
                          </a:solidFill>
                          <a:latin typeface="+mn-lt"/>
                          <a:ea typeface="+mn-ea"/>
                          <a:cs typeface="+mn-cs"/>
                        </a:defRPr>
                      </a:pPr>
                      <a:t>[CATEGORY NAME]</a:t>
                    </a:fld>
                    <a:endParaRPr lang="en-US"/>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4596153846153845"/>
                      <c:h val="0.21736111111111106"/>
                    </c:manualLayout>
                  </c15:layout>
                  <c15:dlblFieldTable/>
                  <c15:showDataLabelsRange val="0"/>
                </c:ext>
                <c:ext xmlns:c16="http://schemas.microsoft.com/office/drawing/2014/chart" uri="{C3380CC4-5D6E-409C-BE32-E72D297353CC}">
                  <c16:uniqueId val="{00000007-82D4-44B6-826A-FB52F662205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Health and function 32%</c:v>
                </c:pt>
                <c:pt idx="1">
                  <c:v>Employment 17%</c:v>
                </c:pt>
                <c:pt idx="2">
                  <c:v>Participation and community living 20%</c:v>
                </c:pt>
                <c:pt idx="3">
                  <c:v>Cross-cutting (two or more domains) 31%</c:v>
                </c:pt>
              </c:strCache>
            </c:strRef>
          </c:cat>
          <c:val>
            <c:numRef>
              <c:f>Sheet1!$B$2:$B$5</c:f>
              <c:numCache>
                <c:formatCode>General</c:formatCode>
                <c:ptCount val="4"/>
                <c:pt idx="0">
                  <c:v>233</c:v>
                </c:pt>
                <c:pt idx="1">
                  <c:v>122</c:v>
                </c:pt>
                <c:pt idx="2">
                  <c:v>144</c:v>
                </c:pt>
                <c:pt idx="3">
                  <c:v>219</c:v>
                </c:pt>
              </c:numCache>
            </c:numRef>
          </c:val>
          <c:extLst>
            <c:ext xmlns:c16="http://schemas.microsoft.com/office/drawing/2014/chart" uri="{C3380CC4-5D6E-409C-BE32-E72D297353CC}">
              <c16:uniqueId val="{00000008-82D4-44B6-826A-FB52F662205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accent5"/>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Development Projects</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Counts</c:v>
                </c:pt>
              </c:strCache>
            </c:strRef>
          </c:tx>
          <c:dPt>
            <c:idx val="0"/>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293-4751-A765-3251C78DFE3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293-4751-A765-3251C78DFE3A}"/>
              </c:ext>
            </c:extLst>
          </c:dPt>
          <c:dPt>
            <c:idx val="2"/>
            <c:bubble3D val="0"/>
            <c:spPr>
              <a:solidFill>
                <a:schemeClr val="accent6">
                  <a:lumMod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293-4751-A765-3251C78DFE3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293-4751-A765-3251C78DFE3A}"/>
              </c:ext>
            </c:extLst>
          </c:dPt>
          <c:dLbls>
            <c:dLbl>
              <c:idx val="0"/>
              <c:layout>
                <c:manualLayout>
                  <c:x val="8.54709267110834E-3"/>
                  <c:y val="-3.6779730281977931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fld id="{2C24B436-B71B-1741-99ED-291EFD9D9642}" type="CATEGORYNAME">
                      <a:rPr lang="en-US">
                        <a:solidFill>
                          <a:schemeClr val="bg2">
                            <a:lumMod val="50000"/>
                          </a:schemeClr>
                        </a:solidFill>
                      </a:rPr>
                      <a:pPr>
                        <a:defRPr sz="1200">
                          <a:solidFill>
                            <a:schemeClr val="accent5"/>
                          </a:solidFill>
                        </a:defRPr>
                      </a:pPr>
                      <a:t>[CATEGORY NAME]</a:t>
                    </a:fld>
                    <a:endParaRPr lang="en-US"/>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3010683760683757"/>
                      <c:h val="0.11201471189211279"/>
                    </c:manualLayout>
                  </c15:layout>
                  <c15:dlblFieldTable/>
                  <c15:showDataLabelsRange val="0"/>
                </c:ext>
                <c:ext xmlns:c16="http://schemas.microsoft.com/office/drawing/2014/chart" uri="{C3380CC4-5D6E-409C-BE32-E72D297353CC}">
                  <c16:uniqueId val="{00000001-7293-4751-A765-3251C78DFE3A}"/>
                </c:ext>
              </c:extLst>
            </c:dLbl>
            <c:dLbl>
              <c:idx val="1"/>
              <c:layout>
                <c:manualLayout>
                  <c:x val="8.5469244229086742E-3"/>
                  <c:y val="-0.10012275999214858"/>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fld id="{224C04E1-2503-8F46-9D52-0C6279535C9E}" type="CATEGORYNAME">
                      <a:rPr lang="en-US" sz="1200">
                        <a:solidFill>
                          <a:schemeClr val="accent5">
                            <a:lumMod val="50000"/>
                          </a:schemeClr>
                        </a:solidFill>
                      </a:rPr>
                      <a:pPr>
                        <a:defRPr sz="1200">
                          <a:solidFill>
                            <a:schemeClr val="accent1"/>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075863113264684"/>
                      <c:h val="6.6224108582258842E-2"/>
                    </c:manualLayout>
                  </c15:layout>
                  <c15:dlblFieldTable/>
                  <c15:showDataLabelsRange val="0"/>
                </c:ext>
                <c:ext xmlns:c16="http://schemas.microsoft.com/office/drawing/2014/chart" uri="{C3380CC4-5D6E-409C-BE32-E72D297353CC}">
                  <c16:uniqueId val="{00000003-7293-4751-A765-3251C78DFE3A}"/>
                </c:ext>
              </c:extLst>
            </c:dLbl>
            <c:dLbl>
              <c:idx val="2"/>
              <c:layout>
                <c:manualLayout>
                  <c:x val="1.0684601924760189E-3"/>
                  <c:y val="-8.5468402988088023E-3"/>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6">
                            <a:lumMod val="50000"/>
                          </a:schemeClr>
                        </a:solidFill>
                        <a:latin typeface="+mn-lt"/>
                        <a:ea typeface="+mn-ea"/>
                        <a:cs typeface="+mn-cs"/>
                      </a:defRPr>
                    </a:pPr>
                    <a:fld id="{A788EADA-630D-084A-BE54-BBC0D4BB8F2B}" type="CATEGORYNAME">
                      <a:rPr lang="en-US" sz="1200">
                        <a:solidFill>
                          <a:schemeClr val="accent1">
                            <a:lumMod val="75000"/>
                          </a:schemeClr>
                        </a:solidFill>
                      </a:rPr>
                      <a:pPr>
                        <a:defRPr sz="1200">
                          <a:solidFill>
                            <a:schemeClr val="accent6">
                              <a:lumMod val="50000"/>
                            </a:schemeClr>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6">
                          <a:lumMod val="5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340820378221951"/>
                      <c:h val="0.15121744397334946"/>
                    </c:manualLayout>
                  </c15:layout>
                  <c15:dlblFieldTable/>
                  <c15:showDataLabelsRange val="0"/>
                </c:ext>
                <c:ext xmlns:c16="http://schemas.microsoft.com/office/drawing/2014/chart" uri="{C3380CC4-5D6E-409C-BE32-E72D297353CC}">
                  <c16:uniqueId val="{00000005-7293-4751-A765-3251C78DFE3A}"/>
                </c:ext>
              </c:extLst>
            </c:dLbl>
            <c:dLbl>
              <c:idx val="3"/>
              <c:layout>
                <c:manualLayout>
                  <c:x val="2.1367521367521368E-2"/>
                  <c:y val="-0.13540749713978065"/>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fld id="{CEF51146-32A7-3944-8113-CEC53A9F73B1}" type="CATEGORYNAME">
                      <a:rPr lang="en-US" sz="1200">
                        <a:solidFill>
                          <a:schemeClr val="accent6">
                            <a:lumMod val="50000"/>
                          </a:schemeClr>
                        </a:solidFill>
                      </a:rPr>
                      <a:pPr>
                        <a:defRPr sz="1200">
                          <a:solidFill>
                            <a:schemeClr val="accent1"/>
                          </a:solidFill>
                        </a:defRPr>
                      </a:pPr>
                      <a:t>[CATEGORY NAME]</a:t>
                    </a:fld>
                    <a:endParaRPr lang="en-US"/>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9948717948717951"/>
                      <c:h val="0.17331426236207598"/>
                    </c:manualLayout>
                  </c15:layout>
                  <c15:dlblFieldTable/>
                  <c15:showDataLabelsRange val="0"/>
                </c:ext>
                <c:ext xmlns:c16="http://schemas.microsoft.com/office/drawing/2014/chart" uri="{C3380CC4-5D6E-409C-BE32-E72D297353CC}">
                  <c16:uniqueId val="{00000007-7293-4751-A765-3251C78DFE3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Health and function 20%</c:v>
                </c:pt>
                <c:pt idx="1">
                  <c:v>Employment 10%</c:v>
                </c:pt>
                <c:pt idx="2">
                  <c:v>Participation and community living 21%</c:v>
                </c:pt>
                <c:pt idx="3">
                  <c:v>Cross-cutting (two or more domains) 49%</c:v>
                </c:pt>
              </c:strCache>
            </c:strRef>
          </c:cat>
          <c:val>
            <c:numRef>
              <c:f>Sheet1!$B$2:$B$5</c:f>
              <c:numCache>
                <c:formatCode>General</c:formatCode>
                <c:ptCount val="4"/>
                <c:pt idx="0">
                  <c:v>43</c:v>
                </c:pt>
                <c:pt idx="1">
                  <c:v>21</c:v>
                </c:pt>
                <c:pt idx="2">
                  <c:v>44</c:v>
                </c:pt>
                <c:pt idx="3">
                  <c:v>102</c:v>
                </c:pt>
              </c:numCache>
            </c:numRef>
          </c:val>
          <c:extLst>
            <c:ext xmlns:c16="http://schemas.microsoft.com/office/drawing/2014/chart" uri="{C3380CC4-5D6E-409C-BE32-E72D297353CC}">
              <c16:uniqueId val="{00000008-7293-4751-A765-3251C78DFE3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FY 2019</c:v>
                </c:pt>
              </c:strCache>
            </c:strRef>
          </c:tx>
          <c:spPr>
            <a:gradFill flip="none" rotWithShape="1">
              <a:gsLst>
                <a:gs pos="0">
                  <a:schemeClr val="accent5">
                    <a:lumMod val="100000"/>
                  </a:schemeClr>
                </a:gs>
                <a:gs pos="23000">
                  <a:schemeClr val="accent5">
                    <a:lumMod val="89000"/>
                  </a:schemeClr>
                </a:gs>
                <a:gs pos="69000">
                  <a:schemeClr val="accent5">
                    <a:lumMod val="75000"/>
                  </a:schemeClr>
                </a:gs>
                <a:gs pos="97000">
                  <a:schemeClr val="accent5">
                    <a:lumMod val="70000"/>
                  </a:schemeClr>
                </a:gs>
              </a:gsLst>
              <a:path path="rect">
                <a:fillToRect l="100000" t="100000"/>
              </a:path>
              <a:tileRect r="-100000" b="-100000"/>
            </a:gra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Sheet1!$A$2:$A$6</c:f>
              <c:strCache>
                <c:ptCount val="5"/>
                <c:pt idx="0">
                  <c:v>Peer-Reviewed Publications</c:v>
                </c:pt>
                <c:pt idx="1">
                  <c:v>Non-Peer-Reviewed Publications</c:v>
                </c:pt>
                <c:pt idx="2">
                  <c:v>Information Products (e.g., curricula, websites)</c:v>
                </c:pt>
                <c:pt idx="3">
                  <c:v>Tools, Measures, and Intervention Protocols</c:v>
                </c:pt>
                <c:pt idx="4">
                  <c:v>Technology Products and Devices</c:v>
                </c:pt>
              </c:strCache>
            </c:strRef>
          </c:cat>
          <c:val>
            <c:numRef>
              <c:f>Sheet1!$B$2:$B$6</c:f>
              <c:numCache>
                <c:formatCode>General</c:formatCode>
                <c:ptCount val="5"/>
                <c:pt idx="0">
                  <c:v>433</c:v>
                </c:pt>
                <c:pt idx="1">
                  <c:v>268</c:v>
                </c:pt>
                <c:pt idx="2">
                  <c:v>164</c:v>
                </c:pt>
                <c:pt idx="3">
                  <c:v>62</c:v>
                </c:pt>
                <c:pt idx="4">
                  <c:v>48</c:v>
                </c:pt>
              </c:numCache>
            </c:numRef>
          </c:val>
          <c:extLst>
            <c:ext xmlns:c16="http://schemas.microsoft.com/office/drawing/2014/chart" uri="{C3380CC4-5D6E-409C-BE32-E72D297353CC}">
              <c16:uniqueId val="{00000000-90D5-4B81-88FC-9D0EA824DFEB}"/>
            </c:ext>
          </c:extLst>
        </c:ser>
        <c:dLbls>
          <c:showLegendKey val="0"/>
          <c:showVal val="0"/>
          <c:showCatName val="0"/>
          <c:showSerName val="0"/>
          <c:showPercent val="0"/>
          <c:showBubbleSize val="0"/>
        </c:dLbls>
        <c:gapWidth val="100"/>
        <c:axId val="530479592"/>
        <c:axId val="530477632"/>
      </c:barChart>
      <c:catAx>
        <c:axId val="5304795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530477632"/>
        <c:crosses val="autoZero"/>
        <c:auto val="1"/>
        <c:lblAlgn val="ctr"/>
        <c:lblOffset val="100"/>
        <c:noMultiLvlLbl val="0"/>
      </c:catAx>
      <c:valAx>
        <c:axId val="53047763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crossAx val="530479592"/>
        <c:crosses val="autoZero"/>
        <c:crossBetween val="between"/>
      </c:valAx>
      <c:spPr>
        <a:noFill/>
        <a:ln w="12700" cap="rnd">
          <a:solidFill>
            <a:schemeClr val="accent5"/>
          </a:solidFill>
        </a:ln>
        <a:effectLst/>
      </c:spPr>
    </c:plotArea>
    <c:plotVisOnly val="1"/>
    <c:dispBlanksAs val="gap"/>
    <c:showDLblsOverMax val="0"/>
  </c:chart>
  <c:spPr>
    <a:solidFill>
      <a:schemeClr val="bg1"/>
    </a:solidFill>
    <a:ln w="9525" cap="flat" cmpd="sng" algn="ctr">
      <a:solidFill>
        <a:schemeClr val="accent5"/>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8D70-7EFA-4208-920C-DF975CC3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7667</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(draft) National Institute on Disability, Independent Living, and Rehabilitation Research (NIDILRR) 2019 Report to Congress</vt:lpstr>
    </vt:vector>
  </TitlesOfParts>
  <Company>Microsoft</Company>
  <LinksUpToDate>false</LinksUpToDate>
  <CharactersWithSpaces>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on Disability, Independent Living, and Rehabilitation Research (NIDILRR) 2019 Report to Congress</dc:title>
  <dc:subject/>
  <dc:creator>Robert Bartolotta</dc:creator>
  <cp:keywords>NIDILRR, Report to Congress, FY19</cp:keywords>
  <dc:description/>
  <cp:lastModifiedBy>Anna Lenhart</cp:lastModifiedBy>
  <cp:revision>2</cp:revision>
  <cp:lastPrinted>2020-12-09T20:29:00Z</cp:lastPrinted>
  <dcterms:created xsi:type="dcterms:W3CDTF">2021-01-19T13:48:00Z</dcterms:created>
  <dcterms:modified xsi:type="dcterms:W3CDTF">2021-01-19T13:48:00Z</dcterms:modified>
</cp:coreProperties>
</file>