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D9AE9" w14:textId="537AB8E7" w:rsidR="00BC0D92" w:rsidRPr="00E163DD" w:rsidRDefault="002B694F" w:rsidP="00BC0D92">
      <w:pPr>
        <w:contextualSpacing/>
        <w:jc w:val="right"/>
        <w:rPr>
          <w:b/>
          <w:bCs/>
          <w:sz w:val="72"/>
          <w:szCs w:val="72"/>
        </w:rPr>
      </w:pPr>
      <w:bookmarkStart w:id="0" w:name="_Toc316405565"/>
      <w:bookmarkStart w:id="1" w:name="_GoBack"/>
      <w:bookmarkEnd w:id="1"/>
      <w:r>
        <w:rPr>
          <w:b/>
          <w:bCs/>
          <w:noProof/>
          <w:sz w:val="72"/>
          <w:szCs w:val="72"/>
        </w:rPr>
        <w:drawing>
          <wp:inline distT="0" distB="0" distL="0" distR="0" wp14:anchorId="6FFED307" wp14:editId="03C3A4D1">
            <wp:extent cx="1263650" cy="1295400"/>
            <wp:effectExtent l="0" t="0" r="0" b="0"/>
            <wp:docPr id="15" name="Picture 2" descr="Department of Health and Human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Health and Human Service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3650" cy="1295400"/>
                    </a:xfrm>
                    <a:prstGeom prst="rect">
                      <a:avLst/>
                    </a:prstGeom>
                    <a:noFill/>
                    <a:ln>
                      <a:noFill/>
                    </a:ln>
                  </pic:spPr>
                </pic:pic>
              </a:graphicData>
            </a:graphic>
          </wp:inline>
        </w:drawing>
      </w:r>
      <w:r w:rsidR="008C3640">
        <w:rPr>
          <w:b/>
          <w:bCs/>
          <w:sz w:val="72"/>
          <w:szCs w:val="72"/>
        </w:rPr>
        <w:tab/>
      </w:r>
      <w:r w:rsidR="008C3640">
        <w:rPr>
          <w:b/>
          <w:bCs/>
          <w:sz w:val="72"/>
          <w:szCs w:val="72"/>
        </w:rPr>
        <w:tab/>
      </w:r>
      <w:r w:rsidR="008C3640">
        <w:rPr>
          <w:b/>
          <w:bCs/>
          <w:sz w:val="72"/>
          <w:szCs w:val="72"/>
        </w:rPr>
        <w:tab/>
      </w:r>
      <w:r w:rsidR="00BC0D92" w:rsidRPr="00E163DD">
        <w:rPr>
          <w:b/>
          <w:bCs/>
          <w:sz w:val="72"/>
          <w:szCs w:val="72"/>
        </w:rPr>
        <w:t>DEPARTMENT</w:t>
      </w:r>
    </w:p>
    <w:p w14:paraId="696CA0C1" w14:textId="77777777" w:rsidR="00BC0D92" w:rsidRPr="00E163DD" w:rsidRDefault="00BC0D92" w:rsidP="00BC0D92">
      <w:pPr>
        <w:contextualSpacing/>
        <w:jc w:val="right"/>
        <w:rPr>
          <w:b/>
          <w:bCs/>
          <w:sz w:val="72"/>
          <w:szCs w:val="72"/>
        </w:rPr>
      </w:pPr>
      <w:r w:rsidRPr="00E163DD">
        <w:rPr>
          <w:b/>
          <w:bCs/>
          <w:sz w:val="72"/>
          <w:szCs w:val="72"/>
        </w:rPr>
        <w:t>of HEALTH</w:t>
      </w:r>
    </w:p>
    <w:p w14:paraId="075FEA3A" w14:textId="77777777" w:rsidR="00BC0D92" w:rsidRPr="00E163DD" w:rsidRDefault="00BC0D92" w:rsidP="00BC0D92">
      <w:pPr>
        <w:contextualSpacing/>
        <w:jc w:val="right"/>
        <w:rPr>
          <w:b/>
          <w:bCs/>
          <w:sz w:val="72"/>
          <w:szCs w:val="72"/>
        </w:rPr>
      </w:pPr>
      <w:r w:rsidRPr="00E163DD">
        <w:rPr>
          <w:b/>
          <w:bCs/>
          <w:sz w:val="72"/>
          <w:szCs w:val="72"/>
        </w:rPr>
        <w:t>and HUMAN</w:t>
      </w:r>
    </w:p>
    <w:p w14:paraId="05A96BF2" w14:textId="77777777" w:rsidR="00BC0D92" w:rsidRPr="00E163DD" w:rsidRDefault="00BC0D92" w:rsidP="00BC0D92">
      <w:pPr>
        <w:contextualSpacing/>
        <w:jc w:val="right"/>
        <w:rPr>
          <w:b/>
          <w:bCs/>
          <w:sz w:val="72"/>
          <w:szCs w:val="72"/>
        </w:rPr>
      </w:pPr>
      <w:r w:rsidRPr="00E163DD">
        <w:rPr>
          <w:b/>
          <w:bCs/>
          <w:sz w:val="72"/>
          <w:szCs w:val="72"/>
        </w:rPr>
        <w:t>SERVICES</w:t>
      </w:r>
    </w:p>
    <w:p w14:paraId="4F9ED138" w14:textId="77777777" w:rsidR="00BC0D92" w:rsidRDefault="00BC0D92" w:rsidP="00BC0D92">
      <w:pPr>
        <w:contextualSpacing/>
        <w:jc w:val="right"/>
        <w:rPr>
          <w:sz w:val="40"/>
          <w:szCs w:val="40"/>
        </w:rPr>
      </w:pPr>
    </w:p>
    <w:p w14:paraId="1ACD34ED" w14:textId="77777777" w:rsidR="00BC0D92" w:rsidRPr="00F559FF" w:rsidRDefault="00BC0D92" w:rsidP="00BC0D92">
      <w:pPr>
        <w:contextualSpacing/>
        <w:jc w:val="right"/>
        <w:rPr>
          <w:sz w:val="40"/>
          <w:szCs w:val="40"/>
        </w:rPr>
      </w:pPr>
    </w:p>
    <w:p w14:paraId="4D742AEF" w14:textId="52660FB0" w:rsidR="00BC0D92" w:rsidRPr="00EA3F03" w:rsidRDefault="00E163DD" w:rsidP="00E163DD">
      <w:pPr>
        <w:contextualSpacing/>
        <w:jc w:val="center"/>
        <w:rPr>
          <w:b/>
          <w:sz w:val="72"/>
          <w:szCs w:val="72"/>
        </w:rPr>
      </w:pPr>
      <w:r w:rsidRPr="00EA3F03">
        <w:rPr>
          <w:b/>
          <w:sz w:val="72"/>
          <w:szCs w:val="72"/>
        </w:rPr>
        <w:t xml:space="preserve">FY </w:t>
      </w:r>
      <w:r w:rsidR="006F23C4" w:rsidRPr="006F23C4">
        <w:rPr>
          <w:b/>
          <w:sz w:val="72"/>
          <w:szCs w:val="72"/>
        </w:rPr>
        <w:t>201</w:t>
      </w:r>
      <w:r w:rsidR="00A35E3F">
        <w:rPr>
          <w:b/>
          <w:sz w:val="72"/>
          <w:szCs w:val="72"/>
        </w:rPr>
        <w:t>7</w:t>
      </w:r>
      <w:r w:rsidR="006F23C4" w:rsidRPr="00EA3F03">
        <w:rPr>
          <w:b/>
          <w:sz w:val="72"/>
          <w:szCs w:val="72"/>
        </w:rPr>
        <w:t xml:space="preserve"> </w:t>
      </w:r>
      <w:r w:rsidRPr="00EA3F03">
        <w:rPr>
          <w:b/>
          <w:sz w:val="72"/>
          <w:szCs w:val="72"/>
        </w:rPr>
        <w:t>Report to Congress</w:t>
      </w:r>
      <w:r w:rsidR="00E27500" w:rsidRPr="00EA3F03">
        <w:rPr>
          <w:b/>
          <w:sz w:val="72"/>
          <w:szCs w:val="72"/>
        </w:rPr>
        <w:t>:</w:t>
      </w:r>
    </w:p>
    <w:p w14:paraId="7C9FED8F" w14:textId="77777777" w:rsidR="00E27500" w:rsidRPr="00EA3F03" w:rsidRDefault="00E27500" w:rsidP="00E163DD">
      <w:pPr>
        <w:contextualSpacing/>
        <w:jc w:val="center"/>
        <w:rPr>
          <w:b/>
          <w:sz w:val="72"/>
          <w:szCs w:val="72"/>
        </w:rPr>
      </w:pPr>
      <w:r w:rsidRPr="00EA3F03">
        <w:rPr>
          <w:b/>
          <w:sz w:val="72"/>
          <w:szCs w:val="72"/>
        </w:rPr>
        <w:t>Older Americans Act</w:t>
      </w:r>
    </w:p>
    <w:p w14:paraId="1E6985E1" w14:textId="77777777" w:rsidR="00BC0D92" w:rsidRPr="00F559FF" w:rsidRDefault="00BC0D92" w:rsidP="00BC0D92">
      <w:pPr>
        <w:contextualSpacing/>
        <w:rPr>
          <w:sz w:val="40"/>
          <w:szCs w:val="40"/>
        </w:rPr>
      </w:pPr>
    </w:p>
    <w:p w14:paraId="5141D730" w14:textId="77777777" w:rsidR="00E163DD" w:rsidRDefault="00E163DD" w:rsidP="00BC0D92">
      <w:pPr>
        <w:jc w:val="right"/>
        <w:rPr>
          <w:b/>
          <w:sz w:val="52"/>
          <w:szCs w:val="52"/>
        </w:rPr>
      </w:pPr>
    </w:p>
    <w:p w14:paraId="65E92D18" w14:textId="77777777" w:rsidR="00E163DD" w:rsidRDefault="00E163DD" w:rsidP="00BC0D92">
      <w:pPr>
        <w:jc w:val="right"/>
        <w:rPr>
          <w:b/>
          <w:sz w:val="52"/>
          <w:szCs w:val="52"/>
        </w:rPr>
      </w:pPr>
    </w:p>
    <w:p w14:paraId="3D73D7B2" w14:textId="77777777" w:rsidR="00E163DD" w:rsidRPr="00E163DD" w:rsidRDefault="00E163DD" w:rsidP="00BC0D92">
      <w:pPr>
        <w:jc w:val="right"/>
        <w:rPr>
          <w:b/>
          <w:sz w:val="32"/>
          <w:szCs w:val="32"/>
        </w:rPr>
      </w:pPr>
      <w:r w:rsidRPr="00E163DD">
        <w:rPr>
          <w:b/>
          <w:sz w:val="32"/>
          <w:szCs w:val="32"/>
        </w:rPr>
        <w:t>Prepared by</w:t>
      </w:r>
    </w:p>
    <w:p w14:paraId="2026A9AC" w14:textId="77777777" w:rsidR="00BC0D92" w:rsidRPr="00E163DD" w:rsidRDefault="00BC0D92" w:rsidP="00BC0D92">
      <w:pPr>
        <w:jc w:val="right"/>
        <w:rPr>
          <w:b/>
          <w:sz w:val="32"/>
          <w:szCs w:val="32"/>
        </w:rPr>
      </w:pPr>
      <w:r w:rsidRPr="00E163DD">
        <w:rPr>
          <w:b/>
          <w:sz w:val="32"/>
          <w:szCs w:val="32"/>
        </w:rPr>
        <w:t xml:space="preserve">ADMINISTRATION </w:t>
      </w:r>
    </w:p>
    <w:p w14:paraId="0647F571" w14:textId="77777777" w:rsidR="00BC0D92" w:rsidRPr="00E163DD" w:rsidRDefault="00BC0D92" w:rsidP="00BC0D92">
      <w:pPr>
        <w:jc w:val="right"/>
        <w:rPr>
          <w:b/>
          <w:sz w:val="32"/>
          <w:szCs w:val="32"/>
        </w:rPr>
      </w:pPr>
      <w:r w:rsidRPr="00E163DD">
        <w:rPr>
          <w:b/>
          <w:sz w:val="32"/>
          <w:szCs w:val="32"/>
        </w:rPr>
        <w:t>ON AGING</w:t>
      </w:r>
    </w:p>
    <w:p w14:paraId="119FAE3F" w14:textId="77777777" w:rsidR="00BC0D92" w:rsidRPr="00E163DD" w:rsidRDefault="00BC0D92" w:rsidP="00BC0D92">
      <w:pPr>
        <w:jc w:val="center"/>
        <w:rPr>
          <w:b/>
          <w:sz w:val="32"/>
          <w:szCs w:val="32"/>
        </w:rPr>
      </w:pPr>
    </w:p>
    <w:p w14:paraId="35EC5139" w14:textId="77777777" w:rsidR="00BC0D92" w:rsidRPr="00E163DD" w:rsidRDefault="00BC0D92" w:rsidP="00BC0D92">
      <w:pPr>
        <w:contextualSpacing/>
        <w:jc w:val="right"/>
        <w:rPr>
          <w:b/>
          <w:sz w:val="32"/>
          <w:szCs w:val="32"/>
        </w:rPr>
      </w:pPr>
      <w:r w:rsidRPr="00E163DD">
        <w:rPr>
          <w:b/>
          <w:sz w:val="32"/>
          <w:szCs w:val="32"/>
        </w:rPr>
        <w:t xml:space="preserve">ADMINISTRATION FOR </w:t>
      </w:r>
    </w:p>
    <w:p w14:paraId="45F4C33C" w14:textId="77777777" w:rsidR="00BC0D92" w:rsidRPr="00E163DD" w:rsidRDefault="00BC0D92" w:rsidP="00BC0D92">
      <w:pPr>
        <w:contextualSpacing/>
        <w:jc w:val="right"/>
        <w:rPr>
          <w:b/>
          <w:sz w:val="28"/>
          <w:szCs w:val="28"/>
        </w:rPr>
      </w:pPr>
      <w:r w:rsidRPr="00E163DD">
        <w:rPr>
          <w:b/>
          <w:sz w:val="32"/>
          <w:szCs w:val="32"/>
        </w:rPr>
        <w:t>COMMUNITY LIVING</w:t>
      </w:r>
    </w:p>
    <w:p w14:paraId="4EAC6EAE" w14:textId="3F5EF7FD" w:rsidR="00BC0D92" w:rsidRDefault="00BC0D92" w:rsidP="00BC0D92">
      <w:pPr>
        <w:contextualSpacing/>
        <w:rPr>
          <w:sz w:val="40"/>
          <w:szCs w:val="40"/>
        </w:rPr>
      </w:pPr>
    </w:p>
    <w:p w14:paraId="481EDC9B" w14:textId="77777777" w:rsidR="00BC0D92" w:rsidRDefault="002B694F" w:rsidP="00E163DD">
      <w:pPr>
        <w:spacing w:after="200" w:line="276" w:lineRule="auto"/>
        <w:contextualSpacing/>
        <w:jc w:val="right"/>
        <w:rPr>
          <w:b/>
          <w:i/>
          <w:sz w:val="32"/>
          <w:szCs w:val="32"/>
        </w:rPr>
      </w:pPr>
      <w:r>
        <w:rPr>
          <w:b/>
          <w:i/>
          <w:noProof/>
          <w:sz w:val="32"/>
          <w:szCs w:val="32"/>
        </w:rPr>
        <w:drawing>
          <wp:inline distT="0" distB="0" distL="0" distR="0" wp14:anchorId="7E8B2A4F" wp14:editId="437A6306">
            <wp:extent cx="1831340" cy="826135"/>
            <wp:effectExtent l="0" t="0" r="0" b="0"/>
            <wp:docPr id="21" name="Picture 2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1340" cy="826135"/>
                    </a:xfrm>
                    <a:prstGeom prst="rect">
                      <a:avLst/>
                    </a:prstGeom>
                    <a:noFill/>
                  </pic:spPr>
                </pic:pic>
              </a:graphicData>
            </a:graphic>
          </wp:inline>
        </w:drawing>
      </w:r>
      <w:r w:rsidR="00BC0D92">
        <w:rPr>
          <w:b/>
          <w:i/>
          <w:sz w:val="32"/>
          <w:szCs w:val="32"/>
        </w:rPr>
        <w:br w:type="page"/>
      </w:r>
    </w:p>
    <w:p w14:paraId="63020684" w14:textId="77777777" w:rsidR="00BC0D92" w:rsidRDefault="00BC0D92" w:rsidP="00BC0D92">
      <w:pPr>
        <w:spacing w:after="200" w:line="276" w:lineRule="auto"/>
        <w:contextualSpacing/>
        <w:rPr>
          <w:b/>
          <w:i/>
          <w:sz w:val="32"/>
          <w:szCs w:val="32"/>
        </w:rPr>
      </w:pPr>
    </w:p>
    <w:p w14:paraId="5FC0D87B" w14:textId="77777777" w:rsidR="00BC0D92" w:rsidRDefault="00BC0D92" w:rsidP="00BC0D92">
      <w:pPr>
        <w:spacing w:after="200" w:line="276" w:lineRule="auto"/>
        <w:contextualSpacing/>
        <w:rPr>
          <w:b/>
          <w:i/>
          <w:sz w:val="32"/>
          <w:szCs w:val="32"/>
        </w:rPr>
      </w:pPr>
    </w:p>
    <w:p w14:paraId="043DE16C" w14:textId="77777777" w:rsidR="00BC0D92" w:rsidRDefault="00BC0D92" w:rsidP="00BC0D92">
      <w:pPr>
        <w:spacing w:after="200" w:line="276" w:lineRule="auto"/>
        <w:contextualSpacing/>
        <w:rPr>
          <w:sz w:val="32"/>
          <w:szCs w:val="32"/>
        </w:rPr>
      </w:pPr>
    </w:p>
    <w:p w14:paraId="54FD8D94" w14:textId="77777777" w:rsidR="00BC0D92" w:rsidRDefault="00BC0D92" w:rsidP="00BC0D92">
      <w:pPr>
        <w:spacing w:after="200" w:line="276" w:lineRule="auto"/>
        <w:contextualSpacing/>
        <w:rPr>
          <w:sz w:val="32"/>
          <w:szCs w:val="32"/>
        </w:rPr>
      </w:pPr>
    </w:p>
    <w:p w14:paraId="1E2D3A17" w14:textId="77777777" w:rsidR="00BC0D92" w:rsidRDefault="00BC0D92" w:rsidP="00BC0D92">
      <w:pPr>
        <w:spacing w:after="200" w:line="276" w:lineRule="auto"/>
        <w:contextualSpacing/>
        <w:rPr>
          <w:sz w:val="32"/>
          <w:szCs w:val="32"/>
        </w:rPr>
      </w:pPr>
    </w:p>
    <w:p w14:paraId="481A373B" w14:textId="77777777" w:rsidR="00BC0D92" w:rsidRDefault="00BC0D92" w:rsidP="00BC0D92">
      <w:pPr>
        <w:spacing w:after="200" w:line="276" w:lineRule="auto"/>
        <w:contextualSpacing/>
        <w:jc w:val="center"/>
      </w:pPr>
    </w:p>
    <w:p w14:paraId="30C5B916" w14:textId="77777777" w:rsidR="00BC0D92" w:rsidRDefault="00BC0D92" w:rsidP="00BC0D92">
      <w:pPr>
        <w:spacing w:after="200" w:line="276" w:lineRule="auto"/>
        <w:contextualSpacing/>
        <w:jc w:val="center"/>
      </w:pPr>
    </w:p>
    <w:p w14:paraId="2C5A54FD" w14:textId="77777777" w:rsidR="00BC0D92" w:rsidRDefault="00BC0D92" w:rsidP="00BC0D92">
      <w:pPr>
        <w:spacing w:after="200" w:line="276" w:lineRule="auto"/>
        <w:contextualSpacing/>
        <w:jc w:val="center"/>
      </w:pPr>
    </w:p>
    <w:p w14:paraId="207B3924" w14:textId="77777777" w:rsidR="00BC0D92" w:rsidRDefault="00BC0D92" w:rsidP="00BC0D92">
      <w:pPr>
        <w:spacing w:after="200" w:line="276" w:lineRule="auto"/>
        <w:contextualSpacing/>
        <w:jc w:val="center"/>
      </w:pPr>
    </w:p>
    <w:p w14:paraId="324BDBA4" w14:textId="77777777" w:rsidR="00BC0D92" w:rsidRDefault="00BC0D92" w:rsidP="00BC0D92">
      <w:pPr>
        <w:spacing w:after="200" w:line="276" w:lineRule="auto"/>
        <w:contextualSpacing/>
        <w:jc w:val="center"/>
      </w:pPr>
    </w:p>
    <w:p w14:paraId="2335F9F2" w14:textId="77777777" w:rsidR="00BC0D92" w:rsidRDefault="00BC0D92" w:rsidP="00BC0D92">
      <w:pPr>
        <w:spacing w:after="200" w:line="276" w:lineRule="auto"/>
        <w:contextualSpacing/>
        <w:jc w:val="center"/>
      </w:pPr>
    </w:p>
    <w:p w14:paraId="68C28ACF" w14:textId="77777777" w:rsidR="00BC0D92" w:rsidRDefault="00BC0D92" w:rsidP="00BC0D92">
      <w:pPr>
        <w:spacing w:after="200" w:line="276" w:lineRule="auto"/>
        <w:contextualSpacing/>
        <w:jc w:val="center"/>
        <w:rPr>
          <w:b/>
        </w:rPr>
      </w:pPr>
      <w:r w:rsidRPr="001F3B55">
        <w:rPr>
          <w:b/>
        </w:rPr>
        <w:t xml:space="preserve"> THIS PAGE INTENTIONALLY LEFT BLANK</w:t>
      </w:r>
    </w:p>
    <w:p w14:paraId="0A54157F" w14:textId="77777777" w:rsidR="00BC0D92" w:rsidRDefault="00BC0D92" w:rsidP="00BC0D92">
      <w:pPr>
        <w:spacing w:after="200" w:line="276" w:lineRule="auto"/>
        <w:contextualSpacing/>
        <w:jc w:val="center"/>
        <w:rPr>
          <w:b/>
        </w:rPr>
      </w:pPr>
    </w:p>
    <w:p w14:paraId="56C96AFF" w14:textId="77777777" w:rsidR="00BC0D92" w:rsidRDefault="00BC0D92" w:rsidP="00BC0D92">
      <w:pPr>
        <w:spacing w:after="200" w:line="276" w:lineRule="auto"/>
        <w:contextualSpacing/>
        <w:jc w:val="center"/>
        <w:rPr>
          <w:b/>
        </w:rPr>
      </w:pPr>
    </w:p>
    <w:p w14:paraId="081AABE1" w14:textId="77777777" w:rsidR="00BC0D92" w:rsidRDefault="00BC0D92" w:rsidP="00BC0D92">
      <w:pPr>
        <w:spacing w:after="200" w:line="276" w:lineRule="auto"/>
        <w:contextualSpacing/>
        <w:jc w:val="center"/>
        <w:rPr>
          <w:b/>
        </w:rPr>
      </w:pPr>
    </w:p>
    <w:p w14:paraId="02409828" w14:textId="77777777" w:rsidR="00BC0D92" w:rsidRDefault="00BC0D92" w:rsidP="00BC0D92">
      <w:pPr>
        <w:spacing w:after="200" w:line="276" w:lineRule="auto"/>
        <w:contextualSpacing/>
        <w:jc w:val="center"/>
        <w:rPr>
          <w:b/>
        </w:rPr>
      </w:pPr>
    </w:p>
    <w:p w14:paraId="0319D99A" w14:textId="77777777" w:rsidR="00BC0D92" w:rsidRPr="008F5481" w:rsidRDefault="00BC0D92" w:rsidP="00DD20DA">
      <w:pPr>
        <w:jc w:val="center"/>
        <w:rPr>
          <w:b/>
          <w:i/>
          <w:sz w:val="32"/>
          <w:szCs w:val="32"/>
        </w:rPr>
      </w:pPr>
      <w:r>
        <w:rPr>
          <w:b/>
        </w:rPr>
        <w:br w:type="page"/>
      </w:r>
      <w:r w:rsidRPr="008F5481">
        <w:rPr>
          <w:b/>
          <w:i/>
          <w:sz w:val="32"/>
          <w:szCs w:val="32"/>
        </w:rPr>
        <w:lastRenderedPageBreak/>
        <w:t xml:space="preserve">FROM THE ADMINISTRATION </w:t>
      </w:r>
      <w:r w:rsidR="008F5481" w:rsidRPr="008F5481">
        <w:rPr>
          <w:b/>
          <w:i/>
          <w:sz w:val="32"/>
          <w:szCs w:val="32"/>
        </w:rPr>
        <w:t>FOR COMMUNITY LIVING</w:t>
      </w:r>
    </w:p>
    <w:p w14:paraId="11BD9CBA" w14:textId="53E62393" w:rsidR="00673BC3" w:rsidRPr="00FD27F6" w:rsidRDefault="00673BC3" w:rsidP="00752C8B">
      <w:pPr>
        <w:shd w:val="clear" w:color="auto" w:fill="FFFFFF"/>
        <w:spacing w:before="100" w:beforeAutospacing="1" w:after="100" w:afterAutospacing="1"/>
        <w:jc w:val="both"/>
        <w:textAlignment w:val="top"/>
      </w:pPr>
      <w:r w:rsidRPr="00FD27F6">
        <w:t xml:space="preserve">The Administration for Community Living (ACL) is </w:t>
      </w:r>
      <w:r w:rsidR="00097A5A" w:rsidRPr="00FD27F6">
        <w:t xml:space="preserve">committed to the fundamental principle that older adults and people of all ages with disabilities should be able to live where they choose, with the people they choose, and fully participate </w:t>
      </w:r>
      <w:r w:rsidR="006A6688">
        <w:t>in their communities.</w:t>
      </w:r>
      <w:r w:rsidR="001C613B">
        <w:t xml:space="preserve">  </w:t>
      </w:r>
      <w:r w:rsidR="00097A5A" w:rsidRPr="00FD27F6">
        <w:t xml:space="preserve">ACL’s programs provide individualized, person-centered home and community-based services and supports, and invest in research and best practices, to make that principle a </w:t>
      </w:r>
      <w:r w:rsidR="00761EBB">
        <w:t>reality for millions of people</w:t>
      </w:r>
      <w:r w:rsidR="001B2DC3">
        <w:t xml:space="preserve">. </w:t>
      </w:r>
      <w:r w:rsidR="00097A5A" w:rsidRPr="00FD27F6">
        <w:t xml:space="preserve">It does so by working with other federal agencies, </w:t>
      </w:r>
      <w:r w:rsidRPr="00FD27F6">
        <w:t>st</w:t>
      </w:r>
      <w:r w:rsidR="001D7A89">
        <w:t>ates, localities,</w:t>
      </w:r>
      <w:r w:rsidR="005255EF">
        <w:t xml:space="preserve"> </w:t>
      </w:r>
      <w:r w:rsidR="001D7A89">
        <w:t xml:space="preserve">Tribal </w:t>
      </w:r>
      <w:r w:rsidRPr="00FD27F6">
        <w:t>organizations, nonprofit organizations, businesses, and families to help older adults and people with disabilities live in their homes and fully pa</w:t>
      </w:r>
      <w:r w:rsidR="002305BD">
        <w:t>r</w:t>
      </w:r>
      <w:r w:rsidR="001C613B">
        <w:t xml:space="preserve">ticipate in their communities.  </w:t>
      </w:r>
      <w:r w:rsidRPr="00FD27F6">
        <w:t>Those with disabilities or functional limitations of any type, regardless of age, have a common interest: access to home and community-based supports and services that help individuals fully participate in all aspects of society, including having the option to live at home, which can be vital to an individual’s well-being, instead of moving into an institutional setting.</w:t>
      </w:r>
    </w:p>
    <w:p w14:paraId="32324363" w14:textId="12F21CA2" w:rsidR="00752C8B" w:rsidRPr="00673BC3" w:rsidRDefault="00483969" w:rsidP="00483969">
      <w:pPr>
        <w:shd w:val="clear" w:color="auto" w:fill="FFFFFF"/>
        <w:spacing w:before="100" w:beforeAutospacing="1" w:after="100" w:afterAutospacing="1"/>
        <w:jc w:val="both"/>
        <w:textAlignment w:val="top"/>
      </w:pPr>
      <w:r>
        <w:t>ACL’s mission is to maximize the independence, well-being, and health of older adults, people with disabilities, and</w:t>
      </w:r>
      <w:r w:rsidR="001D7A89">
        <w:t xml:space="preserve"> their families and caregivers.</w:t>
      </w:r>
      <w:r w:rsidR="001C613B">
        <w:t xml:space="preserve">  </w:t>
      </w:r>
      <w:r w:rsidR="002E13BE" w:rsidRPr="00673BC3">
        <w:t xml:space="preserve">As part of this important mission, </w:t>
      </w:r>
      <w:r w:rsidR="008E2B5B">
        <w:t xml:space="preserve">the Administration on Aging </w:t>
      </w:r>
      <w:r w:rsidR="00483F1F">
        <w:t>(</w:t>
      </w:r>
      <w:r w:rsidR="002E13BE" w:rsidRPr="00D87407">
        <w:t>AoA</w:t>
      </w:r>
      <w:r w:rsidR="00483F1F">
        <w:t>)</w:t>
      </w:r>
      <w:r w:rsidR="002E13BE" w:rsidRPr="00673BC3">
        <w:t xml:space="preserve"> advances the concerns and interests of older people, </w:t>
      </w:r>
      <w:r w:rsidR="00807185" w:rsidRPr="00673BC3">
        <w:t xml:space="preserve">whether living in their own home or in a long-term care facility, </w:t>
      </w:r>
      <w:r w:rsidR="002E13BE" w:rsidRPr="00673BC3">
        <w:t>and works with and through the national aging services network to promote the development of comprehensive and coordinated systems of home and community-based care that are responsive to the needs and preferences of older people and their caregivers</w:t>
      </w:r>
      <w:r w:rsidR="00761EBB">
        <w:t xml:space="preserve">. </w:t>
      </w:r>
    </w:p>
    <w:p w14:paraId="4D500B8B" w14:textId="68EDFDBC" w:rsidR="00157D52" w:rsidRPr="00B4464D" w:rsidRDefault="00157D52" w:rsidP="00157D52">
      <w:pPr>
        <w:pStyle w:val="BodyText"/>
        <w:contextualSpacing/>
      </w:pPr>
      <w:r w:rsidRPr="00C8441C">
        <w:t xml:space="preserve">The </w:t>
      </w:r>
      <w:r w:rsidR="00483969" w:rsidRPr="00C8441C">
        <w:t xml:space="preserve">national </w:t>
      </w:r>
      <w:r w:rsidR="009218FF" w:rsidRPr="00C8441C">
        <w:t xml:space="preserve">aging services </w:t>
      </w:r>
      <w:r w:rsidRPr="00C8441C">
        <w:t xml:space="preserve">network is comprised of 56 </w:t>
      </w:r>
      <w:r w:rsidR="00F816E3" w:rsidRPr="00C8441C">
        <w:t>s</w:t>
      </w:r>
      <w:r w:rsidRPr="00C8441C">
        <w:t xml:space="preserve">tate and </w:t>
      </w:r>
      <w:r w:rsidR="00F816E3" w:rsidRPr="00C8441C">
        <w:t>t</w:t>
      </w:r>
      <w:r w:rsidRPr="00C8441C">
        <w:t xml:space="preserve">erritorial </w:t>
      </w:r>
      <w:r w:rsidR="00F816E3" w:rsidRPr="00C8441C">
        <w:t>u</w:t>
      </w:r>
      <w:r w:rsidRPr="00C8441C">
        <w:t xml:space="preserve">nits on </w:t>
      </w:r>
      <w:r w:rsidR="00F816E3" w:rsidRPr="00C8441C">
        <w:t>a</w:t>
      </w:r>
      <w:r w:rsidRPr="00C8441C">
        <w:t>gi</w:t>
      </w:r>
      <w:r w:rsidR="00CA475A" w:rsidRPr="00C8441C">
        <w:t>ng (SUA), 622</w:t>
      </w:r>
      <w:r w:rsidRPr="00C8441C">
        <w:t xml:space="preserve"> </w:t>
      </w:r>
      <w:r w:rsidR="00F816E3" w:rsidRPr="00C8441C">
        <w:t>a</w:t>
      </w:r>
      <w:r w:rsidRPr="00C8441C">
        <w:t xml:space="preserve">rea </w:t>
      </w:r>
      <w:r w:rsidR="00F816E3" w:rsidRPr="00C8441C">
        <w:t>a</w:t>
      </w:r>
      <w:r w:rsidRPr="00C8441C">
        <w:t xml:space="preserve">gencies on </w:t>
      </w:r>
      <w:r w:rsidR="00F816E3" w:rsidRPr="00C8441C">
        <w:t>a</w:t>
      </w:r>
      <w:r w:rsidRPr="00C8441C">
        <w:t>ging (AAA</w:t>
      </w:r>
      <w:r w:rsidR="00FD27F6" w:rsidRPr="00C8441C">
        <w:t>s</w:t>
      </w:r>
      <w:r w:rsidRPr="00C8441C">
        <w:t xml:space="preserve">), </w:t>
      </w:r>
      <w:r w:rsidR="00F15BED" w:rsidRPr="00C8441C">
        <w:t>2</w:t>
      </w:r>
      <w:r w:rsidR="005255EF">
        <w:t>70</w:t>
      </w:r>
      <w:r w:rsidR="00F15BED" w:rsidRPr="00C8441C">
        <w:t xml:space="preserve"> </w:t>
      </w:r>
      <w:r w:rsidRPr="00C8441C">
        <w:t xml:space="preserve">Indian </w:t>
      </w:r>
      <w:r w:rsidR="00F816E3" w:rsidRPr="00C8441C">
        <w:t>t</w:t>
      </w:r>
      <w:r w:rsidRPr="00C8441C">
        <w:t xml:space="preserve">ribal and Native Hawaiian organizations, </w:t>
      </w:r>
      <w:r w:rsidR="00E77BD4" w:rsidRPr="00C8441C">
        <w:t xml:space="preserve">more than </w:t>
      </w:r>
      <w:r w:rsidRPr="00C8441C">
        <w:t>20,000 direct service providers, and hundr</w:t>
      </w:r>
      <w:r w:rsidR="001D7A89">
        <w:t>eds of thousands of volunteers.</w:t>
      </w:r>
      <w:r w:rsidR="00DB751A">
        <w:t xml:space="preserve">  </w:t>
      </w:r>
      <w:r w:rsidRPr="00C8441C">
        <w:t xml:space="preserve">AoA’s core programs, authorized under the Older Americans Act (OAA), help </w:t>
      </w:r>
      <w:r w:rsidR="00FD27F6" w:rsidRPr="00C8441C">
        <w:t>older adults aged 60 and over</w:t>
      </w:r>
      <w:r w:rsidRPr="00C8441C">
        <w:t xml:space="preserve"> remain at home for as long as possible</w:t>
      </w:r>
      <w:r w:rsidR="00FD27F6" w:rsidRPr="00C8441C">
        <w:t>,</w:t>
      </w:r>
      <w:r w:rsidRPr="00C8441C">
        <w:t xml:space="preserve"> </w:t>
      </w:r>
      <w:r w:rsidR="006A097D" w:rsidRPr="00C8441C">
        <w:t xml:space="preserve">promote the rights of older individuals, </w:t>
      </w:r>
      <w:r w:rsidRPr="00C8441C">
        <w:t>and advocate for individuals who live in long-term care facilities (nursing homes, board and care, assisted living</w:t>
      </w:r>
      <w:r w:rsidR="007F7F94" w:rsidRPr="00C8441C">
        <w:t>,</w:t>
      </w:r>
      <w:r w:rsidRPr="00C8441C">
        <w:t xml:space="preserve"> and similar settings)</w:t>
      </w:r>
      <w:r w:rsidR="00761EBB" w:rsidRPr="00C8441C">
        <w:t xml:space="preserve">. </w:t>
      </w:r>
    </w:p>
    <w:p w14:paraId="12D7AE50" w14:textId="77777777" w:rsidR="00157D52" w:rsidRPr="00B4464D" w:rsidRDefault="00157D52" w:rsidP="00157D52">
      <w:pPr>
        <w:jc w:val="both"/>
      </w:pPr>
    </w:p>
    <w:p w14:paraId="6287AF0E" w14:textId="375093C8" w:rsidR="00DD5199" w:rsidRDefault="00483F1F" w:rsidP="00157D52">
      <w:pPr>
        <w:pStyle w:val="ListParagraph"/>
        <w:ind w:left="0"/>
        <w:jc w:val="both"/>
      </w:pPr>
      <w:r w:rsidRPr="00062C53">
        <w:t>For more than 50 years, the</w:t>
      </w:r>
      <w:r w:rsidR="00157D52" w:rsidRPr="00062C53">
        <w:t xml:space="preserve"> OAA</w:t>
      </w:r>
      <w:r w:rsidRPr="00062C53">
        <w:t xml:space="preserve"> has provid</w:t>
      </w:r>
      <w:r w:rsidR="005321F2" w:rsidRPr="00062C53">
        <w:t>ed</w:t>
      </w:r>
      <w:r w:rsidR="00383BD6" w:rsidRPr="00062C53">
        <w:t xml:space="preserve"> critical</w:t>
      </w:r>
      <w:r w:rsidR="005D691B">
        <w:t xml:space="preserve"> services</w:t>
      </w:r>
      <w:r w:rsidR="00383BD6" w:rsidRPr="00062C53">
        <w:t xml:space="preserve"> </w:t>
      </w:r>
      <w:r w:rsidRPr="00062C53">
        <w:t xml:space="preserve">that have better enabled millions of older Americans </w:t>
      </w:r>
      <w:r w:rsidR="00157D52" w:rsidRPr="00062C53">
        <w:t>to live independently, with dignity, in their homes and communities</w:t>
      </w:r>
      <w:r w:rsidR="001C613B">
        <w:t xml:space="preserve">.  </w:t>
      </w:r>
      <w:r w:rsidRPr="00062C53">
        <w:t>It</w:t>
      </w:r>
      <w:r w:rsidR="003C79D5" w:rsidRPr="00062C53">
        <w:t xml:space="preserve">s programs </w:t>
      </w:r>
      <w:r w:rsidRPr="00062C53">
        <w:t>are</w:t>
      </w:r>
      <w:r w:rsidR="003C79D5" w:rsidRPr="00062C53">
        <w:t xml:space="preserve"> </w:t>
      </w:r>
      <w:r w:rsidR="00383BD6" w:rsidRPr="00062C53">
        <w:t>highly successful</w:t>
      </w:r>
      <w:r w:rsidR="003C79D5" w:rsidRPr="00062C53">
        <w:t xml:space="preserve"> because they</w:t>
      </w:r>
      <w:r w:rsidR="00383BD6" w:rsidRPr="00062C53">
        <w:t xml:space="preserve"> are flexible and</w:t>
      </w:r>
      <w:r w:rsidR="003C79D5" w:rsidRPr="00062C53">
        <w:t xml:space="preserve"> focus on</w:t>
      </w:r>
      <w:r w:rsidR="00383BD6" w:rsidRPr="00062C53">
        <w:t xml:space="preserve"> the needs of each individual</w:t>
      </w:r>
      <w:r w:rsidR="003C79D5" w:rsidRPr="00062C53">
        <w:t xml:space="preserve">, </w:t>
      </w:r>
      <w:r w:rsidRPr="00062C53">
        <w:t xml:space="preserve">better </w:t>
      </w:r>
      <w:r w:rsidR="003C79D5" w:rsidRPr="00062C53">
        <w:t>ensur</w:t>
      </w:r>
      <w:r w:rsidR="00383BD6" w:rsidRPr="00062C53">
        <w:t>ing</w:t>
      </w:r>
      <w:r w:rsidR="003C79D5" w:rsidRPr="00062C53">
        <w:t xml:space="preserve"> that their rights, choices, needs, and independence are maintained through their input and participation</w:t>
      </w:r>
      <w:r w:rsidR="00DB3F2D">
        <w:t xml:space="preserve">.  </w:t>
      </w:r>
      <w:r w:rsidRPr="00062C53">
        <w:t>I am pleased to present AoA’s Report to Congress for Fiscal Year (FY) 201</w:t>
      </w:r>
      <w:r w:rsidR="00A6472E">
        <w:t>7</w:t>
      </w:r>
      <w:r w:rsidR="00761EBB">
        <w:t xml:space="preserve">. </w:t>
      </w:r>
    </w:p>
    <w:p w14:paraId="0A53A1F4" w14:textId="77777777" w:rsidR="00F37A4A" w:rsidRDefault="00F37A4A" w:rsidP="00157D52">
      <w:pPr>
        <w:pStyle w:val="ListParagraph"/>
        <w:ind w:left="0"/>
        <w:jc w:val="both"/>
      </w:pPr>
    </w:p>
    <w:p w14:paraId="4578B667" w14:textId="77777777" w:rsidR="00F37A4A" w:rsidRPr="008373C1" w:rsidRDefault="00F37A4A" w:rsidP="002E13BE">
      <w:pPr>
        <w:pStyle w:val="BodyText"/>
        <w:contextualSpacing/>
        <w:rPr>
          <w:highlight w:val="yellow"/>
        </w:rPr>
      </w:pPr>
    </w:p>
    <w:p w14:paraId="42FA6010" w14:textId="688C79AF" w:rsidR="000A403A" w:rsidRPr="0004723E" w:rsidRDefault="00F06DA8" w:rsidP="000A403A">
      <w:pPr>
        <w:jc w:val="right"/>
      </w:pPr>
      <w:r>
        <w:t>Lance Robertson</w:t>
      </w:r>
    </w:p>
    <w:p w14:paraId="1A442D11" w14:textId="3176EEA0" w:rsidR="002B1C8B" w:rsidRDefault="002B1C8B" w:rsidP="002B1C8B">
      <w:pPr>
        <w:jc w:val="right"/>
      </w:pPr>
      <w:r>
        <w:t>Administrator and Assistant Secretary for Aging</w:t>
      </w:r>
    </w:p>
    <w:p w14:paraId="4481A431" w14:textId="77777777" w:rsidR="002271BB" w:rsidRDefault="002B1C8B" w:rsidP="002B1C8B">
      <w:pPr>
        <w:jc w:val="right"/>
      </w:pPr>
      <w:r>
        <w:t>Administration for Community Living</w:t>
      </w:r>
    </w:p>
    <w:p w14:paraId="3C84BC6D" w14:textId="77777777" w:rsidR="003B25D9" w:rsidRDefault="00EE0452" w:rsidP="00BC0D92">
      <w:pPr>
        <w:pStyle w:val="ListParagraph"/>
        <w:ind w:left="0"/>
        <w:jc w:val="both"/>
      </w:pPr>
      <w:r>
        <w:br w:type="page"/>
      </w:r>
    </w:p>
    <w:p w14:paraId="4B3D6628" w14:textId="029A33B5" w:rsidR="004B0290" w:rsidRDefault="004B0290" w:rsidP="004B0290">
      <w:pPr>
        <w:tabs>
          <w:tab w:val="left" w:pos="-1440"/>
          <w:tab w:val="right" w:pos="9360"/>
        </w:tabs>
        <w:jc w:val="center"/>
        <w:rPr>
          <w:b/>
          <w:i/>
          <w:sz w:val="28"/>
          <w:szCs w:val="28"/>
        </w:rPr>
      </w:pPr>
      <w:bookmarkStart w:id="2" w:name="_Toc436738867"/>
      <w:r w:rsidRPr="004B0290">
        <w:rPr>
          <w:b/>
          <w:i/>
          <w:sz w:val="28"/>
          <w:szCs w:val="28"/>
        </w:rPr>
        <w:lastRenderedPageBreak/>
        <w:t>Table of Contents</w:t>
      </w:r>
    </w:p>
    <w:p w14:paraId="70BE611F" w14:textId="31113CD1" w:rsidR="0095499F" w:rsidRDefault="0095499F" w:rsidP="004B0290">
      <w:pPr>
        <w:tabs>
          <w:tab w:val="left" w:pos="-1440"/>
          <w:tab w:val="right" w:pos="9360"/>
        </w:tabs>
        <w:jc w:val="center"/>
        <w:rPr>
          <w:b/>
          <w:sz w:val="28"/>
          <w:szCs w:val="28"/>
        </w:rPr>
      </w:pPr>
    </w:p>
    <w:sdt>
      <w:sdtPr>
        <w:rPr>
          <w:b w:val="0"/>
          <w:noProof w:val="0"/>
        </w:rPr>
        <w:id w:val="-825128206"/>
        <w:docPartObj>
          <w:docPartGallery w:val="Table of Contents"/>
          <w:docPartUnique/>
        </w:docPartObj>
      </w:sdtPr>
      <w:sdtEndPr>
        <w:rPr>
          <w:bCs/>
        </w:rPr>
      </w:sdtEndPr>
      <w:sdtContent>
        <w:p w14:paraId="5849CCFF" w14:textId="13507301" w:rsidR="007053F2" w:rsidRDefault="00B921B8" w:rsidP="007053F2">
          <w:pPr>
            <w:pStyle w:val="TOC1"/>
            <w:spacing w:after="120"/>
            <w:rPr>
              <w:rFonts w:asciiTheme="minorHAnsi" w:eastAsiaTheme="minorEastAsia" w:hAnsiTheme="minorHAnsi" w:cstheme="minorBidi"/>
              <w:b w:val="0"/>
              <w:sz w:val="22"/>
              <w:szCs w:val="22"/>
            </w:rPr>
          </w:pPr>
          <w:r>
            <w:rPr>
              <w:bCs/>
            </w:rPr>
            <w:fldChar w:fldCharType="begin"/>
          </w:r>
          <w:r>
            <w:rPr>
              <w:bCs/>
            </w:rPr>
            <w:instrText xml:space="preserve"> TOC \o "1-3" \h \z \u </w:instrText>
          </w:r>
          <w:r>
            <w:rPr>
              <w:bCs/>
            </w:rPr>
            <w:fldChar w:fldCharType="separate"/>
          </w:r>
          <w:hyperlink w:anchor="_Toc9929347" w:history="1">
            <w:r w:rsidR="007053F2" w:rsidRPr="005676CB">
              <w:rPr>
                <w:rStyle w:val="Hyperlink"/>
              </w:rPr>
              <w:t>EXECUTIVE SUMMARY</w:t>
            </w:r>
            <w:r w:rsidR="007053F2">
              <w:rPr>
                <w:webHidden/>
              </w:rPr>
              <w:tab/>
            </w:r>
            <w:r w:rsidR="007053F2">
              <w:rPr>
                <w:webHidden/>
              </w:rPr>
              <w:fldChar w:fldCharType="begin"/>
            </w:r>
            <w:r w:rsidR="007053F2">
              <w:rPr>
                <w:webHidden/>
              </w:rPr>
              <w:instrText xml:space="preserve"> PAGEREF _Toc9929347 \h </w:instrText>
            </w:r>
            <w:r w:rsidR="007053F2">
              <w:rPr>
                <w:webHidden/>
              </w:rPr>
            </w:r>
            <w:r w:rsidR="007053F2">
              <w:rPr>
                <w:webHidden/>
              </w:rPr>
              <w:fldChar w:fldCharType="separate"/>
            </w:r>
            <w:r w:rsidR="00F7487B">
              <w:rPr>
                <w:webHidden/>
              </w:rPr>
              <w:t>5</w:t>
            </w:r>
            <w:r w:rsidR="007053F2">
              <w:rPr>
                <w:webHidden/>
              </w:rPr>
              <w:fldChar w:fldCharType="end"/>
            </w:r>
          </w:hyperlink>
        </w:p>
        <w:p w14:paraId="224A32EC" w14:textId="10589FA5" w:rsidR="007053F2" w:rsidRDefault="00FE7D6D" w:rsidP="007053F2">
          <w:pPr>
            <w:pStyle w:val="TOC1"/>
            <w:spacing w:after="120"/>
            <w:rPr>
              <w:rFonts w:asciiTheme="minorHAnsi" w:eastAsiaTheme="minorEastAsia" w:hAnsiTheme="minorHAnsi" w:cstheme="minorBidi"/>
              <w:b w:val="0"/>
              <w:sz w:val="22"/>
              <w:szCs w:val="22"/>
            </w:rPr>
          </w:pPr>
          <w:hyperlink w:anchor="_Toc9929348" w:history="1">
            <w:r w:rsidR="007053F2" w:rsidRPr="005676CB">
              <w:rPr>
                <w:rStyle w:val="Hyperlink"/>
              </w:rPr>
              <w:t>PART I: HEALTH AND INDEPENDENCE</w:t>
            </w:r>
            <w:r w:rsidR="007053F2">
              <w:rPr>
                <w:webHidden/>
              </w:rPr>
              <w:tab/>
            </w:r>
            <w:r w:rsidR="007053F2">
              <w:rPr>
                <w:webHidden/>
              </w:rPr>
              <w:fldChar w:fldCharType="begin"/>
            </w:r>
            <w:r w:rsidR="007053F2">
              <w:rPr>
                <w:webHidden/>
              </w:rPr>
              <w:instrText xml:space="preserve"> PAGEREF _Toc9929348 \h </w:instrText>
            </w:r>
            <w:r w:rsidR="007053F2">
              <w:rPr>
                <w:webHidden/>
              </w:rPr>
            </w:r>
            <w:r w:rsidR="007053F2">
              <w:rPr>
                <w:webHidden/>
              </w:rPr>
              <w:fldChar w:fldCharType="separate"/>
            </w:r>
            <w:r w:rsidR="00F7487B">
              <w:rPr>
                <w:webHidden/>
              </w:rPr>
              <w:t>9</w:t>
            </w:r>
            <w:r w:rsidR="007053F2">
              <w:rPr>
                <w:webHidden/>
              </w:rPr>
              <w:fldChar w:fldCharType="end"/>
            </w:r>
          </w:hyperlink>
        </w:p>
        <w:p w14:paraId="13904AE0" w14:textId="32F12BD9" w:rsidR="007053F2" w:rsidRDefault="00FE7D6D" w:rsidP="00B11B20">
          <w:pPr>
            <w:pStyle w:val="TOC2"/>
            <w:rPr>
              <w:rFonts w:asciiTheme="minorHAnsi" w:eastAsiaTheme="minorEastAsia" w:hAnsiTheme="minorHAnsi" w:cstheme="minorBidi"/>
              <w:szCs w:val="22"/>
              <w:lang w:bidi="ar-SA"/>
            </w:rPr>
          </w:pPr>
          <w:hyperlink w:anchor="_Toc9929349" w:history="1">
            <w:r w:rsidR="007053F2" w:rsidRPr="005676CB">
              <w:rPr>
                <w:rStyle w:val="Hyperlink"/>
              </w:rPr>
              <w:t>Home and Community-Based Supportive Services</w:t>
            </w:r>
            <w:r w:rsidR="007053F2">
              <w:rPr>
                <w:webHidden/>
              </w:rPr>
              <w:tab/>
            </w:r>
            <w:r w:rsidR="007053F2">
              <w:rPr>
                <w:webHidden/>
              </w:rPr>
              <w:fldChar w:fldCharType="begin"/>
            </w:r>
            <w:r w:rsidR="007053F2">
              <w:rPr>
                <w:webHidden/>
              </w:rPr>
              <w:instrText xml:space="preserve"> PAGEREF _Toc9929349 \h </w:instrText>
            </w:r>
            <w:r w:rsidR="007053F2">
              <w:rPr>
                <w:webHidden/>
              </w:rPr>
            </w:r>
            <w:r w:rsidR="007053F2">
              <w:rPr>
                <w:webHidden/>
              </w:rPr>
              <w:fldChar w:fldCharType="separate"/>
            </w:r>
            <w:r w:rsidR="00F7487B">
              <w:rPr>
                <w:webHidden/>
              </w:rPr>
              <w:t>10</w:t>
            </w:r>
            <w:r w:rsidR="007053F2">
              <w:rPr>
                <w:webHidden/>
              </w:rPr>
              <w:fldChar w:fldCharType="end"/>
            </w:r>
          </w:hyperlink>
        </w:p>
        <w:p w14:paraId="21951D43" w14:textId="692BF26E" w:rsidR="007053F2" w:rsidRDefault="00FE7D6D" w:rsidP="00B11B20">
          <w:pPr>
            <w:pStyle w:val="TOC2"/>
            <w:rPr>
              <w:rFonts w:asciiTheme="minorHAnsi" w:eastAsiaTheme="minorEastAsia" w:hAnsiTheme="minorHAnsi" w:cstheme="minorBidi"/>
              <w:szCs w:val="22"/>
              <w:lang w:bidi="ar-SA"/>
            </w:rPr>
          </w:pPr>
          <w:hyperlink w:anchor="_Toc9929350" w:history="1">
            <w:r w:rsidR="007053F2" w:rsidRPr="005676CB">
              <w:rPr>
                <w:rStyle w:val="Hyperlink"/>
              </w:rPr>
              <w:t>Nutrition Services</w:t>
            </w:r>
            <w:r w:rsidR="007053F2">
              <w:rPr>
                <w:webHidden/>
              </w:rPr>
              <w:tab/>
            </w:r>
            <w:r w:rsidR="007053F2">
              <w:rPr>
                <w:webHidden/>
              </w:rPr>
              <w:fldChar w:fldCharType="begin"/>
            </w:r>
            <w:r w:rsidR="007053F2">
              <w:rPr>
                <w:webHidden/>
              </w:rPr>
              <w:instrText xml:space="preserve"> PAGEREF _Toc9929350 \h </w:instrText>
            </w:r>
            <w:r w:rsidR="007053F2">
              <w:rPr>
                <w:webHidden/>
              </w:rPr>
            </w:r>
            <w:r w:rsidR="007053F2">
              <w:rPr>
                <w:webHidden/>
              </w:rPr>
              <w:fldChar w:fldCharType="separate"/>
            </w:r>
            <w:r w:rsidR="00F7487B">
              <w:rPr>
                <w:webHidden/>
              </w:rPr>
              <w:t>12</w:t>
            </w:r>
            <w:r w:rsidR="007053F2">
              <w:rPr>
                <w:webHidden/>
              </w:rPr>
              <w:fldChar w:fldCharType="end"/>
            </w:r>
          </w:hyperlink>
        </w:p>
        <w:p w14:paraId="70905B6B" w14:textId="5600548E" w:rsidR="007053F2" w:rsidRDefault="00FE7D6D" w:rsidP="00B11B20">
          <w:pPr>
            <w:pStyle w:val="TOC2"/>
            <w:rPr>
              <w:rFonts w:asciiTheme="minorHAnsi" w:eastAsiaTheme="minorEastAsia" w:hAnsiTheme="minorHAnsi" w:cstheme="minorBidi"/>
              <w:szCs w:val="22"/>
              <w:lang w:bidi="ar-SA"/>
            </w:rPr>
          </w:pPr>
          <w:hyperlink w:anchor="_Toc9929351" w:history="1">
            <w:r w:rsidR="007053F2" w:rsidRPr="005676CB">
              <w:rPr>
                <w:rStyle w:val="Hyperlink"/>
              </w:rPr>
              <w:t>Preventive Health Services</w:t>
            </w:r>
            <w:r w:rsidR="007053F2">
              <w:rPr>
                <w:webHidden/>
              </w:rPr>
              <w:tab/>
            </w:r>
            <w:r w:rsidR="007053F2">
              <w:rPr>
                <w:webHidden/>
              </w:rPr>
              <w:fldChar w:fldCharType="begin"/>
            </w:r>
            <w:r w:rsidR="007053F2">
              <w:rPr>
                <w:webHidden/>
              </w:rPr>
              <w:instrText xml:space="preserve"> PAGEREF _Toc9929351 \h </w:instrText>
            </w:r>
            <w:r w:rsidR="007053F2">
              <w:rPr>
                <w:webHidden/>
              </w:rPr>
            </w:r>
            <w:r w:rsidR="007053F2">
              <w:rPr>
                <w:webHidden/>
              </w:rPr>
              <w:fldChar w:fldCharType="separate"/>
            </w:r>
            <w:r w:rsidR="00F7487B">
              <w:rPr>
                <w:webHidden/>
              </w:rPr>
              <w:t>18</w:t>
            </w:r>
            <w:r w:rsidR="007053F2">
              <w:rPr>
                <w:webHidden/>
              </w:rPr>
              <w:fldChar w:fldCharType="end"/>
            </w:r>
          </w:hyperlink>
        </w:p>
        <w:p w14:paraId="6D100E08" w14:textId="65B8A952" w:rsidR="007053F2" w:rsidRDefault="00FE7D6D" w:rsidP="00B11B20">
          <w:pPr>
            <w:pStyle w:val="TOC2"/>
            <w:rPr>
              <w:rFonts w:asciiTheme="minorHAnsi" w:eastAsiaTheme="minorEastAsia" w:hAnsiTheme="minorHAnsi" w:cstheme="minorBidi"/>
              <w:szCs w:val="22"/>
              <w:lang w:bidi="ar-SA"/>
            </w:rPr>
          </w:pPr>
          <w:hyperlink w:anchor="_Toc9929352" w:history="1">
            <w:r w:rsidR="007053F2" w:rsidRPr="005676CB">
              <w:rPr>
                <w:rStyle w:val="Hyperlink"/>
              </w:rPr>
              <w:t>Chronic Disease Self-Management Education Programs</w:t>
            </w:r>
            <w:r w:rsidR="007053F2">
              <w:rPr>
                <w:webHidden/>
              </w:rPr>
              <w:tab/>
            </w:r>
            <w:r w:rsidR="007053F2">
              <w:rPr>
                <w:webHidden/>
              </w:rPr>
              <w:fldChar w:fldCharType="begin"/>
            </w:r>
            <w:r w:rsidR="007053F2">
              <w:rPr>
                <w:webHidden/>
              </w:rPr>
              <w:instrText xml:space="preserve"> PAGEREF _Toc9929352 \h </w:instrText>
            </w:r>
            <w:r w:rsidR="007053F2">
              <w:rPr>
                <w:webHidden/>
              </w:rPr>
            </w:r>
            <w:r w:rsidR="007053F2">
              <w:rPr>
                <w:webHidden/>
              </w:rPr>
              <w:fldChar w:fldCharType="separate"/>
            </w:r>
            <w:r w:rsidR="00F7487B">
              <w:rPr>
                <w:webHidden/>
              </w:rPr>
              <w:t>20</w:t>
            </w:r>
            <w:r w:rsidR="007053F2">
              <w:rPr>
                <w:webHidden/>
              </w:rPr>
              <w:fldChar w:fldCharType="end"/>
            </w:r>
          </w:hyperlink>
        </w:p>
        <w:p w14:paraId="1BF733FB" w14:textId="7844918B" w:rsidR="007053F2" w:rsidRDefault="00FE7D6D" w:rsidP="00B11B20">
          <w:pPr>
            <w:pStyle w:val="TOC2"/>
            <w:rPr>
              <w:rFonts w:asciiTheme="minorHAnsi" w:eastAsiaTheme="minorEastAsia" w:hAnsiTheme="minorHAnsi" w:cstheme="minorBidi"/>
              <w:szCs w:val="22"/>
              <w:lang w:bidi="ar-SA"/>
            </w:rPr>
          </w:pPr>
          <w:hyperlink w:anchor="_Toc9929353" w:history="1">
            <w:r w:rsidR="007053F2" w:rsidRPr="005676CB">
              <w:rPr>
                <w:rStyle w:val="Hyperlink"/>
              </w:rPr>
              <w:t>Behavioral Health</w:t>
            </w:r>
            <w:r w:rsidR="007053F2">
              <w:rPr>
                <w:webHidden/>
              </w:rPr>
              <w:tab/>
            </w:r>
            <w:r w:rsidR="007053F2">
              <w:rPr>
                <w:webHidden/>
              </w:rPr>
              <w:fldChar w:fldCharType="begin"/>
            </w:r>
            <w:r w:rsidR="007053F2">
              <w:rPr>
                <w:webHidden/>
              </w:rPr>
              <w:instrText xml:space="preserve"> PAGEREF _Toc9929353 \h </w:instrText>
            </w:r>
            <w:r w:rsidR="007053F2">
              <w:rPr>
                <w:webHidden/>
              </w:rPr>
            </w:r>
            <w:r w:rsidR="007053F2">
              <w:rPr>
                <w:webHidden/>
              </w:rPr>
              <w:fldChar w:fldCharType="separate"/>
            </w:r>
            <w:r w:rsidR="00F7487B">
              <w:rPr>
                <w:webHidden/>
              </w:rPr>
              <w:t>21</w:t>
            </w:r>
            <w:r w:rsidR="007053F2">
              <w:rPr>
                <w:webHidden/>
              </w:rPr>
              <w:fldChar w:fldCharType="end"/>
            </w:r>
          </w:hyperlink>
        </w:p>
        <w:p w14:paraId="7591ED63" w14:textId="79906AC4" w:rsidR="007053F2" w:rsidRDefault="00FE7D6D" w:rsidP="00B11B20">
          <w:pPr>
            <w:pStyle w:val="TOC2"/>
            <w:rPr>
              <w:rFonts w:asciiTheme="minorHAnsi" w:eastAsiaTheme="minorEastAsia" w:hAnsiTheme="minorHAnsi" w:cstheme="minorBidi"/>
              <w:szCs w:val="22"/>
              <w:lang w:bidi="ar-SA"/>
            </w:rPr>
          </w:pPr>
          <w:hyperlink w:anchor="_Toc9929354" w:history="1">
            <w:r w:rsidR="007053F2" w:rsidRPr="005676CB">
              <w:rPr>
                <w:rStyle w:val="Hyperlink"/>
              </w:rPr>
              <w:t>Falls Prevention Programs</w:t>
            </w:r>
            <w:r w:rsidR="007053F2">
              <w:rPr>
                <w:webHidden/>
              </w:rPr>
              <w:tab/>
            </w:r>
            <w:r w:rsidR="007053F2">
              <w:rPr>
                <w:webHidden/>
              </w:rPr>
              <w:fldChar w:fldCharType="begin"/>
            </w:r>
            <w:r w:rsidR="007053F2">
              <w:rPr>
                <w:webHidden/>
              </w:rPr>
              <w:instrText xml:space="preserve"> PAGEREF _Toc9929354 \h </w:instrText>
            </w:r>
            <w:r w:rsidR="007053F2">
              <w:rPr>
                <w:webHidden/>
              </w:rPr>
            </w:r>
            <w:r w:rsidR="007053F2">
              <w:rPr>
                <w:webHidden/>
              </w:rPr>
              <w:fldChar w:fldCharType="separate"/>
            </w:r>
            <w:r w:rsidR="00F7487B">
              <w:rPr>
                <w:webHidden/>
              </w:rPr>
              <w:t>22</w:t>
            </w:r>
            <w:r w:rsidR="007053F2">
              <w:rPr>
                <w:webHidden/>
              </w:rPr>
              <w:fldChar w:fldCharType="end"/>
            </w:r>
          </w:hyperlink>
        </w:p>
        <w:p w14:paraId="7A4CDA8F" w14:textId="345CE959" w:rsidR="007053F2" w:rsidRDefault="00FE7D6D" w:rsidP="00B11B20">
          <w:pPr>
            <w:pStyle w:val="TOC2"/>
            <w:rPr>
              <w:rFonts w:asciiTheme="minorHAnsi" w:eastAsiaTheme="minorEastAsia" w:hAnsiTheme="minorHAnsi" w:cstheme="minorBidi"/>
              <w:szCs w:val="22"/>
              <w:lang w:bidi="ar-SA"/>
            </w:rPr>
          </w:pPr>
          <w:hyperlink w:anchor="_Toc9929355" w:history="1">
            <w:r w:rsidR="007053F2" w:rsidRPr="005676CB">
              <w:rPr>
                <w:rStyle w:val="Hyperlink"/>
              </w:rPr>
              <w:t>Caregiver Services</w:t>
            </w:r>
            <w:r w:rsidR="007053F2">
              <w:rPr>
                <w:webHidden/>
              </w:rPr>
              <w:tab/>
            </w:r>
            <w:r w:rsidR="007053F2">
              <w:rPr>
                <w:webHidden/>
              </w:rPr>
              <w:fldChar w:fldCharType="begin"/>
            </w:r>
            <w:r w:rsidR="007053F2">
              <w:rPr>
                <w:webHidden/>
              </w:rPr>
              <w:instrText xml:space="preserve"> PAGEREF _Toc9929355 \h </w:instrText>
            </w:r>
            <w:r w:rsidR="007053F2">
              <w:rPr>
                <w:webHidden/>
              </w:rPr>
            </w:r>
            <w:r w:rsidR="007053F2">
              <w:rPr>
                <w:webHidden/>
              </w:rPr>
              <w:fldChar w:fldCharType="separate"/>
            </w:r>
            <w:r w:rsidR="00F7487B">
              <w:rPr>
                <w:webHidden/>
              </w:rPr>
              <w:t>24</w:t>
            </w:r>
            <w:r w:rsidR="007053F2">
              <w:rPr>
                <w:webHidden/>
              </w:rPr>
              <w:fldChar w:fldCharType="end"/>
            </w:r>
          </w:hyperlink>
        </w:p>
        <w:p w14:paraId="716999DB" w14:textId="6B70D6D1" w:rsidR="007053F2" w:rsidRDefault="00FE7D6D" w:rsidP="00B11B20">
          <w:pPr>
            <w:pStyle w:val="TOC2"/>
            <w:rPr>
              <w:rFonts w:asciiTheme="minorHAnsi" w:eastAsiaTheme="minorEastAsia" w:hAnsiTheme="minorHAnsi" w:cstheme="minorBidi"/>
              <w:szCs w:val="22"/>
              <w:lang w:bidi="ar-SA"/>
            </w:rPr>
          </w:pPr>
          <w:hyperlink w:anchor="_Toc9929356" w:history="1">
            <w:r w:rsidR="007053F2" w:rsidRPr="005676CB">
              <w:rPr>
                <w:rStyle w:val="Hyperlink"/>
              </w:rPr>
              <w:t>National Family Caregiver Support Program</w:t>
            </w:r>
            <w:r w:rsidR="007053F2">
              <w:rPr>
                <w:webHidden/>
              </w:rPr>
              <w:tab/>
            </w:r>
            <w:r w:rsidR="007053F2">
              <w:rPr>
                <w:webHidden/>
              </w:rPr>
              <w:fldChar w:fldCharType="begin"/>
            </w:r>
            <w:r w:rsidR="007053F2">
              <w:rPr>
                <w:webHidden/>
              </w:rPr>
              <w:instrText xml:space="preserve"> PAGEREF _Toc9929356 \h </w:instrText>
            </w:r>
            <w:r w:rsidR="007053F2">
              <w:rPr>
                <w:webHidden/>
              </w:rPr>
            </w:r>
            <w:r w:rsidR="007053F2">
              <w:rPr>
                <w:webHidden/>
              </w:rPr>
              <w:fldChar w:fldCharType="separate"/>
            </w:r>
            <w:r w:rsidR="00F7487B">
              <w:rPr>
                <w:webHidden/>
              </w:rPr>
              <w:t>25</w:t>
            </w:r>
            <w:r w:rsidR="007053F2">
              <w:rPr>
                <w:webHidden/>
              </w:rPr>
              <w:fldChar w:fldCharType="end"/>
            </w:r>
          </w:hyperlink>
        </w:p>
        <w:p w14:paraId="7B4054C6" w14:textId="62EE07CF" w:rsidR="007053F2" w:rsidRDefault="00FE7D6D" w:rsidP="00B11B20">
          <w:pPr>
            <w:pStyle w:val="TOC2"/>
            <w:rPr>
              <w:rFonts w:asciiTheme="minorHAnsi" w:eastAsiaTheme="minorEastAsia" w:hAnsiTheme="minorHAnsi" w:cstheme="minorBidi"/>
              <w:szCs w:val="22"/>
              <w:lang w:bidi="ar-SA"/>
            </w:rPr>
          </w:pPr>
          <w:hyperlink w:anchor="_Toc9929357" w:history="1">
            <w:r w:rsidR="007053F2" w:rsidRPr="005676CB">
              <w:rPr>
                <w:rStyle w:val="Hyperlink"/>
              </w:rPr>
              <w:t>Brain Health</w:t>
            </w:r>
            <w:r w:rsidR="007053F2">
              <w:rPr>
                <w:webHidden/>
              </w:rPr>
              <w:tab/>
            </w:r>
            <w:r w:rsidR="007053F2">
              <w:rPr>
                <w:webHidden/>
              </w:rPr>
              <w:fldChar w:fldCharType="begin"/>
            </w:r>
            <w:r w:rsidR="007053F2">
              <w:rPr>
                <w:webHidden/>
              </w:rPr>
              <w:instrText xml:space="preserve"> PAGEREF _Toc9929357 \h </w:instrText>
            </w:r>
            <w:r w:rsidR="007053F2">
              <w:rPr>
                <w:webHidden/>
              </w:rPr>
            </w:r>
            <w:r w:rsidR="007053F2">
              <w:rPr>
                <w:webHidden/>
              </w:rPr>
              <w:fldChar w:fldCharType="separate"/>
            </w:r>
            <w:r w:rsidR="00F7487B">
              <w:rPr>
                <w:webHidden/>
              </w:rPr>
              <w:t>28</w:t>
            </w:r>
            <w:r w:rsidR="007053F2">
              <w:rPr>
                <w:webHidden/>
              </w:rPr>
              <w:fldChar w:fldCharType="end"/>
            </w:r>
          </w:hyperlink>
        </w:p>
        <w:p w14:paraId="6E01379F" w14:textId="60AE8203" w:rsidR="007053F2" w:rsidRDefault="00FE7D6D" w:rsidP="00B11B20">
          <w:pPr>
            <w:pStyle w:val="TOC2"/>
            <w:rPr>
              <w:rFonts w:asciiTheme="minorHAnsi" w:eastAsiaTheme="minorEastAsia" w:hAnsiTheme="minorHAnsi" w:cstheme="minorBidi"/>
              <w:szCs w:val="22"/>
              <w:lang w:bidi="ar-SA"/>
            </w:rPr>
          </w:pPr>
          <w:hyperlink w:anchor="_Toc9929358" w:history="1">
            <w:r w:rsidR="007053F2" w:rsidRPr="005676CB">
              <w:rPr>
                <w:rStyle w:val="Hyperlink"/>
              </w:rPr>
              <w:t>Alzheimer’s Disease Supportive Services Program (ADSSP)</w:t>
            </w:r>
            <w:r w:rsidR="007053F2">
              <w:rPr>
                <w:webHidden/>
              </w:rPr>
              <w:tab/>
            </w:r>
            <w:r w:rsidR="007053F2">
              <w:rPr>
                <w:webHidden/>
              </w:rPr>
              <w:fldChar w:fldCharType="begin"/>
            </w:r>
            <w:r w:rsidR="007053F2">
              <w:rPr>
                <w:webHidden/>
              </w:rPr>
              <w:instrText xml:space="preserve"> PAGEREF _Toc9929358 \h </w:instrText>
            </w:r>
            <w:r w:rsidR="007053F2">
              <w:rPr>
                <w:webHidden/>
              </w:rPr>
            </w:r>
            <w:r w:rsidR="007053F2">
              <w:rPr>
                <w:webHidden/>
              </w:rPr>
              <w:fldChar w:fldCharType="separate"/>
            </w:r>
            <w:r w:rsidR="00F7487B">
              <w:rPr>
                <w:webHidden/>
              </w:rPr>
              <w:t>29</w:t>
            </w:r>
            <w:r w:rsidR="007053F2">
              <w:rPr>
                <w:webHidden/>
              </w:rPr>
              <w:fldChar w:fldCharType="end"/>
            </w:r>
          </w:hyperlink>
        </w:p>
        <w:p w14:paraId="3FBFCD2B" w14:textId="21BEA9EC" w:rsidR="007053F2" w:rsidRDefault="00FE7D6D" w:rsidP="00B11B20">
          <w:pPr>
            <w:pStyle w:val="TOC2"/>
            <w:rPr>
              <w:rFonts w:asciiTheme="minorHAnsi" w:eastAsiaTheme="minorEastAsia" w:hAnsiTheme="minorHAnsi" w:cstheme="minorBidi"/>
              <w:szCs w:val="22"/>
              <w:lang w:bidi="ar-SA"/>
            </w:rPr>
          </w:pPr>
          <w:hyperlink w:anchor="_Toc9929359" w:history="1">
            <w:r w:rsidR="007053F2" w:rsidRPr="005676CB">
              <w:rPr>
                <w:rStyle w:val="Hyperlink"/>
              </w:rPr>
              <w:t>Alzheimer’s Disease Initiative – Specialized Supportive Services (ADI-SSS)</w:t>
            </w:r>
            <w:r w:rsidR="007053F2">
              <w:rPr>
                <w:webHidden/>
              </w:rPr>
              <w:tab/>
            </w:r>
            <w:r w:rsidR="007053F2">
              <w:rPr>
                <w:webHidden/>
              </w:rPr>
              <w:fldChar w:fldCharType="begin"/>
            </w:r>
            <w:r w:rsidR="007053F2">
              <w:rPr>
                <w:webHidden/>
              </w:rPr>
              <w:instrText xml:space="preserve"> PAGEREF _Toc9929359 \h </w:instrText>
            </w:r>
            <w:r w:rsidR="007053F2">
              <w:rPr>
                <w:webHidden/>
              </w:rPr>
            </w:r>
            <w:r w:rsidR="007053F2">
              <w:rPr>
                <w:webHidden/>
              </w:rPr>
              <w:fldChar w:fldCharType="separate"/>
            </w:r>
            <w:r w:rsidR="00F7487B">
              <w:rPr>
                <w:webHidden/>
              </w:rPr>
              <w:t>30</w:t>
            </w:r>
            <w:r w:rsidR="007053F2">
              <w:rPr>
                <w:webHidden/>
              </w:rPr>
              <w:fldChar w:fldCharType="end"/>
            </w:r>
          </w:hyperlink>
        </w:p>
        <w:p w14:paraId="3C2EAE95" w14:textId="2A898DBD" w:rsidR="007053F2" w:rsidRDefault="00FE7D6D" w:rsidP="007053F2">
          <w:pPr>
            <w:pStyle w:val="TOC1"/>
            <w:spacing w:after="120"/>
            <w:rPr>
              <w:rFonts w:asciiTheme="minorHAnsi" w:eastAsiaTheme="minorEastAsia" w:hAnsiTheme="minorHAnsi" w:cstheme="minorBidi"/>
              <w:b w:val="0"/>
              <w:sz w:val="22"/>
              <w:szCs w:val="22"/>
            </w:rPr>
          </w:pPr>
          <w:hyperlink w:anchor="_Toc9929360" w:history="1">
            <w:r w:rsidR="007053F2" w:rsidRPr="005676CB">
              <w:rPr>
                <w:rStyle w:val="Hyperlink"/>
              </w:rPr>
              <w:t>PART II: OLDER AMERICAN INDIANS, ALASKA NATIVES &amp; NATIVE HAWAIIANS</w:t>
            </w:r>
            <w:r w:rsidR="007053F2">
              <w:rPr>
                <w:webHidden/>
              </w:rPr>
              <w:tab/>
            </w:r>
            <w:r w:rsidR="007053F2">
              <w:rPr>
                <w:webHidden/>
              </w:rPr>
              <w:fldChar w:fldCharType="begin"/>
            </w:r>
            <w:r w:rsidR="007053F2">
              <w:rPr>
                <w:webHidden/>
              </w:rPr>
              <w:instrText xml:space="preserve"> PAGEREF _Toc9929360 \h </w:instrText>
            </w:r>
            <w:r w:rsidR="007053F2">
              <w:rPr>
                <w:webHidden/>
              </w:rPr>
            </w:r>
            <w:r w:rsidR="007053F2">
              <w:rPr>
                <w:webHidden/>
              </w:rPr>
              <w:fldChar w:fldCharType="separate"/>
            </w:r>
            <w:r w:rsidR="00F7487B">
              <w:rPr>
                <w:webHidden/>
              </w:rPr>
              <w:t>31</w:t>
            </w:r>
            <w:r w:rsidR="007053F2">
              <w:rPr>
                <w:webHidden/>
              </w:rPr>
              <w:fldChar w:fldCharType="end"/>
            </w:r>
          </w:hyperlink>
        </w:p>
        <w:p w14:paraId="65EC5A4D" w14:textId="7A0F5EAD" w:rsidR="007053F2" w:rsidRDefault="00FE7D6D" w:rsidP="00B11B20">
          <w:pPr>
            <w:pStyle w:val="TOC2"/>
            <w:rPr>
              <w:rFonts w:asciiTheme="minorHAnsi" w:eastAsiaTheme="minorEastAsia" w:hAnsiTheme="minorHAnsi" w:cstheme="minorBidi"/>
              <w:szCs w:val="22"/>
              <w:lang w:bidi="ar-SA"/>
            </w:rPr>
          </w:pPr>
          <w:hyperlink w:anchor="_Toc9929361" w:history="1">
            <w:r w:rsidR="007053F2" w:rsidRPr="005676CB">
              <w:rPr>
                <w:rStyle w:val="Hyperlink"/>
              </w:rPr>
              <w:t>Nutrition and Supportive Services</w:t>
            </w:r>
            <w:r w:rsidR="007053F2">
              <w:rPr>
                <w:webHidden/>
              </w:rPr>
              <w:tab/>
            </w:r>
            <w:r w:rsidR="007053F2">
              <w:rPr>
                <w:webHidden/>
              </w:rPr>
              <w:fldChar w:fldCharType="begin"/>
            </w:r>
            <w:r w:rsidR="007053F2">
              <w:rPr>
                <w:webHidden/>
              </w:rPr>
              <w:instrText xml:space="preserve"> PAGEREF _Toc9929361 \h </w:instrText>
            </w:r>
            <w:r w:rsidR="007053F2">
              <w:rPr>
                <w:webHidden/>
              </w:rPr>
            </w:r>
            <w:r w:rsidR="007053F2">
              <w:rPr>
                <w:webHidden/>
              </w:rPr>
              <w:fldChar w:fldCharType="separate"/>
            </w:r>
            <w:r w:rsidR="00F7487B">
              <w:rPr>
                <w:webHidden/>
              </w:rPr>
              <w:t>31</w:t>
            </w:r>
            <w:r w:rsidR="007053F2">
              <w:rPr>
                <w:webHidden/>
              </w:rPr>
              <w:fldChar w:fldCharType="end"/>
            </w:r>
          </w:hyperlink>
        </w:p>
        <w:p w14:paraId="37512373" w14:textId="3AB01CF1" w:rsidR="007053F2" w:rsidRDefault="00FE7D6D" w:rsidP="00B11B20">
          <w:pPr>
            <w:pStyle w:val="TOC2"/>
            <w:rPr>
              <w:rFonts w:asciiTheme="minorHAnsi" w:eastAsiaTheme="minorEastAsia" w:hAnsiTheme="minorHAnsi" w:cstheme="minorBidi"/>
              <w:szCs w:val="22"/>
              <w:lang w:bidi="ar-SA"/>
            </w:rPr>
          </w:pPr>
          <w:hyperlink w:anchor="_Toc9929362" w:history="1">
            <w:r w:rsidR="007053F2" w:rsidRPr="005676CB">
              <w:rPr>
                <w:rStyle w:val="Hyperlink"/>
              </w:rPr>
              <w:t>Caregiver Support Services</w:t>
            </w:r>
            <w:r w:rsidR="007053F2">
              <w:rPr>
                <w:webHidden/>
              </w:rPr>
              <w:tab/>
            </w:r>
            <w:r w:rsidR="007053F2">
              <w:rPr>
                <w:webHidden/>
              </w:rPr>
              <w:fldChar w:fldCharType="begin"/>
            </w:r>
            <w:r w:rsidR="007053F2">
              <w:rPr>
                <w:webHidden/>
              </w:rPr>
              <w:instrText xml:space="preserve"> PAGEREF _Toc9929362 \h </w:instrText>
            </w:r>
            <w:r w:rsidR="007053F2">
              <w:rPr>
                <w:webHidden/>
              </w:rPr>
            </w:r>
            <w:r w:rsidR="007053F2">
              <w:rPr>
                <w:webHidden/>
              </w:rPr>
              <w:fldChar w:fldCharType="separate"/>
            </w:r>
            <w:r w:rsidR="00F7487B">
              <w:rPr>
                <w:webHidden/>
              </w:rPr>
              <w:t>33</w:t>
            </w:r>
            <w:r w:rsidR="007053F2">
              <w:rPr>
                <w:webHidden/>
              </w:rPr>
              <w:fldChar w:fldCharType="end"/>
            </w:r>
          </w:hyperlink>
        </w:p>
        <w:p w14:paraId="3EC9C6B3" w14:textId="11531A67" w:rsidR="007053F2" w:rsidRDefault="00FE7D6D" w:rsidP="007053F2">
          <w:pPr>
            <w:pStyle w:val="TOC1"/>
            <w:spacing w:after="120"/>
            <w:rPr>
              <w:rFonts w:asciiTheme="minorHAnsi" w:eastAsiaTheme="minorEastAsia" w:hAnsiTheme="minorHAnsi" w:cstheme="minorBidi"/>
              <w:b w:val="0"/>
              <w:sz w:val="22"/>
              <w:szCs w:val="22"/>
            </w:rPr>
          </w:pPr>
          <w:hyperlink w:anchor="_Toc9929363" w:history="1">
            <w:r w:rsidR="007053F2" w:rsidRPr="005676CB">
              <w:rPr>
                <w:rStyle w:val="Hyperlink"/>
              </w:rPr>
              <w:t>PART III: ELDER RIGHTS</w:t>
            </w:r>
            <w:r w:rsidR="007053F2">
              <w:rPr>
                <w:webHidden/>
              </w:rPr>
              <w:tab/>
            </w:r>
            <w:r w:rsidR="007053F2">
              <w:rPr>
                <w:webHidden/>
              </w:rPr>
              <w:fldChar w:fldCharType="begin"/>
            </w:r>
            <w:r w:rsidR="007053F2">
              <w:rPr>
                <w:webHidden/>
              </w:rPr>
              <w:instrText xml:space="preserve"> PAGEREF _Toc9929363 \h </w:instrText>
            </w:r>
            <w:r w:rsidR="007053F2">
              <w:rPr>
                <w:webHidden/>
              </w:rPr>
            </w:r>
            <w:r w:rsidR="007053F2">
              <w:rPr>
                <w:webHidden/>
              </w:rPr>
              <w:fldChar w:fldCharType="separate"/>
            </w:r>
            <w:r w:rsidR="00F7487B">
              <w:rPr>
                <w:webHidden/>
              </w:rPr>
              <w:t>35</w:t>
            </w:r>
            <w:r w:rsidR="007053F2">
              <w:rPr>
                <w:webHidden/>
              </w:rPr>
              <w:fldChar w:fldCharType="end"/>
            </w:r>
          </w:hyperlink>
        </w:p>
        <w:p w14:paraId="5DD88549" w14:textId="3C289485" w:rsidR="007053F2" w:rsidRDefault="00FE7D6D" w:rsidP="00B11B20">
          <w:pPr>
            <w:pStyle w:val="TOC2"/>
            <w:rPr>
              <w:rFonts w:asciiTheme="minorHAnsi" w:eastAsiaTheme="minorEastAsia" w:hAnsiTheme="minorHAnsi" w:cstheme="minorBidi"/>
              <w:szCs w:val="22"/>
              <w:lang w:bidi="ar-SA"/>
            </w:rPr>
          </w:pPr>
          <w:hyperlink w:anchor="_Toc9929364" w:history="1">
            <w:r w:rsidR="007053F2" w:rsidRPr="005676CB">
              <w:rPr>
                <w:rStyle w:val="Hyperlink"/>
              </w:rPr>
              <w:t>Prevention of Elder Abuse and Neglect</w:t>
            </w:r>
            <w:r w:rsidR="007053F2">
              <w:rPr>
                <w:webHidden/>
              </w:rPr>
              <w:tab/>
            </w:r>
            <w:r w:rsidR="007053F2">
              <w:rPr>
                <w:webHidden/>
              </w:rPr>
              <w:fldChar w:fldCharType="begin"/>
            </w:r>
            <w:r w:rsidR="007053F2">
              <w:rPr>
                <w:webHidden/>
              </w:rPr>
              <w:instrText xml:space="preserve"> PAGEREF _Toc9929364 \h </w:instrText>
            </w:r>
            <w:r w:rsidR="007053F2">
              <w:rPr>
                <w:webHidden/>
              </w:rPr>
            </w:r>
            <w:r w:rsidR="007053F2">
              <w:rPr>
                <w:webHidden/>
              </w:rPr>
              <w:fldChar w:fldCharType="separate"/>
            </w:r>
            <w:r w:rsidR="00F7487B">
              <w:rPr>
                <w:webHidden/>
              </w:rPr>
              <w:t>35</w:t>
            </w:r>
            <w:r w:rsidR="007053F2">
              <w:rPr>
                <w:webHidden/>
              </w:rPr>
              <w:fldChar w:fldCharType="end"/>
            </w:r>
          </w:hyperlink>
        </w:p>
        <w:p w14:paraId="567E2D91" w14:textId="7BD68782" w:rsidR="007053F2" w:rsidRPr="00B11B20" w:rsidRDefault="00FE7D6D" w:rsidP="00B11B20">
          <w:pPr>
            <w:pStyle w:val="TOC2"/>
            <w:rPr>
              <w:rFonts w:asciiTheme="minorHAnsi" w:eastAsiaTheme="minorEastAsia" w:hAnsiTheme="minorHAnsi" w:cstheme="minorBidi"/>
              <w:szCs w:val="22"/>
              <w:lang w:bidi="ar-SA"/>
            </w:rPr>
          </w:pPr>
          <w:hyperlink w:anchor="_Toc9929365" w:history="1">
            <w:r w:rsidR="007053F2" w:rsidRPr="00B11B20">
              <w:rPr>
                <w:rStyle w:val="Hyperlink"/>
              </w:rPr>
              <w:t>National Center on Law and Elder Rights</w:t>
            </w:r>
            <w:r w:rsidR="007053F2" w:rsidRPr="00B11B20">
              <w:rPr>
                <w:webHidden/>
              </w:rPr>
              <w:tab/>
            </w:r>
            <w:r w:rsidR="007053F2" w:rsidRPr="00B11B20">
              <w:rPr>
                <w:webHidden/>
              </w:rPr>
              <w:fldChar w:fldCharType="begin"/>
            </w:r>
            <w:r w:rsidR="007053F2" w:rsidRPr="00B11B20">
              <w:rPr>
                <w:webHidden/>
              </w:rPr>
              <w:instrText xml:space="preserve"> PAGEREF _Toc9929365 \h </w:instrText>
            </w:r>
            <w:r w:rsidR="007053F2" w:rsidRPr="00B11B20">
              <w:rPr>
                <w:webHidden/>
              </w:rPr>
            </w:r>
            <w:r w:rsidR="007053F2" w:rsidRPr="00B11B20">
              <w:rPr>
                <w:webHidden/>
              </w:rPr>
              <w:fldChar w:fldCharType="separate"/>
            </w:r>
            <w:r w:rsidR="00F7487B">
              <w:rPr>
                <w:webHidden/>
              </w:rPr>
              <w:t>39</w:t>
            </w:r>
            <w:r w:rsidR="007053F2" w:rsidRPr="00B11B20">
              <w:rPr>
                <w:webHidden/>
              </w:rPr>
              <w:fldChar w:fldCharType="end"/>
            </w:r>
          </w:hyperlink>
        </w:p>
        <w:p w14:paraId="41A6EAAB" w14:textId="70197438" w:rsidR="007053F2" w:rsidRDefault="00FE7D6D" w:rsidP="00B11B20">
          <w:pPr>
            <w:pStyle w:val="TOC2"/>
            <w:rPr>
              <w:rFonts w:asciiTheme="minorHAnsi" w:eastAsiaTheme="minorEastAsia" w:hAnsiTheme="minorHAnsi" w:cstheme="minorBidi"/>
              <w:szCs w:val="22"/>
              <w:lang w:bidi="ar-SA"/>
            </w:rPr>
          </w:pPr>
          <w:hyperlink w:anchor="_Toc9929366" w:history="1">
            <w:r w:rsidR="007053F2" w:rsidRPr="005676CB">
              <w:rPr>
                <w:rStyle w:val="Hyperlink"/>
              </w:rPr>
              <w:t>Model Approaches to Statewide Legal Assistance Systems</w:t>
            </w:r>
            <w:r w:rsidR="007053F2">
              <w:rPr>
                <w:webHidden/>
              </w:rPr>
              <w:tab/>
            </w:r>
            <w:r w:rsidR="007053F2">
              <w:rPr>
                <w:webHidden/>
              </w:rPr>
              <w:fldChar w:fldCharType="begin"/>
            </w:r>
            <w:r w:rsidR="007053F2">
              <w:rPr>
                <w:webHidden/>
              </w:rPr>
              <w:instrText xml:space="preserve"> PAGEREF _Toc9929366 \h </w:instrText>
            </w:r>
            <w:r w:rsidR="007053F2">
              <w:rPr>
                <w:webHidden/>
              </w:rPr>
            </w:r>
            <w:r w:rsidR="007053F2">
              <w:rPr>
                <w:webHidden/>
              </w:rPr>
              <w:fldChar w:fldCharType="separate"/>
            </w:r>
            <w:r w:rsidR="00F7487B">
              <w:rPr>
                <w:webHidden/>
              </w:rPr>
              <w:t>40</w:t>
            </w:r>
            <w:r w:rsidR="007053F2">
              <w:rPr>
                <w:webHidden/>
              </w:rPr>
              <w:fldChar w:fldCharType="end"/>
            </w:r>
          </w:hyperlink>
        </w:p>
        <w:p w14:paraId="3B85778A" w14:textId="1B8C7B10" w:rsidR="007053F2" w:rsidRDefault="00FE7D6D" w:rsidP="00B11B20">
          <w:pPr>
            <w:pStyle w:val="TOC2"/>
            <w:rPr>
              <w:rFonts w:asciiTheme="minorHAnsi" w:eastAsiaTheme="minorEastAsia" w:hAnsiTheme="minorHAnsi" w:cstheme="minorBidi"/>
              <w:szCs w:val="22"/>
              <w:lang w:bidi="ar-SA"/>
            </w:rPr>
          </w:pPr>
          <w:hyperlink w:anchor="_Toc9929367" w:history="1">
            <w:r w:rsidR="007053F2" w:rsidRPr="005676CB">
              <w:rPr>
                <w:rStyle w:val="Hyperlink"/>
              </w:rPr>
              <w:t>Pension Counseling and Information Program</w:t>
            </w:r>
            <w:r w:rsidR="007053F2">
              <w:rPr>
                <w:webHidden/>
              </w:rPr>
              <w:tab/>
            </w:r>
            <w:r w:rsidR="007053F2">
              <w:rPr>
                <w:webHidden/>
              </w:rPr>
              <w:fldChar w:fldCharType="begin"/>
            </w:r>
            <w:r w:rsidR="007053F2">
              <w:rPr>
                <w:webHidden/>
              </w:rPr>
              <w:instrText xml:space="preserve"> PAGEREF _Toc9929367 \h </w:instrText>
            </w:r>
            <w:r w:rsidR="007053F2">
              <w:rPr>
                <w:webHidden/>
              </w:rPr>
            </w:r>
            <w:r w:rsidR="007053F2">
              <w:rPr>
                <w:webHidden/>
              </w:rPr>
              <w:fldChar w:fldCharType="separate"/>
            </w:r>
            <w:r w:rsidR="00F7487B">
              <w:rPr>
                <w:webHidden/>
              </w:rPr>
              <w:t>41</w:t>
            </w:r>
            <w:r w:rsidR="007053F2">
              <w:rPr>
                <w:webHidden/>
              </w:rPr>
              <w:fldChar w:fldCharType="end"/>
            </w:r>
          </w:hyperlink>
        </w:p>
        <w:p w14:paraId="0A47C5AC" w14:textId="7759CBE2" w:rsidR="007053F2" w:rsidRDefault="00FE7D6D" w:rsidP="00B11B20">
          <w:pPr>
            <w:pStyle w:val="TOC2"/>
            <w:rPr>
              <w:rFonts w:asciiTheme="minorHAnsi" w:eastAsiaTheme="minorEastAsia" w:hAnsiTheme="minorHAnsi" w:cstheme="minorBidi"/>
              <w:szCs w:val="22"/>
              <w:lang w:bidi="ar-SA"/>
            </w:rPr>
          </w:pPr>
          <w:hyperlink w:anchor="_Toc9929368" w:history="1">
            <w:r w:rsidR="007053F2" w:rsidRPr="005676CB">
              <w:rPr>
                <w:rStyle w:val="Hyperlink"/>
              </w:rPr>
              <w:t>Long-Term Care Ombudsman Program</w:t>
            </w:r>
            <w:r w:rsidR="007053F2">
              <w:rPr>
                <w:webHidden/>
              </w:rPr>
              <w:tab/>
            </w:r>
            <w:r w:rsidR="007053F2">
              <w:rPr>
                <w:webHidden/>
              </w:rPr>
              <w:fldChar w:fldCharType="begin"/>
            </w:r>
            <w:r w:rsidR="007053F2">
              <w:rPr>
                <w:webHidden/>
              </w:rPr>
              <w:instrText xml:space="preserve"> PAGEREF _Toc9929368 \h </w:instrText>
            </w:r>
            <w:r w:rsidR="007053F2">
              <w:rPr>
                <w:webHidden/>
              </w:rPr>
            </w:r>
            <w:r w:rsidR="007053F2">
              <w:rPr>
                <w:webHidden/>
              </w:rPr>
              <w:fldChar w:fldCharType="separate"/>
            </w:r>
            <w:r w:rsidR="00F7487B">
              <w:rPr>
                <w:webHidden/>
              </w:rPr>
              <w:t>44</w:t>
            </w:r>
            <w:r w:rsidR="007053F2">
              <w:rPr>
                <w:webHidden/>
              </w:rPr>
              <w:fldChar w:fldCharType="end"/>
            </w:r>
          </w:hyperlink>
        </w:p>
        <w:p w14:paraId="39CC5B71" w14:textId="4AEF8A59" w:rsidR="007053F2" w:rsidRDefault="00FE7D6D" w:rsidP="007053F2">
          <w:pPr>
            <w:pStyle w:val="TOC1"/>
            <w:spacing w:after="120"/>
            <w:rPr>
              <w:rFonts w:asciiTheme="minorHAnsi" w:eastAsiaTheme="minorEastAsia" w:hAnsiTheme="minorHAnsi" w:cstheme="minorBidi"/>
              <w:b w:val="0"/>
              <w:sz w:val="22"/>
              <w:szCs w:val="22"/>
            </w:rPr>
          </w:pPr>
          <w:hyperlink w:anchor="_Toc9929369" w:history="1">
            <w:r w:rsidR="007053F2" w:rsidRPr="005676CB">
              <w:rPr>
                <w:rStyle w:val="Hyperlink"/>
              </w:rPr>
              <w:t>PART IV: SUPPORTING THE NATIONAL</w:t>
            </w:r>
            <w:r w:rsidR="000C42E5">
              <w:rPr>
                <w:rStyle w:val="Hyperlink"/>
              </w:rPr>
              <w:t xml:space="preserve"> AGING SERVICES NETWORK</w:t>
            </w:r>
            <w:r w:rsidR="007053F2">
              <w:rPr>
                <w:webHidden/>
              </w:rPr>
              <w:tab/>
            </w:r>
            <w:r w:rsidR="007053F2">
              <w:rPr>
                <w:webHidden/>
              </w:rPr>
              <w:fldChar w:fldCharType="begin"/>
            </w:r>
            <w:r w:rsidR="007053F2">
              <w:rPr>
                <w:webHidden/>
              </w:rPr>
              <w:instrText xml:space="preserve"> PAGEREF _Toc9929369 \h </w:instrText>
            </w:r>
            <w:r w:rsidR="007053F2">
              <w:rPr>
                <w:webHidden/>
              </w:rPr>
            </w:r>
            <w:r w:rsidR="007053F2">
              <w:rPr>
                <w:webHidden/>
              </w:rPr>
              <w:fldChar w:fldCharType="separate"/>
            </w:r>
            <w:r w:rsidR="00F7487B">
              <w:rPr>
                <w:webHidden/>
              </w:rPr>
              <w:t>50</w:t>
            </w:r>
            <w:r w:rsidR="007053F2">
              <w:rPr>
                <w:webHidden/>
              </w:rPr>
              <w:fldChar w:fldCharType="end"/>
            </w:r>
          </w:hyperlink>
        </w:p>
        <w:p w14:paraId="6FDCD9D6" w14:textId="629B4BE0" w:rsidR="007053F2" w:rsidRDefault="00FE7D6D" w:rsidP="00B11B20">
          <w:pPr>
            <w:pStyle w:val="TOC2"/>
            <w:rPr>
              <w:rFonts w:asciiTheme="minorHAnsi" w:eastAsiaTheme="minorEastAsia" w:hAnsiTheme="minorHAnsi" w:cstheme="minorBidi"/>
              <w:szCs w:val="22"/>
              <w:lang w:bidi="ar-SA"/>
            </w:rPr>
          </w:pPr>
          <w:hyperlink w:anchor="_Toc9929371" w:history="1">
            <w:r w:rsidR="007053F2" w:rsidRPr="005676CB">
              <w:rPr>
                <w:rStyle w:val="Hyperlink"/>
              </w:rPr>
              <w:t>Aging and Disability Resource Centers/No Wrong Door System</w:t>
            </w:r>
            <w:r w:rsidR="007053F2">
              <w:rPr>
                <w:webHidden/>
              </w:rPr>
              <w:tab/>
            </w:r>
            <w:r w:rsidR="007053F2">
              <w:rPr>
                <w:webHidden/>
              </w:rPr>
              <w:fldChar w:fldCharType="begin"/>
            </w:r>
            <w:r w:rsidR="007053F2">
              <w:rPr>
                <w:webHidden/>
              </w:rPr>
              <w:instrText xml:space="preserve"> PAGEREF _Toc9929371 \h </w:instrText>
            </w:r>
            <w:r w:rsidR="007053F2">
              <w:rPr>
                <w:webHidden/>
              </w:rPr>
            </w:r>
            <w:r w:rsidR="007053F2">
              <w:rPr>
                <w:webHidden/>
              </w:rPr>
              <w:fldChar w:fldCharType="separate"/>
            </w:r>
            <w:r w:rsidR="00F7487B">
              <w:rPr>
                <w:webHidden/>
              </w:rPr>
              <w:t>51</w:t>
            </w:r>
            <w:r w:rsidR="007053F2">
              <w:rPr>
                <w:webHidden/>
              </w:rPr>
              <w:fldChar w:fldCharType="end"/>
            </w:r>
          </w:hyperlink>
        </w:p>
        <w:p w14:paraId="069DD424" w14:textId="7ABABE84" w:rsidR="007053F2" w:rsidRDefault="00FE7D6D" w:rsidP="00B11B20">
          <w:pPr>
            <w:pStyle w:val="TOC2"/>
            <w:rPr>
              <w:rFonts w:asciiTheme="minorHAnsi" w:eastAsiaTheme="minorEastAsia" w:hAnsiTheme="minorHAnsi" w:cstheme="minorBidi"/>
              <w:szCs w:val="22"/>
              <w:lang w:bidi="ar-SA"/>
            </w:rPr>
          </w:pPr>
          <w:hyperlink w:anchor="_Toc9929372" w:history="1">
            <w:r w:rsidR="007053F2" w:rsidRPr="005676CB">
              <w:rPr>
                <w:rStyle w:val="Hyperlink"/>
              </w:rPr>
              <w:t>Aging Network Support Activities</w:t>
            </w:r>
            <w:r w:rsidR="007053F2">
              <w:rPr>
                <w:webHidden/>
              </w:rPr>
              <w:tab/>
            </w:r>
            <w:r w:rsidR="007053F2">
              <w:rPr>
                <w:webHidden/>
              </w:rPr>
              <w:fldChar w:fldCharType="begin"/>
            </w:r>
            <w:r w:rsidR="007053F2">
              <w:rPr>
                <w:webHidden/>
              </w:rPr>
              <w:instrText xml:space="preserve"> PAGEREF _Toc9929372 \h </w:instrText>
            </w:r>
            <w:r w:rsidR="007053F2">
              <w:rPr>
                <w:webHidden/>
              </w:rPr>
            </w:r>
            <w:r w:rsidR="007053F2">
              <w:rPr>
                <w:webHidden/>
              </w:rPr>
              <w:fldChar w:fldCharType="separate"/>
            </w:r>
            <w:r w:rsidR="00F7487B">
              <w:rPr>
                <w:webHidden/>
              </w:rPr>
              <w:t>54</w:t>
            </w:r>
            <w:r w:rsidR="007053F2">
              <w:rPr>
                <w:webHidden/>
              </w:rPr>
              <w:fldChar w:fldCharType="end"/>
            </w:r>
          </w:hyperlink>
        </w:p>
        <w:p w14:paraId="6FE0240B" w14:textId="692BCE9A" w:rsidR="007053F2" w:rsidRDefault="00FE7D6D" w:rsidP="007053F2">
          <w:pPr>
            <w:pStyle w:val="TOC1"/>
            <w:spacing w:after="120"/>
            <w:rPr>
              <w:rFonts w:asciiTheme="minorHAnsi" w:eastAsiaTheme="minorEastAsia" w:hAnsiTheme="minorHAnsi" w:cstheme="minorBidi"/>
              <w:b w:val="0"/>
              <w:sz w:val="22"/>
              <w:szCs w:val="22"/>
            </w:rPr>
          </w:pPr>
          <w:hyperlink w:anchor="_Toc9929373" w:history="1">
            <w:r w:rsidR="007053F2" w:rsidRPr="005676CB">
              <w:rPr>
                <w:rStyle w:val="Hyperlink"/>
              </w:rPr>
              <w:t>Appendix</w:t>
            </w:r>
            <w:r w:rsidR="007053F2">
              <w:rPr>
                <w:webHidden/>
              </w:rPr>
              <w:tab/>
            </w:r>
            <w:r w:rsidR="007053F2">
              <w:rPr>
                <w:webHidden/>
              </w:rPr>
              <w:fldChar w:fldCharType="begin"/>
            </w:r>
            <w:r w:rsidR="007053F2">
              <w:rPr>
                <w:webHidden/>
              </w:rPr>
              <w:instrText xml:space="preserve"> PAGEREF _Toc9929373 \h </w:instrText>
            </w:r>
            <w:r w:rsidR="007053F2">
              <w:rPr>
                <w:webHidden/>
              </w:rPr>
            </w:r>
            <w:r w:rsidR="007053F2">
              <w:rPr>
                <w:webHidden/>
              </w:rPr>
              <w:fldChar w:fldCharType="separate"/>
            </w:r>
            <w:r w:rsidR="00F7487B">
              <w:rPr>
                <w:webHidden/>
              </w:rPr>
              <w:t>59</w:t>
            </w:r>
            <w:r w:rsidR="007053F2">
              <w:rPr>
                <w:webHidden/>
              </w:rPr>
              <w:fldChar w:fldCharType="end"/>
            </w:r>
          </w:hyperlink>
        </w:p>
        <w:p w14:paraId="04D3B854" w14:textId="50A1E580" w:rsidR="007053F2" w:rsidRDefault="00FE7D6D" w:rsidP="00B11B20">
          <w:pPr>
            <w:pStyle w:val="TOC2"/>
            <w:rPr>
              <w:rFonts w:asciiTheme="minorHAnsi" w:eastAsiaTheme="minorEastAsia" w:hAnsiTheme="minorHAnsi" w:cstheme="minorBidi"/>
              <w:szCs w:val="22"/>
              <w:lang w:bidi="ar-SA"/>
            </w:rPr>
          </w:pPr>
          <w:hyperlink w:anchor="_Toc9929374" w:history="1">
            <w:r w:rsidR="007053F2" w:rsidRPr="005676CB">
              <w:rPr>
                <w:rStyle w:val="Hyperlink"/>
              </w:rPr>
              <w:t>Formula Grant Funding Allocations by State, Territory and Tribal Organizations</w:t>
            </w:r>
            <w:r w:rsidR="007053F2">
              <w:rPr>
                <w:webHidden/>
              </w:rPr>
              <w:tab/>
            </w:r>
            <w:r w:rsidR="007053F2">
              <w:rPr>
                <w:webHidden/>
              </w:rPr>
              <w:fldChar w:fldCharType="begin"/>
            </w:r>
            <w:r w:rsidR="007053F2">
              <w:rPr>
                <w:webHidden/>
              </w:rPr>
              <w:instrText xml:space="preserve"> PAGEREF _Toc9929374 \h </w:instrText>
            </w:r>
            <w:r w:rsidR="007053F2">
              <w:rPr>
                <w:webHidden/>
              </w:rPr>
            </w:r>
            <w:r w:rsidR="007053F2">
              <w:rPr>
                <w:webHidden/>
              </w:rPr>
              <w:fldChar w:fldCharType="separate"/>
            </w:r>
            <w:r w:rsidR="00F7487B">
              <w:rPr>
                <w:webHidden/>
              </w:rPr>
              <w:t>59</w:t>
            </w:r>
            <w:r w:rsidR="007053F2">
              <w:rPr>
                <w:webHidden/>
              </w:rPr>
              <w:fldChar w:fldCharType="end"/>
            </w:r>
          </w:hyperlink>
        </w:p>
        <w:p w14:paraId="435E0172" w14:textId="3058C351" w:rsidR="00B921B8" w:rsidRDefault="00B921B8">
          <w:r>
            <w:rPr>
              <w:b/>
              <w:bCs/>
              <w:noProof/>
            </w:rPr>
            <w:fldChar w:fldCharType="end"/>
          </w:r>
        </w:p>
      </w:sdtContent>
    </w:sdt>
    <w:p w14:paraId="7D56E687" w14:textId="77777777" w:rsidR="00B921B8" w:rsidRDefault="00B921B8" w:rsidP="004B0290">
      <w:pPr>
        <w:tabs>
          <w:tab w:val="left" w:pos="-1440"/>
          <w:tab w:val="right" w:pos="9360"/>
        </w:tabs>
        <w:jc w:val="center"/>
        <w:rPr>
          <w:b/>
          <w:sz w:val="28"/>
          <w:szCs w:val="28"/>
        </w:rPr>
      </w:pPr>
    </w:p>
    <w:p w14:paraId="78EDB83D" w14:textId="77777777" w:rsidR="000E1ACE" w:rsidRPr="000E1ACE" w:rsidRDefault="004B0290" w:rsidP="000E1ACE">
      <w:pPr>
        <w:rPr>
          <w:bCs/>
          <w:szCs w:val="28"/>
        </w:rPr>
      </w:pPr>
      <w:r>
        <w:rPr>
          <w:bCs/>
          <w:szCs w:val="28"/>
        </w:rPr>
        <w:br w:type="page"/>
      </w:r>
      <w:r w:rsidR="000E1ACE" w:rsidRPr="000E1ACE">
        <w:rPr>
          <w:bCs/>
          <w:szCs w:val="28"/>
        </w:rPr>
        <w:lastRenderedPageBreak/>
        <w:t> </w:t>
      </w:r>
    </w:p>
    <w:p w14:paraId="52C206A0" w14:textId="77777777" w:rsidR="000E1ACE" w:rsidRPr="000E1ACE" w:rsidRDefault="000E1ACE" w:rsidP="000E1ACE">
      <w:pPr>
        <w:rPr>
          <w:bCs/>
          <w:szCs w:val="28"/>
        </w:rPr>
      </w:pPr>
    </w:p>
    <w:p w14:paraId="78851BBC" w14:textId="77777777" w:rsidR="000E1ACE" w:rsidRPr="000E1ACE" w:rsidRDefault="000E1ACE" w:rsidP="000E1ACE">
      <w:pPr>
        <w:rPr>
          <w:bCs/>
          <w:szCs w:val="28"/>
        </w:rPr>
      </w:pPr>
    </w:p>
    <w:p w14:paraId="258605EB" w14:textId="77777777" w:rsidR="000E1ACE" w:rsidRPr="000E1ACE" w:rsidRDefault="000E1ACE" w:rsidP="000E1ACE">
      <w:pPr>
        <w:rPr>
          <w:bCs/>
          <w:szCs w:val="28"/>
        </w:rPr>
      </w:pPr>
    </w:p>
    <w:p w14:paraId="219DBD59" w14:textId="77777777" w:rsidR="000E1ACE" w:rsidRPr="000E1ACE" w:rsidRDefault="000E1ACE" w:rsidP="000E1ACE">
      <w:pPr>
        <w:rPr>
          <w:bCs/>
          <w:szCs w:val="28"/>
        </w:rPr>
      </w:pPr>
    </w:p>
    <w:p w14:paraId="3B75C2EB" w14:textId="77777777" w:rsidR="000E1ACE" w:rsidRPr="000E1ACE" w:rsidRDefault="000E1ACE" w:rsidP="000E1ACE">
      <w:pPr>
        <w:rPr>
          <w:bCs/>
          <w:szCs w:val="28"/>
        </w:rPr>
      </w:pPr>
    </w:p>
    <w:p w14:paraId="2FC38511" w14:textId="77777777" w:rsidR="000E1ACE" w:rsidRPr="000E1ACE" w:rsidRDefault="000E1ACE" w:rsidP="000E1ACE">
      <w:pPr>
        <w:rPr>
          <w:bCs/>
          <w:szCs w:val="28"/>
        </w:rPr>
      </w:pPr>
    </w:p>
    <w:p w14:paraId="7AD4B2E4" w14:textId="77777777" w:rsidR="000E1ACE" w:rsidRPr="000E1ACE" w:rsidRDefault="000E1ACE" w:rsidP="000E1ACE">
      <w:pPr>
        <w:rPr>
          <w:bCs/>
          <w:szCs w:val="28"/>
        </w:rPr>
      </w:pPr>
    </w:p>
    <w:p w14:paraId="4CDFCD3D" w14:textId="77777777" w:rsidR="000E1ACE" w:rsidRPr="000E1ACE" w:rsidRDefault="000E1ACE" w:rsidP="000E1ACE">
      <w:pPr>
        <w:rPr>
          <w:bCs/>
          <w:szCs w:val="28"/>
        </w:rPr>
      </w:pPr>
    </w:p>
    <w:p w14:paraId="40D1731A" w14:textId="77777777" w:rsidR="000E1ACE" w:rsidRPr="000E1ACE" w:rsidRDefault="000E1ACE" w:rsidP="000E1ACE">
      <w:pPr>
        <w:rPr>
          <w:bCs/>
          <w:szCs w:val="28"/>
        </w:rPr>
      </w:pPr>
    </w:p>
    <w:p w14:paraId="3E399366" w14:textId="77777777" w:rsidR="000E1ACE" w:rsidRPr="000E1ACE" w:rsidRDefault="000E1ACE" w:rsidP="000E1ACE">
      <w:pPr>
        <w:rPr>
          <w:bCs/>
          <w:szCs w:val="28"/>
        </w:rPr>
      </w:pPr>
    </w:p>
    <w:p w14:paraId="41D8798F" w14:textId="77777777" w:rsidR="000E1ACE" w:rsidRPr="000E1ACE" w:rsidRDefault="000E1ACE" w:rsidP="000E1ACE">
      <w:pPr>
        <w:rPr>
          <w:bCs/>
          <w:szCs w:val="28"/>
        </w:rPr>
      </w:pPr>
    </w:p>
    <w:p w14:paraId="28BC440F" w14:textId="77777777" w:rsidR="000E1ACE" w:rsidRPr="000E1ACE" w:rsidRDefault="000E1ACE" w:rsidP="000E1ACE">
      <w:pPr>
        <w:jc w:val="center"/>
        <w:rPr>
          <w:b/>
          <w:bCs/>
          <w:szCs w:val="28"/>
        </w:rPr>
      </w:pPr>
      <w:r w:rsidRPr="000E1ACE">
        <w:rPr>
          <w:b/>
          <w:bCs/>
          <w:szCs w:val="28"/>
        </w:rPr>
        <w:t>THIS PAGE INTENTIONALLY LEFT BLANK</w:t>
      </w:r>
      <w:r w:rsidRPr="000E1ACE">
        <w:rPr>
          <w:b/>
          <w:bCs/>
          <w:szCs w:val="28"/>
        </w:rPr>
        <w:br w:type="page"/>
      </w:r>
    </w:p>
    <w:p w14:paraId="598BB682" w14:textId="77777777" w:rsidR="00C730B2" w:rsidRPr="00E0192D" w:rsidRDefault="00ED7786" w:rsidP="00EE0452">
      <w:pPr>
        <w:pStyle w:val="Heading1"/>
        <w:rPr>
          <w:bCs w:val="0"/>
          <w:szCs w:val="28"/>
        </w:rPr>
      </w:pPr>
      <w:bookmarkStart w:id="3" w:name="_Toc536443913"/>
      <w:bookmarkStart w:id="4" w:name="_Toc9929347"/>
      <w:r w:rsidRPr="00E0192D">
        <w:rPr>
          <w:bCs w:val="0"/>
          <w:szCs w:val="28"/>
        </w:rPr>
        <w:lastRenderedPageBreak/>
        <w:t>EXECUTIVE SUMMARY</w:t>
      </w:r>
      <w:bookmarkEnd w:id="2"/>
      <w:bookmarkEnd w:id="3"/>
      <w:bookmarkEnd w:id="4"/>
    </w:p>
    <w:p w14:paraId="5FE588DE" w14:textId="77777777" w:rsidR="00ED7786" w:rsidRPr="0004723E" w:rsidRDefault="00ED7786" w:rsidP="00ED7786">
      <w:pPr>
        <w:jc w:val="center"/>
      </w:pPr>
    </w:p>
    <w:p w14:paraId="03C09F38" w14:textId="0595BA74" w:rsidR="00C730B2" w:rsidRPr="0004723E" w:rsidRDefault="00C730B2" w:rsidP="00C730B2">
      <w:pPr>
        <w:pStyle w:val="BodyText"/>
      </w:pPr>
      <w:r w:rsidRPr="0004723E">
        <w:t>AoA’s core programs, authorized under the Older Americans Act (OAA</w:t>
      </w:r>
      <w:r w:rsidR="00F85B0E">
        <w:t>)</w:t>
      </w:r>
      <w:r w:rsidRPr="0004723E">
        <w:t xml:space="preserve">, help </w:t>
      </w:r>
      <w:r w:rsidR="00286BE0">
        <w:t xml:space="preserve">people choose to remain in their homes and communities </w:t>
      </w:r>
      <w:r w:rsidR="00E84B55">
        <w:t>for as long as possible</w:t>
      </w:r>
      <w:r w:rsidR="003815D8">
        <w:t xml:space="preserve">.  </w:t>
      </w:r>
      <w:r w:rsidR="00F85B0E" w:rsidRPr="00F85B0E">
        <w:t xml:space="preserve">These services complement </w:t>
      </w:r>
      <w:r w:rsidR="00EF0B36">
        <w:t>efforts of the nation’s public health networks</w:t>
      </w:r>
      <w:r w:rsidR="000B0EB1">
        <w:t>,</w:t>
      </w:r>
      <w:r w:rsidR="00EF0B36">
        <w:t xml:space="preserve"> as well as </w:t>
      </w:r>
      <w:r w:rsidR="00F85B0E" w:rsidRPr="00F85B0E">
        <w:t>existing medical and health care systems</w:t>
      </w:r>
      <w:r w:rsidR="000B0EB1">
        <w:t>,</w:t>
      </w:r>
      <w:r w:rsidR="00346836">
        <w:t xml:space="preserve"> </w:t>
      </w:r>
      <w:r w:rsidR="00F85B0E" w:rsidRPr="00F85B0E">
        <w:t>and support some of life’s</w:t>
      </w:r>
      <w:r w:rsidR="00F85B0E" w:rsidRPr="00F85B0E">
        <w:rPr>
          <w:b/>
          <w:bCs/>
        </w:rPr>
        <w:t xml:space="preserve"> </w:t>
      </w:r>
      <w:r w:rsidR="00F85B0E" w:rsidRPr="00F85B0E">
        <w:t xml:space="preserve">most basic functions, such as bathing </w:t>
      </w:r>
      <w:r w:rsidR="00286BE0">
        <w:t>and</w:t>
      </w:r>
      <w:r w:rsidR="001D7A89">
        <w:t xml:space="preserve"> preparing meals</w:t>
      </w:r>
      <w:r w:rsidR="003815D8">
        <w:t xml:space="preserve">.  </w:t>
      </w:r>
      <w:r w:rsidR="00F85B0E" w:rsidRPr="00F85B0E">
        <w:t>These programs also support family caregivers</w:t>
      </w:r>
      <w:r w:rsidR="00BF52C3">
        <w:t>;</w:t>
      </w:r>
      <w:r w:rsidR="00F85B0E" w:rsidRPr="00F85B0E">
        <w:t xml:space="preserve"> address issues of exploitation, neglect</w:t>
      </w:r>
      <w:r w:rsidR="00BF52C3">
        <w:t>,</w:t>
      </w:r>
      <w:r w:rsidR="00F85B0E" w:rsidRPr="00F85B0E">
        <w:t xml:space="preserve"> and abuse of older adults</w:t>
      </w:r>
      <w:r w:rsidR="00BF52C3">
        <w:t>;</w:t>
      </w:r>
      <w:r w:rsidR="00BF52C3" w:rsidRPr="00F85B0E">
        <w:t xml:space="preserve"> </w:t>
      </w:r>
      <w:r w:rsidR="00F85B0E" w:rsidRPr="00F85B0E">
        <w:t>and adapt services to the needs of Native Americans</w:t>
      </w:r>
      <w:r w:rsidR="001C613B">
        <w:t xml:space="preserve">.  </w:t>
      </w:r>
      <w:r w:rsidR="00C83B99">
        <w:t xml:space="preserve">In </w:t>
      </w:r>
      <w:r w:rsidR="00E84B55" w:rsidRPr="00861B41">
        <w:t>FY 201</w:t>
      </w:r>
      <w:r w:rsidR="00C31FE1">
        <w:t>7</w:t>
      </w:r>
      <w:r w:rsidR="00E84B55" w:rsidRPr="00861B41">
        <w:t>,</w:t>
      </w:r>
      <w:r w:rsidRPr="00861B41">
        <w:t xml:space="preserve"> AoA and </w:t>
      </w:r>
      <w:r w:rsidR="00E84B55" w:rsidRPr="00861B41">
        <w:t>the</w:t>
      </w:r>
      <w:r w:rsidRPr="00861B41">
        <w:t xml:space="preserve"> national</w:t>
      </w:r>
      <w:r w:rsidR="00E84B55" w:rsidRPr="00861B41">
        <w:t xml:space="preserve"> aging services</w:t>
      </w:r>
      <w:r w:rsidRPr="00861B41">
        <w:t xml:space="preserve"> network rendered direct services to</w:t>
      </w:r>
      <w:r w:rsidR="00C920E8" w:rsidRPr="00861B41">
        <w:t xml:space="preserve"> </w:t>
      </w:r>
      <w:r w:rsidR="00BD19E5" w:rsidRPr="00861B41">
        <w:t xml:space="preserve">over </w:t>
      </w:r>
      <w:r w:rsidR="00150425" w:rsidRPr="00861B41">
        <w:t>1</w:t>
      </w:r>
      <w:r w:rsidR="00F86837">
        <w:t>0</w:t>
      </w:r>
      <w:r w:rsidRPr="00861B41">
        <w:t xml:space="preserve"> million individuals age</w:t>
      </w:r>
      <w:r w:rsidR="00E84B55" w:rsidRPr="00861B41">
        <w:t xml:space="preserve"> 60 </w:t>
      </w:r>
      <w:r w:rsidRPr="00861B41">
        <w:t>and over (</w:t>
      </w:r>
      <w:r w:rsidR="00E84B55" w:rsidRPr="00861B41">
        <w:t>one</w:t>
      </w:r>
      <w:r w:rsidR="007872FB" w:rsidRPr="00861B41">
        <w:t xml:space="preserve"> out of every </w:t>
      </w:r>
      <w:r w:rsidR="00E84B55" w:rsidRPr="00861B41">
        <w:t>s</w:t>
      </w:r>
      <w:r w:rsidR="00B25456">
        <w:t>even</w:t>
      </w:r>
      <w:r w:rsidR="007872FB" w:rsidRPr="00861B41">
        <w:t xml:space="preserve"> older adults</w:t>
      </w:r>
      <w:r w:rsidRPr="00861B41">
        <w:t xml:space="preserve">), including </w:t>
      </w:r>
      <w:r w:rsidR="001B00DA" w:rsidRPr="00861B41">
        <w:t>nearly</w:t>
      </w:r>
      <w:r w:rsidRPr="00861B41">
        <w:t xml:space="preserve"> </w:t>
      </w:r>
      <w:r w:rsidRPr="001F391C">
        <w:t>three million</w:t>
      </w:r>
      <w:r w:rsidRPr="00861B41">
        <w:t xml:space="preserve"> clients who received intensive in-home services.</w:t>
      </w:r>
      <w:r w:rsidR="00E85B6C" w:rsidRPr="00861B41">
        <w:rPr>
          <w:rStyle w:val="FootnoteReference"/>
        </w:rPr>
        <w:footnoteReference w:id="1"/>
      </w:r>
      <w:r w:rsidR="001C613B">
        <w:t xml:space="preserve">  </w:t>
      </w:r>
      <w:r w:rsidRPr="00861B41">
        <w:t xml:space="preserve">Critical supports, such as respite care and a peer support network, were provided to </w:t>
      </w:r>
      <w:r w:rsidR="00D87407" w:rsidRPr="00861B41">
        <w:t xml:space="preserve">over </w:t>
      </w:r>
      <w:r w:rsidR="00D87407" w:rsidRPr="001F391C">
        <w:t>7</w:t>
      </w:r>
      <w:r w:rsidR="00E9198A">
        <w:t>6</w:t>
      </w:r>
      <w:r w:rsidR="00D87407" w:rsidRPr="001F391C">
        <w:t>0,000</w:t>
      </w:r>
      <w:r w:rsidRPr="001F391C">
        <w:t xml:space="preserve"> caregivers</w:t>
      </w:r>
      <w:r w:rsidRPr="00861B41">
        <w:t>.</w:t>
      </w:r>
      <w:r w:rsidR="00D846BA" w:rsidRPr="00861B41">
        <w:rPr>
          <w:rStyle w:val="FootnoteReference"/>
        </w:rPr>
        <w:footnoteReference w:id="2"/>
      </w:r>
    </w:p>
    <w:p w14:paraId="0FA8D068" w14:textId="77777777" w:rsidR="00C730B2" w:rsidRPr="0004723E" w:rsidRDefault="00C730B2" w:rsidP="00C730B2">
      <w:pPr>
        <w:pStyle w:val="BodyText"/>
      </w:pPr>
    </w:p>
    <w:p w14:paraId="43863E33" w14:textId="3B5A8E84" w:rsidR="00A26F11" w:rsidRPr="008E2E40" w:rsidRDefault="00A26F11" w:rsidP="008E2E40">
      <w:pPr>
        <w:autoSpaceDE w:val="0"/>
        <w:autoSpaceDN w:val="0"/>
        <w:adjustRightInd w:val="0"/>
        <w:jc w:val="center"/>
        <w:rPr>
          <w:b/>
        </w:rPr>
      </w:pPr>
      <w:r w:rsidRPr="008E2E40">
        <w:rPr>
          <w:b/>
        </w:rPr>
        <w:t>Overview of Performance</w:t>
      </w:r>
    </w:p>
    <w:p w14:paraId="100D06EB" w14:textId="77777777" w:rsidR="00A26F11" w:rsidRDefault="00A26F11" w:rsidP="00A26F11">
      <w:pPr>
        <w:autoSpaceDE w:val="0"/>
        <w:autoSpaceDN w:val="0"/>
        <w:adjustRightInd w:val="0"/>
        <w:jc w:val="both"/>
      </w:pPr>
    </w:p>
    <w:p w14:paraId="5ECF176C" w14:textId="3173CB1B" w:rsidR="00A26F11" w:rsidRDefault="008E2E40" w:rsidP="00A26F11">
      <w:pPr>
        <w:autoSpaceDE w:val="0"/>
        <w:autoSpaceDN w:val="0"/>
        <w:adjustRightInd w:val="0"/>
        <w:jc w:val="both"/>
      </w:pPr>
      <w:r>
        <w:t xml:space="preserve">AoA </w:t>
      </w:r>
      <w:r w:rsidR="00A26F11">
        <w:t>facilitates achievement of its mission through improvements in the analysis and availability of performance data while also enhancing th</w:t>
      </w:r>
      <w:r w:rsidR="00761EBB">
        <w:t>e rigor of program evaluations</w:t>
      </w:r>
      <w:r w:rsidR="001C613B">
        <w:t xml:space="preserve">.  </w:t>
      </w:r>
      <w:r>
        <w:t>AoA</w:t>
      </w:r>
      <w:r w:rsidR="00A26F11">
        <w:t xml:space="preserve"> program activities have a fundamental common purpose: to develop and support a comprehensive, coordinated, and cost-effective system of long-term services and supports that help older adults maintain their health and independence in their homes and communities</w:t>
      </w:r>
      <w:r>
        <w:t xml:space="preserve"> and family caregivers</w:t>
      </w:r>
      <w:r w:rsidR="001B2DC3">
        <w:t xml:space="preserve">. </w:t>
      </w:r>
      <w:r w:rsidR="00A26F11">
        <w:t xml:space="preserve">This purpose led </w:t>
      </w:r>
      <w:r>
        <w:t>AoA</w:t>
      </w:r>
      <w:r w:rsidR="00A26F11">
        <w:t xml:space="preserve"> to focus on the following performance goals: 1)</w:t>
      </w:r>
      <w:r w:rsidR="00DA5B93">
        <w:t xml:space="preserve"> providing high quality services </w:t>
      </w:r>
      <w:r w:rsidR="00EA06EF">
        <w:t xml:space="preserve">that </w:t>
      </w:r>
      <w:r w:rsidR="00DA5B93">
        <w:t>result in positive consumer outcomes and reflect effective</w:t>
      </w:r>
      <w:r w:rsidR="00A26F11">
        <w:t xml:space="preserve"> delivery systems; 2) effectively targeting services to at-risk populations; 3) improving program efficiency; and 4) promoting rights and pr</w:t>
      </w:r>
      <w:r w:rsidR="001D7A89">
        <w:t>eventing abuse of older adults</w:t>
      </w:r>
      <w:r w:rsidR="009F77E0">
        <w:t xml:space="preserve">.  </w:t>
      </w:r>
      <w:r w:rsidR="00A26F11">
        <w:t xml:space="preserve">Each performance goal </w:t>
      </w:r>
      <w:r w:rsidR="00DA5B93">
        <w:t>reflects</w:t>
      </w:r>
      <w:r w:rsidR="00A26F11">
        <w:t xml:space="preserve"> activities spanning across </w:t>
      </w:r>
      <w:r>
        <w:t>AoA</w:t>
      </w:r>
      <w:r w:rsidR="00761EBB">
        <w:t xml:space="preserve"> programs</w:t>
      </w:r>
      <w:r w:rsidR="00DA5B93">
        <w:t>; programs that address distinct issues and populations</w:t>
      </w:r>
      <w:r w:rsidR="001B2DC3">
        <w:t xml:space="preserve">. </w:t>
      </w:r>
      <w:r w:rsidR="00DA5B93">
        <w:t>AoA intentionally collects and reports information on a program</w:t>
      </w:r>
      <w:r w:rsidR="00EA06EF">
        <w:t>-</w:t>
      </w:r>
      <w:r w:rsidR="00DA5B93">
        <w:t>by</w:t>
      </w:r>
      <w:r w:rsidR="00EA06EF">
        <w:t>-</w:t>
      </w:r>
      <w:r w:rsidR="00DA5B93">
        <w:t>program basis to ensure that the results of programs that serve smaller numbers of people (e.g., chore services and adult day care) are not overwhelmed by the results of programs that serve much larger populations (e.g., nutrition services) and to ensure that the unique elements of the varied programs can be highlighted</w:t>
      </w:r>
      <w:r w:rsidR="001B2DC3">
        <w:t xml:space="preserve">. </w:t>
      </w:r>
      <w:r w:rsidR="00A26F11">
        <w:t xml:space="preserve">Progress toward achievement is tracked using a </w:t>
      </w:r>
      <w:r w:rsidR="00124E8B">
        <w:t>number of performance measures</w:t>
      </w:r>
      <w:r w:rsidR="001C613B">
        <w:t xml:space="preserve">.  </w:t>
      </w:r>
      <w:r w:rsidR="00A26F11">
        <w:t xml:space="preserve">Taken together, the performance goals and their corresponding </w:t>
      </w:r>
      <w:r w:rsidR="00DA5B93">
        <w:t>metrics</w:t>
      </w:r>
      <w:r w:rsidR="00A26F11">
        <w:t xml:space="preserve"> are designed to reflect </w:t>
      </w:r>
      <w:r>
        <w:t>AoA’s</w:t>
      </w:r>
      <w:r w:rsidR="00A26F11">
        <w:t xml:space="preserve"> goals and objectives and in turn measure success in accomplishing </w:t>
      </w:r>
      <w:r>
        <w:t>AoA’s</w:t>
      </w:r>
      <w:r w:rsidR="00A26F11">
        <w:t xml:space="preserve"> mission</w:t>
      </w:r>
      <w:r w:rsidR="00761EBB">
        <w:t xml:space="preserve">. </w:t>
      </w:r>
    </w:p>
    <w:p w14:paraId="49C270F6" w14:textId="77777777" w:rsidR="00A26F11" w:rsidRDefault="00A26F11" w:rsidP="00A26F11">
      <w:pPr>
        <w:autoSpaceDE w:val="0"/>
        <w:autoSpaceDN w:val="0"/>
      </w:pPr>
    </w:p>
    <w:p w14:paraId="43746855" w14:textId="77777777" w:rsidR="00A26F11" w:rsidRDefault="00A26F11" w:rsidP="00A26F11">
      <w:pPr>
        <w:autoSpaceDE w:val="0"/>
        <w:autoSpaceDN w:val="0"/>
        <w:adjustRightInd w:val="0"/>
        <w:jc w:val="center"/>
        <w:rPr>
          <w:bCs/>
          <w:iCs/>
          <w:u w:val="single"/>
        </w:rPr>
      </w:pPr>
      <w:r>
        <w:rPr>
          <w:bCs/>
          <w:iCs/>
          <w:u w:val="single"/>
        </w:rPr>
        <w:t>Performance Highlights</w:t>
      </w:r>
    </w:p>
    <w:p w14:paraId="63D34BFC" w14:textId="77777777" w:rsidR="00A26F11" w:rsidRDefault="00A26F11" w:rsidP="00A26F11">
      <w:pPr>
        <w:autoSpaceDE w:val="0"/>
        <w:autoSpaceDN w:val="0"/>
        <w:adjustRightInd w:val="0"/>
        <w:jc w:val="center"/>
        <w:rPr>
          <w:bCs/>
          <w:iCs/>
          <w:u w:val="single"/>
        </w:rPr>
      </w:pPr>
    </w:p>
    <w:p w14:paraId="3C16EAD9" w14:textId="6AE9884B" w:rsidR="00A26F11" w:rsidRDefault="00A26F11" w:rsidP="00A26F11">
      <w:pPr>
        <w:autoSpaceDE w:val="0"/>
        <w:autoSpaceDN w:val="0"/>
        <w:adjustRightInd w:val="0"/>
        <w:jc w:val="both"/>
      </w:pPr>
      <w:r>
        <w:t xml:space="preserve">An analysis of </w:t>
      </w:r>
      <w:r w:rsidR="008E2E40">
        <w:t>AoA’s</w:t>
      </w:r>
      <w:r>
        <w:t xml:space="preserve"> program performance trends through FY 201</w:t>
      </w:r>
      <w:r w:rsidR="00C31FE1">
        <w:t>7</w:t>
      </w:r>
      <w:r>
        <w:t xml:space="preserve"> illustrates that </w:t>
      </w:r>
      <w:r w:rsidR="008E2E40">
        <w:t>AoA</w:t>
      </w:r>
      <w:r>
        <w:t xml:space="preserve"> programs continue to help individuals remain ind</w:t>
      </w:r>
      <w:r w:rsidR="00F51CDF">
        <w:t>ependent and in the community.</w:t>
      </w:r>
      <w:r w:rsidR="001C613B">
        <w:t xml:space="preserve">  </w:t>
      </w:r>
      <w:r>
        <w:t>Most performance measures and indicators have been m</w:t>
      </w:r>
      <w:r w:rsidR="001C613B">
        <w:t xml:space="preserve">aintained or steadily improved.  </w:t>
      </w:r>
      <w:r>
        <w:t xml:space="preserve">Following are some key successes that are indicative of the potential of </w:t>
      </w:r>
      <w:r w:rsidR="008E2E40">
        <w:t>AoA</w:t>
      </w:r>
      <w:r>
        <w:t xml:space="preserve"> and the </w:t>
      </w:r>
      <w:r w:rsidR="004E06FE">
        <w:t>a</w:t>
      </w:r>
      <w:r>
        <w:t xml:space="preserve">ging </w:t>
      </w:r>
      <w:r w:rsidR="004E06FE">
        <w:t>n</w:t>
      </w:r>
      <w:r>
        <w:t>etwork to meet demographic and fiscal challenges.</w:t>
      </w:r>
    </w:p>
    <w:p w14:paraId="563C5AAD" w14:textId="77777777" w:rsidR="00A26F11" w:rsidRDefault="00A26F11" w:rsidP="00A26F11">
      <w:pPr>
        <w:autoSpaceDE w:val="0"/>
        <w:autoSpaceDN w:val="0"/>
        <w:adjustRightInd w:val="0"/>
        <w:jc w:val="both"/>
      </w:pPr>
    </w:p>
    <w:p w14:paraId="646F8280" w14:textId="083D7472" w:rsidR="00A26F11" w:rsidRDefault="008E2E40" w:rsidP="00A26F11">
      <w:pPr>
        <w:autoSpaceDE w:val="0"/>
        <w:autoSpaceDN w:val="0"/>
        <w:adjustRightInd w:val="0"/>
        <w:jc w:val="both"/>
      </w:pPr>
      <w:r>
        <w:rPr>
          <w:bCs/>
        </w:rPr>
        <w:t>AoA</w:t>
      </w:r>
      <w:r w:rsidR="00A26F11">
        <w:rPr>
          <w:bCs/>
        </w:rPr>
        <w:t xml:space="preserve"> programs </w:t>
      </w:r>
      <w:r w:rsidR="00C862CE">
        <w:rPr>
          <w:bCs/>
        </w:rPr>
        <w:t xml:space="preserve">provide high quality services </w:t>
      </w:r>
      <w:r w:rsidR="00EA06EF">
        <w:rPr>
          <w:bCs/>
        </w:rPr>
        <w:t xml:space="preserve">that </w:t>
      </w:r>
      <w:r w:rsidR="00C862CE">
        <w:rPr>
          <w:bCs/>
        </w:rPr>
        <w:t>result in positive consumer outcomes and reflect effective delivery systems</w:t>
      </w:r>
      <w:r w:rsidR="001C613B">
        <w:rPr>
          <w:bCs/>
        </w:rPr>
        <w:t xml:space="preserve">.  </w:t>
      </w:r>
      <w:r w:rsidR="00A26F11">
        <w:rPr>
          <w:bCs/>
        </w:rPr>
        <w:t>Consumers report that services c</w:t>
      </w:r>
      <w:r w:rsidR="00A26F11">
        <w:t>ontribute in an essential way to maintaining their independence</w:t>
      </w:r>
      <w:r w:rsidR="00620922">
        <w:t xml:space="preserve"> with, for example, over 40 percent of the caregivers indicating that the care recipient would be unable to remain at home without caregiver support services</w:t>
      </w:r>
      <w:r w:rsidR="001C613B">
        <w:t xml:space="preserve">.  </w:t>
      </w:r>
      <w:r w:rsidR="00620922">
        <w:t xml:space="preserve">With </w:t>
      </w:r>
      <w:r w:rsidR="00620922">
        <w:lastRenderedPageBreak/>
        <w:t>regard to effective delivery of evidence-based programs, OAA grantees were able to meet their participation targets for Chronic Disease Self-Management Education</w:t>
      </w:r>
      <w:r w:rsidR="001C613B">
        <w:t xml:space="preserve">.  </w:t>
      </w:r>
      <w:r w:rsidR="00620922">
        <w:t xml:space="preserve">AoA expanded the provision of quality services, such as through funding an additional 11 new unique organizations to provide specialized supportive services in the area of </w:t>
      </w:r>
      <w:r w:rsidR="007B19BE">
        <w:t>Alzheimer’s disease</w:t>
      </w:r>
      <w:r w:rsidR="00620922">
        <w:t xml:space="preserve"> (ADI-SSS), to bring the total number funded to 32</w:t>
      </w:r>
      <w:r w:rsidR="00365EE8">
        <w:t xml:space="preserve">.  </w:t>
      </w:r>
      <w:r w:rsidR="00620922">
        <w:t>Consumers also</w:t>
      </w:r>
      <w:r w:rsidR="00A26F11">
        <w:t xml:space="preserve"> express a high level of satisfaction with these services</w:t>
      </w:r>
      <w:r w:rsidR="00CE57ED">
        <w:t xml:space="preserve">.  </w:t>
      </w:r>
      <w:r w:rsidR="00A26F11">
        <w:t>In 201</w:t>
      </w:r>
      <w:r w:rsidR="00C31FE1">
        <w:t>7</w:t>
      </w:r>
      <w:r w:rsidR="00A26F11">
        <w:t>, over 97 percent of OAA transportation clients and nearly 94 percent of caregivers rated services good to excellent</w:t>
      </w:r>
      <w:r w:rsidR="00D14992">
        <w:t xml:space="preserve">.  </w:t>
      </w:r>
      <w:r w:rsidR="00A26F11">
        <w:t xml:space="preserve">To help ensure the continuation of these trends, </w:t>
      </w:r>
      <w:r>
        <w:t>AoA</w:t>
      </w:r>
      <w:r w:rsidR="00A26F11">
        <w:t xml:space="preserve"> uses various mechanisms to promote innovative service-delivery models for state and local pro</w:t>
      </w:r>
      <w:r w:rsidR="00A26F11">
        <w:rPr>
          <w:bCs/>
        </w:rPr>
        <w:t>g</w:t>
      </w:r>
      <w:r w:rsidR="00A26F11">
        <w:t>ram entities that show promise for generating measurable improvements in program activities</w:t>
      </w:r>
      <w:r w:rsidR="00761EBB">
        <w:t xml:space="preserve">. </w:t>
      </w:r>
    </w:p>
    <w:p w14:paraId="24EE58AB" w14:textId="77777777" w:rsidR="00A26F11" w:rsidRDefault="00A26F11" w:rsidP="00A26F11">
      <w:pPr>
        <w:autoSpaceDE w:val="0"/>
        <w:autoSpaceDN w:val="0"/>
        <w:adjustRightInd w:val="0"/>
        <w:jc w:val="both"/>
      </w:pPr>
    </w:p>
    <w:p w14:paraId="66CC6EBC" w14:textId="47CFB305" w:rsidR="00A26F11" w:rsidRDefault="008E2E40" w:rsidP="00A26F11">
      <w:pPr>
        <w:autoSpaceDE w:val="0"/>
        <w:autoSpaceDN w:val="0"/>
        <w:adjustRightInd w:val="0"/>
        <w:jc w:val="both"/>
      </w:pPr>
      <w:r>
        <w:rPr>
          <w:bCs/>
        </w:rPr>
        <w:t>AoA</w:t>
      </w:r>
      <w:r w:rsidR="00A26F11">
        <w:rPr>
          <w:bCs/>
        </w:rPr>
        <w:t xml:space="preserve"> programs reach at-risk populations and target services to help individuals remain independent and in the community</w:t>
      </w:r>
      <w:r w:rsidR="007E1A0F">
        <w:t xml:space="preserve">.  </w:t>
      </w:r>
      <w:r w:rsidR="00A26F11">
        <w:t>For example, older adults who have three or more impairments in Activities of Daily Living (ADL) are at a hi</w:t>
      </w:r>
      <w:r w:rsidR="00C70BAF">
        <w:t>gh risk for nursing home entry</w:t>
      </w:r>
      <w:r w:rsidR="00D14992">
        <w:t xml:space="preserve">.  </w:t>
      </w:r>
      <w:r w:rsidR="00A26F11">
        <w:t>Increasing services to this population is one proxy for nu</w:t>
      </w:r>
      <w:r w:rsidR="00C70BAF">
        <w:t>rsing home delay and diversion</w:t>
      </w:r>
      <w:r w:rsidR="00D14992">
        <w:t xml:space="preserve">.  </w:t>
      </w:r>
      <w:r w:rsidR="00A26F11">
        <w:t>In FY 2005, one-third of home-delivered nutrition clients lived with three or more ADL impairments</w:t>
      </w:r>
      <w:r w:rsidR="00D14992">
        <w:t xml:space="preserve">.  </w:t>
      </w:r>
      <w:r w:rsidR="00971942">
        <w:t>B</w:t>
      </w:r>
      <w:r w:rsidR="00A26F11">
        <w:t>y FY 201</w:t>
      </w:r>
      <w:r w:rsidR="00C31FE1">
        <w:t>7</w:t>
      </w:r>
      <w:r w:rsidR="00971942">
        <w:t>,</w:t>
      </w:r>
      <w:r w:rsidR="00A26F11">
        <w:t xml:space="preserve"> the proportion grew to nearly 42 percent, a 26 percent increase</w:t>
      </w:r>
      <w:r w:rsidR="001B2DC3">
        <w:t xml:space="preserve">. </w:t>
      </w:r>
      <w:r>
        <w:t xml:space="preserve">AoA maintains </w:t>
      </w:r>
      <w:r w:rsidR="007E0A7D">
        <w:t>nine</w:t>
      </w:r>
      <w:r w:rsidR="00A26F11">
        <w:t xml:space="preserve"> core performance indicators supporting </w:t>
      </w:r>
      <w:r>
        <w:t>AoA’s</w:t>
      </w:r>
      <w:r w:rsidR="00A26F11">
        <w:t xml:space="preserve"> commitment to improving client outcomes and program quality</w:t>
      </w:r>
      <w:r w:rsidR="00D14992">
        <w:t xml:space="preserve">.  </w:t>
      </w:r>
      <w:r w:rsidR="00A26F11">
        <w:t>While some indicators experience year-to-year variation, all indicators have trended in the desired direction and the vast majority meet or exceed targets annually.</w:t>
      </w:r>
    </w:p>
    <w:p w14:paraId="4BC1219A" w14:textId="77777777" w:rsidR="00A26F11" w:rsidRDefault="00A26F11" w:rsidP="00A26F11">
      <w:pPr>
        <w:autoSpaceDE w:val="0"/>
        <w:autoSpaceDN w:val="0"/>
        <w:adjustRightInd w:val="0"/>
        <w:jc w:val="both"/>
        <w:rPr>
          <w:bCs/>
        </w:rPr>
      </w:pPr>
    </w:p>
    <w:p w14:paraId="4B32DBB9" w14:textId="0747FB54" w:rsidR="00A26F11" w:rsidRDefault="008E2E40" w:rsidP="00A26F11">
      <w:pPr>
        <w:autoSpaceDE w:val="0"/>
        <w:autoSpaceDN w:val="0"/>
        <w:adjustRightInd w:val="0"/>
        <w:jc w:val="both"/>
      </w:pPr>
      <w:r>
        <w:rPr>
          <w:bCs/>
        </w:rPr>
        <w:t>AoA</w:t>
      </w:r>
      <w:r w:rsidR="00C70BAF">
        <w:rPr>
          <w:bCs/>
        </w:rPr>
        <w:t xml:space="preserve"> programs are efficient</w:t>
      </w:r>
      <w:r w:rsidR="00D14992">
        <w:rPr>
          <w:bCs/>
        </w:rPr>
        <w:t xml:space="preserve">.  </w:t>
      </w:r>
      <w:r w:rsidR="00A26F11">
        <w:t xml:space="preserve">The </w:t>
      </w:r>
      <w:r w:rsidR="008558B3">
        <w:t>a</w:t>
      </w:r>
      <w:r w:rsidR="00A26F11">
        <w:t xml:space="preserve">ging </w:t>
      </w:r>
      <w:r w:rsidR="008558B3">
        <w:t>n</w:t>
      </w:r>
      <w:r w:rsidR="00A26F11">
        <w:t xml:space="preserve">etwork </w:t>
      </w:r>
      <w:r>
        <w:t>is</w:t>
      </w:r>
      <w:r w:rsidR="00A26F11">
        <w:t xml:space="preserve"> providing high-quality services and doing so in a prudent and cost-effective manner</w:t>
      </w:r>
      <w:r w:rsidR="00D14992">
        <w:t xml:space="preserve">.  </w:t>
      </w:r>
      <w:r w:rsidR="00A26F11">
        <w:t>In FY 201</w:t>
      </w:r>
      <w:r w:rsidR="00C31FE1">
        <w:t>7</w:t>
      </w:r>
      <w:r w:rsidR="00A26F11">
        <w:t xml:space="preserve"> the </w:t>
      </w:r>
      <w:r w:rsidR="008558B3">
        <w:t>a</w:t>
      </w:r>
      <w:r w:rsidR="00A26F11">
        <w:t xml:space="preserve">ging </w:t>
      </w:r>
      <w:r w:rsidR="008558B3">
        <w:t>n</w:t>
      </w:r>
      <w:r w:rsidR="00A26F11">
        <w:t>etwork served over 8,800 people per million do</w:t>
      </w:r>
      <w:r w:rsidR="00C70BAF">
        <w:t>llars of OAA Title III funding</w:t>
      </w:r>
      <w:r w:rsidR="00D14992">
        <w:t xml:space="preserve">.  </w:t>
      </w:r>
      <w:r w:rsidR="00A26F11">
        <w:t>The result is a</w:t>
      </w:r>
      <w:r w:rsidR="007E0A7D">
        <w:t>n</w:t>
      </w:r>
      <w:r w:rsidR="00A26F11">
        <w:t xml:space="preserve"> </w:t>
      </w:r>
      <w:r w:rsidR="007E0A7D">
        <w:t xml:space="preserve">18 </w:t>
      </w:r>
      <w:r w:rsidR="00A26F11">
        <w:t xml:space="preserve">percent increase over </w:t>
      </w:r>
      <w:r w:rsidR="00D85439">
        <w:t xml:space="preserve">the 2005 </w:t>
      </w:r>
      <w:r w:rsidR="00A26F11">
        <w:t xml:space="preserve">baseline. </w:t>
      </w:r>
    </w:p>
    <w:p w14:paraId="79242CAF" w14:textId="77777777" w:rsidR="00A26F11" w:rsidRDefault="00A26F11" w:rsidP="00A26F11">
      <w:pPr>
        <w:autoSpaceDE w:val="0"/>
        <w:autoSpaceDN w:val="0"/>
        <w:adjustRightInd w:val="0"/>
        <w:jc w:val="both"/>
      </w:pPr>
    </w:p>
    <w:p w14:paraId="7BD325AA" w14:textId="24F39EE4" w:rsidR="00A26F11" w:rsidRDefault="008E2E40" w:rsidP="00A26F11">
      <w:pPr>
        <w:autoSpaceDE w:val="0"/>
        <w:autoSpaceDN w:val="0"/>
        <w:adjustRightInd w:val="0"/>
        <w:jc w:val="both"/>
      </w:pPr>
      <w:r w:rsidRPr="007D2968">
        <w:t>AoA</w:t>
      </w:r>
      <w:r w:rsidR="00A26F11" w:rsidRPr="007D2968">
        <w:t xml:space="preserve"> programs effectively address complaints of abuse, neglect, or violation of rights</w:t>
      </w:r>
      <w:r w:rsidR="0035111A" w:rsidRPr="007D2968">
        <w:t xml:space="preserve">; advocate for system improvements; and support </w:t>
      </w:r>
      <w:r w:rsidR="00D85439" w:rsidRPr="007D2968">
        <w:t>innovation</w:t>
      </w:r>
      <w:r w:rsidR="00D14992">
        <w:t xml:space="preserve">.  </w:t>
      </w:r>
      <w:r w:rsidR="007D2968" w:rsidRPr="007D2968">
        <w:t>The Long-Term Care Ombudsman Program</w:t>
      </w:r>
      <w:r w:rsidR="007D2968">
        <w:t xml:space="preserve"> grantees are highly successful at meeting the needs of complainants</w:t>
      </w:r>
      <w:r w:rsidR="00D14992">
        <w:t xml:space="preserve">.  </w:t>
      </w:r>
      <w:r w:rsidR="007D2968">
        <w:t>In FY 201</w:t>
      </w:r>
      <w:r w:rsidR="00C31FE1">
        <w:t>7</w:t>
      </w:r>
      <w:r w:rsidR="008558B3">
        <w:t>,</w:t>
      </w:r>
      <w:r w:rsidR="007D2968">
        <w:t xml:space="preserve"> 73 percent of all complaints were resolved to the </w:t>
      </w:r>
      <w:r w:rsidR="00D01AC7">
        <w:t>s</w:t>
      </w:r>
      <w:r w:rsidR="00C70BAF">
        <w:t>atisfaction of the complainant</w:t>
      </w:r>
      <w:r w:rsidR="00D14992">
        <w:t xml:space="preserve">.  </w:t>
      </w:r>
      <w:r w:rsidR="00D01AC7">
        <w:t xml:space="preserve">The program’s </w:t>
      </w:r>
      <w:r w:rsidR="007D2968">
        <w:t xml:space="preserve">annual performance measure of reducing the number of complaints unresolved to the satisfaction of the complainant </w:t>
      </w:r>
      <w:r w:rsidR="00D01AC7">
        <w:t xml:space="preserve">fell </w:t>
      </w:r>
      <w:r w:rsidR="007D2968">
        <w:t>to below 9,000 exceeding the</w:t>
      </w:r>
      <w:r w:rsidR="0094250A">
        <w:t xml:space="preserve"> performance</w:t>
      </w:r>
      <w:r w:rsidR="007D2968">
        <w:t xml:space="preserve"> target</w:t>
      </w:r>
      <w:r w:rsidR="001B2DC3">
        <w:t xml:space="preserve">. </w:t>
      </w:r>
      <w:r w:rsidR="00A26F11">
        <w:t xml:space="preserve"> </w:t>
      </w:r>
    </w:p>
    <w:p w14:paraId="6E58E0C4" w14:textId="77777777" w:rsidR="00A26F11" w:rsidRDefault="00A26F11" w:rsidP="00A26F11">
      <w:pPr>
        <w:autoSpaceDE w:val="0"/>
        <w:autoSpaceDN w:val="0"/>
        <w:adjustRightInd w:val="0"/>
        <w:jc w:val="both"/>
        <w:rPr>
          <w:bCs/>
        </w:rPr>
      </w:pPr>
    </w:p>
    <w:p w14:paraId="62B3C2B3" w14:textId="359669B4" w:rsidR="0094250A" w:rsidRDefault="0094250A" w:rsidP="0094250A">
      <w:pPr>
        <w:pStyle w:val="Default"/>
        <w:contextualSpacing/>
        <w:jc w:val="both"/>
      </w:pPr>
      <w:r w:rsidRPr="00041BA0">
        <w:t xml:space="preserve">The tables on the next page provide a summary of the persons served during FY </w:t>
      </w:r>
      <w:r>
        <w:t>201</w:t>
      </w:r>
      <w:r w:rsidR="00C31FE1">
        <w:t>7</w:t>
      </w:r>
      <w:r w:rsidRPr="00041BA0">
        <w:t xml:space="preserve"> through the OAA’s programs</w:t>
      </w:r>
      <w:r w:rsidR="00D14992">
        <w:t xml:space="preserve">.  </w:t>
      </w:r>
      <w:r w:rsidRPr="00041BA0">
        <w:t>Additionally, a listing of grant funding allocations by state, territory and tribal organization can be viewed in the Appendix.</w:t>
      </w:r>
    </w:p>
    <w:p w14:paraId="254144D7" w14:textId="77777777" w:rsidR="00A26F11" w:rsidRDefault="00A26F11" w:rsidP="00A26F11">
      <w:pPr>
        <w:autoSpaceDE w:val="0"/>
        <w:autoSpaceDN w:val="0"/>
        <w:adjustRightInd w:val="0"/>
        <w:jc w:val="both"/>
      </w:pPr>
    </w:p>
    <w:p w14:paraId="53FAB097" w14:textId="77777777" w:rsidR="00A26F11" w:rsidRDefault="00A26F11" w:rsidP="000E1ACE">
      <w:pPr>
        <w:pStyle w:val="Default"/>
        <w:contextualSpacing/>
        <w:jc w:val="both"/>
      </w:pPr>
    </w:p>
    <w:p w14:paraId="53556B71" w14:textId="77777777" w:rsidR="00A26F11" w:rsidRDefault="00A26F11" w:rsidP="000E1ACE">
      <w:pPr>
        <w:pStyle w:val="Default"/>
        <w:contextualSpacing/>
        <w:jc w:val="both"/>
      </w:pPr>
    </w:p>
    <w:p w14:paraId="0F07BF0C" w14:textId="77777777" w:rsidR="00EE0452" w:rsidRPr="00861B41" w:rsidRDefault="004C67C3" w:rsidP="0095499F">
      <w:pPr>
        <w:shd w:val="clear" w:color="auto" w:fill="FFFFFF"/>
        <w:jc w:val="center"/>
      </w:pPr>
      <w:r>
        <w:br w:type="page"/>
      </w:r>
      <w:bookmarkStart w:id="5" w:name="_Toc436738868"/>
      <w:r w:rsidR="00EE0452" w:rsidRPr="0095499F">
        <w:rPr>
          <w:b/>
          <w:bCs/>
          <w:color w:val="000000"/>
          <w:spacing w:val="-7"/>
          <w:sz w:val="28"/>
          <w:szCs w:val="28"/>
        </w:rPr>
        <w:lastRenderedPageBreak/>
        <w:t>National Program Data on Services Provided</w:t>
      </w:r>
      <w:bookmarkEnd w:id="5"/>
    </w:p>
    <w:p w14:paraId="3738DF8A" w14:textId="77777777" w:rsidR="00EE0452" w:rsidRPr="00861B41" w:rsidRDefault="00EE0452" w:rsidP="00EE0452"/>
    <w:tbl>
      <w:tblPr>
        <w:tblStyle w:val="TableGrid"/>
        <w:tblW w:w="0" w:type="auto"/>
        <w:tblLook w:val="01E0" w:firstRow="1" w:lastRow="1" w:firstColumn="1" w:lastColumn="1" w:noHBand="0" w:noVBand="0"/>
      </w:tblPr>
      <w:tblGrid>
        <w:gridCol w:w="4860"/>
        <w:gridCol w:w="3780"/>
      </w:tblGrid>
      <w:tr w:rsidR="00F749D5" w:rsidRPr="00861B41" w14:paraId="48C510DC" w14:textId="77777777" w:rsidTr="00161112">
        <w:tc>
          <w:tcPr>
            <w:tcW w:w="4860" w:type="dxa"/>
          </w:tcPr>
          <w:p w14:paraId="1BE4831B" w14:textId="64F3C5E0" w:rsidR="00F749D5" w:rsidRPr="001B4FF3" w:rsidRDefault="001B4FF3" w:rsidP="00313379">
            <w:pPr>
              <w:tabs>
                <w:tab w:val="left" w:pos="194"/>
                <w:tab w:val="right" w:pos="5710"/>
              </w:tabs>
              <w:spacing w:line="238" w:lineRule="exact"/>
              <w:jc w:val="center"/>
              <w:rPr>
                <w:b/>
                <w:bCs/>
                <w:color w:val="000000"/>
                <w:spacing w:val="-5"/>
              </w:rPr>
            </w:pPr>
            <w:r w:rsidRPr="001B4FF3">
              <w:rPr>
                <w:b/>
                <w:bCs/>
                <w:color w:val="000000"/>
                <w:spacing w:val="-5"/>
              </w:rPr>
              <w:t>Category</w:t>
            </w:r>
          </w:p>
        </w:tc>
        <w:tc>
          <w:tcPr>
            <w:tcW w:w="3780" w:type="dxa"/>
          </w:tcPr>
          <w:p w14:paraId="288671B6" w14:textId="0D3A1C35" w:rsidR="00F749D5" w:rsidRPr="00861B41" w:rsidRDefault="00C5066D" w:rsidP="00AE5090">
            <w:pPr>
              <w:tabs>
                <w:tab w:val="left" w:pos="194"/>
                <w:tab w:val="right" w:pos="5710"/>
              </w:tabs>
              <w:spacing w:line="238" w:lineRule="exact"/>
              <w:jc w:val="center"/>
              <w:rPr>
                <w:b/>
                <w:color w:val="000000"/>
                <w:spacing w:val="-7"/>
              </w:rPr>
            </w:pPr>
            <w:r w:rsidRPr="00861B41">
              <w:rPr>
                <w:b/>
                <w:color w:val="000000"/>
                <w:spacing w:val="-7"/>
              </w:rPr>
              <w:t xml:space="preserve">FY </w:t>
            </w:r>
            <w:r w:rsidR="0083169A" w:rsidRPr="00861B41">
              <w:rPr>
                <w:b/>
                <w:color w:val="000000"/>
                <w:spacing w:val="-7"/>
              </w:rPr>
              <w:t>201</w:t>
            </w:r>
            <w:r w:rsidR="00C31FE1">
              <w:rPr>
                <w:b/>
                <w:color w:val="000000"/>
                <w:spacing w:val="-7"/>
              </w:rPr>
              <w:t>7</w:t>
            </w:r>
          </w:p>
        </w:tc>
      </w:tr>
      <w:tr w:rsidR="00F749D5" w:rsidRPr="00861B41" w14:paraId="024C085A" w14:textId="77777777" w:rsidTr="00161112">
        <w:tc>
          <w:tcPr>
            <w:tcW w:w="4860" w:type="dxa"/>
          </w:tcPr>
          <w:p w14:paraId="4B24952C" w14:textId="77777777" w:rsidR="00F749D5" w:rsidRPr="00861B41" w:rsidRDefault="00F749D5" w:rsidP="00313379">
            <w:pPr>
              <w:tabs>
                <w:tab w:val="left" w:pos="194"/>
                <w:tab w:val="right" w:pos="5710"/>
              </w:tabs>
              <w:spacing w:line="238" w:lineRule="exact"/>
              <w:jc w:val="center"/>
              <w:rPr>
                <w:color w:val="000000"/>
              </w:rPr>
            </w:pPr>
            <w:r w:rsidRPr="00861B41">
              <w:rPr>
                <w:color w:val="000000"/>
                <w:spacing w:val="-5"/>
              </w:rPr>
              <w:t>Total Clients</w:t>
            </w:r>
          </w:p>
        </w:tc>
        <w:tc>
          <w:tcPr>
            <w:tcW w:w="3780" w:type="dxa"/>
          </w:tcPr>
          <w:p w14:paraId="557B9D3D" w14:textId="73BD69BB" w:rsidR="00F749D5" w:rsidRPr="00861B41" w:rsidRDefault="00405D77" w:rsidP="00313379">
            <w:pPr>
              <w:tabs>
                <w:tab w:val="left" w:pos="194"/>
                <w:tab w:val="right" w:pos="5710"/>
              </w:tabs>
              <w:spacing w:line="238" w:lineRule="exact"/>
              <w:jc w:val="center"/>
              <w:rPr>
                <w:color w:val="000000"/>
              </w:rPr>
            </w:pPr>
            <w:r w:rsidRPr="00405D77">
              <w:rPr>
                <w:color w:val="000000"/>
              </w:rPr>
              <w:t>10,38</w:t>
            </w:r>
            <w:r w:rsidR="00E9198A">
              <w:rPr>
                <w:color w:val="000000"/>
              </w:rPr>
              <w:t>9</w:t>
            </w:r>
            <w:r w:rsidRPr="00405D77">
              <w:rPr>
                <w:color w:val="000000"/>
              </w:rPr>
              <w:t>,</w:t>
            </w:r>
            <w:r w:rsidR="00E9198A">
              <w:rPr>
                <w:color w:val="000000"/>
              </w:rPr>
              <w:t>782</w:t>
            </w:r>
          </w:p>
        </w:tc>
      </w:tr>
      <w:tr w:rsidR="00F749D5" w:rsidRPr="00861B41" w14:paraId="477F1941" w14:textId="77777777" w:rsidTr="00161112">
        <w:tc>
          <w:tcPr>
            <w:tcW w:w="4860" w:type="dxa"/>
          </w:tcPr>
          <w:p w14:paraId="39E91A58" w14:textId="77777777" w:rsidR="00F749D5" w:rsidRPr="00861B41" w:rsidRDefault="00F749D5" w:rsidP="00313379">
            <w:pPr>
              <w:tabs>
                <w:tab w:val="left" w:pos="194"/>
                <w:tab w:val="right" w:pos="5710"/>
              </w:tabs>
              <w:spacing w:line="238" w:lineRule="exact"/>
              <w:jc w:val="center"/>
              <w:rPr>
                <w:color w:val="000000"/>
              </w:rPr>
            </w:pPr>
            <w:r w:rsidRPr="00861B41">
              <w:rPr>
                <w:color w:val="000000"/>
                <w:spacing w:val="-5"/>
              </w:rPr>
              <w:t>Total Registered Clients</w:t>
            </w:r>
          </w:p>
        </w:tc>
        <w:tc>
          <w:tcPr>
            <w:tcW w:w="3780" w:type="dxa"/>
          </w:tcPr>
          <w:p w14:paraId="3EA47DE9" w14:textId="7A9A8852" w:rsidR="00F749D5" w:rsidRPr="00861B41" w:rsidRDefault="00AD5F3F" w:rsidP="00313379">
            <w:pPr>
              <w:tabs>
                <w:tab w:val="left" w:pos="194"/>
                <w:tab w:val="right" w:pos="5710"/>
              </w:tabs>
              <w:spacing w:line="238" w:lineRule="exact"/>
              <w:jc w:val="center"/>
              <w:rPr>
                <w:color w:val="000000"/>
              </w:rPr>
            </w:pPr>
            <w:r>
              <w:rPr>
                <w:color w:val="000000"/>
              </w:rPr>
              <w:t>2,</w:t>
            </w:r>
            <w:r w:rsidR="00E9198A">
              <w:rPr>
                <w:color w:val="000000"/>
              </w:rPr>
              <w:t>732,825</w:t>
            </w:r>
          </w:p>
        </w:tc>
      </w:tr>
      <w:tr w:rsidR="00F749D5" w:rsidRPr="00861B41" w14:paraId="69E96859" w14:textId="77777777" w:rsidTr="00161112">
        <w:tc>
          <w:tcPr>
            <w:tcW w:w="4860" w:type="dxa"/>
          </w:tcPr>
          <w:p w14:paraId="71F8A2A2" w14:textId="77777777" w:rsidR="00F749D5" w:rsidRPr="00861B41" w:rsidRDefault="00F749D5" w:rsidP="00313379">
            <w:pPr>
              <w:tabs>
                <w:tab w:val="left" w:pos="194"/>
                <w:tab w:val="right" w:pos="5710"/>
              </w:tabs>
              <w:spacing w:line="238" w:lineRule="exact"/>
              <w:jc w:val="center"/>
              <w:rPr>
                <w:color w:val="000000"/>
              </w:rPr>
            </w:pPr>
            <w:r w:rsidRPr="00861B41">
              <w:rPr>
                <w:color w:val="000000"/>
                <w:spacing w:val="-6"/>
              </w:rPr>
              <w:t>% Minority Clients</w:t>
            </w:r>
            <w:r w:rsidR="00D24D05" w:rsidRPr="00861B41">
              <w:rPr>
                <w:rStyle w:val="FootnoteReference"/>
                <w:color w:val="000000"/>
                <w:spacing w:val="-6"/>
              </w:rPr>
              <w:footnoteReference w:id="3"/>
            </w:r>
          </w:p>
        </w:tc>
        <w:tc>
          <w:tcPr>
            <w:tcW w:w="3780" w:type="dxa"/>
          </w:tcPr>
          <w:p w14:paraId="6A8420C0" w14:textId="7D70BAF3" w:rsidR="00F749D5" w:rsidRPr="00861B41" w:rsidRDefault="00F36B34" w:rsidP="00451837">
            <w:pPr>
              <w:tabs>
                <w:tab w:val="left" w:pos="194"/>
                <w:tab w:val="right" w:pos="5710"/>
              </w:tabs>
              <w:spacing w:line="238" w:lineRule="exact"/>
              <w:jc w:val="center"/>
              <w:rPr>
                <w:color w:val="000000"/>
                <w:spacing w:val="-10"/>
              </w:rPr>
            </w:pPr>
            <w:r w:rsidRPr="00861B41">
              <w:rPr>
                <w:color w:val="000000"/>
                <w:spacing w:val="-10"/>
              </w:rPr>
              <w:t>3</w:t>
            </w:r>
            <w:r w:rsidR="00405D77">
              <w:rPr>
                <w:color w:val="000000"/>
                <w:spacing w:val="-10"/>
              </w:rPr>
              <w:t>1.</w:t>
            </w:r>
            <w:r w:rsidR="00E9198A">
              <w:rPr>
                <w:color w:val="000000"/>
                <w:spacing w:val="-10"/>
              </w:rPr>
              <w:t>2</w:t>
            </w:r>
          </w:p>
        </w:tc>
      </w:tr>
      <w:tr w:rsidR="00F749D5" w:rsidRPr="00861B41" w14:paraId="2108DFDB" w14:textId="77777777" w:rsidTr="00161112">
        <w:tc>
          <w:tcPr>
            <w:tcW w:w="4860" w:type="dxa"/>
          </w:tcPr>
          <w:p w14:paraId="3A550F2D" w14:textId="77777777" w:rsidR="00F749D5" w:rsidRPr="00861B41" w:rsidRDefault="00F749D5" w:rsidP="00313379">
            <w:pPr>
              <w:tabs>
                <w:tab w:val="left" w:pos="194"/>
                <w:tab w:val="right" w:pos="5710"/>
              </w:tabs>
              <w:spacing w:line="238" w:lineRule="exact"/>
              <w:jc w:val="center"/>
              <w:rPr>
                <w:color w:val="000000"/>
              </w:rPr>
            </w:pPr>
            <w:r w:rsidRPr="00861B41">
              <w:rPr>
                <w:color w:val="000000"/>
                <w:spacing w:val="-6"/>
              </w:rPr>
              <w:t>% Rural Clients</w:t>
            </w:r>
          </w:p>
        </w:tc>
        <w:tc>
          <w:tcPr>
            <w:tcW w:w="3780" w:type="dxa"/>
          </w:tcPr>
          <w:p w14:paraId="6C33F9F3" w14:textId="68C105D8" w:rsidR="00F749D5" w:rsidRPr="00861B41" w:rsidRDefault="00F36B34" w:rsidP="00313379">
            <w:pPr>
              <w:tabs>
                <w:tab w:val="left" w:pos="194"/>
                <w:tab w:val="right" w:pos="5710"/>
              </w:tabs>
              <w:spacing w:line="238" w:lineRule="exact"/>
              <w:jc w:val="center"/>
              <w:rPr>
                <w:color w:val="000000"/>
              </w:rPr>
            </w:pPr>
            <w:r w:rsidRPr="00861B41">
              <w:rPr>
                <w:color w:val="000000"/>
              </w:rPr>
              <w:t>3</w:t>
            </w:r>
            <w:r w:rsidR="00405D77">
              <w:rPr>
                <w:color w:val="000000"/>
              </w:rPr>
              <w:t>4.7</w:t>
            </w:r>
          </w:p>
        </w:tc>
      </w:tr>
      <w:tr w:rsidR="00F749D5" w:rsidRPr="00861B41" w14:paraId="70D0422A" w14:textId="77777777" w:rsidTr="00161112">
        <w:tc>
          <w:tcPr>
            <w:tcW w:w="4860" w:type="dxa"/>
          </w:tcPr>
          <w:p w14:paraId="6C80A2B5" w14:textId="77777777" w:rsidR="00F749D5" w:rsidRPr="00861B41" w:rsidRDefault="00F749D5" w:rsidP="00313379">
            <w:pPr>
              <w:tabs>
                <w:tab w:val="left" w:pos="194"/>
                <w:tab w:val="right" w:pos="5710"/>
              </w:tabs>
              <w:spacing w:line="238" w:lineRule="exact"/>
              <w:jc w:val="center"/>
              <w:rPr>
                <w:color w:val="000000"/>
              </w:rPr>
            </w:pPr>
            <w:r w:rsidRPr="00861B41">
              <w:rPr>
                <w:color w:val="000000"/>
                <w:spacing w:val="-5"/>
              </w:rPr>
              <w:t>% Clients Below Poverty</w:t>
            </w:r>
          </w:p>
        </w:tc>
        <w:tc>
          <w:tcPr>
            <w:tcW w:w="3780" w:type="dxa"/>
          </w:tcPr>
          <w:p w14:paraId="1DEEE4E7" w14:textId="2EE84CC8" w:rsidR="00F749D5" w:rsidRPr="00861B41" w:rsidRDefault="00F36B34" w:rsidP="00313379">
            <w:pPr>
              <w:tabs>
                <w:tab w:val="left" w:pos="194"/>
                <w:tab w:val="right" w:pos="5710"/>
              </w:tabs>
              <w:spacing w:line="238" w:lineRule="exact"/>
              <w:jc w:val="center"/>
              <w:rPr>
                <w:color w:val="000000"/>
              </w:rPr>
            </w:pPr>
            <w:r w:rsidRPr="00861B41">
              <w:rPr>
                <w:color w:val="000000"/>
              </w:rPr>
              <w:t>32.</w:t>
            </w:r>
            <w:r w:rsidR="00E9198A">
              <w:rPr>
                <w:color w:val="000000"/>
              </w:rPr>
              <w:t>8</w:t>
            </w:r>
          </w:p>
        </w:tc>
      </w:tr>
      <w:tr w:rsidR="00F749D5" w:rsidRPr="00861B41" w14:paraId="2831EC2E" w14:textId="77777777" w:rsidTr="00161112">
        <w:tc>
          <w:tcPr>
            <w:tcW w:w="4860" w:type="dxa"/>
          </w:tcPr>
          <w:p w14:paraId="008733B5" w14:textId="77777777" w:rsidR="00F749D5" w:rsidRPr="00861B41" w:rsidRDefault="00F749D5" w:rsidP="00313379">
            <w:pPr>
              <w:tabs>
                <w:tab w:val="left" w:pos="194"/>
                <w:tab w:val="right" w:pos="5710"/>
              </w:tabs>
              <w:spacing w:line="238" w:lineRule="exact"/>
              <w:jc w:val="center"/>
              <w:rPr>
                <w:color w:val="000000"/>
                <w:spacing w:val="-5"/>
              </w:rPr>
            </w:pPr>
            <w:r w:rsidRPr="00861B41">
              <w:rPr>
                <w:color w:val="000000"/>
                <w:spacing w:val="-5"/>
              </w:rPr>
              <w:t># Senior Centers</w:t>
            </w:r>
          </w:p>
        </w:tc>
        <w:tc>
          <w:tcPr>
            <w:tcW w:w="3780" w:type="dxa"/>
          </w:tcPr>
          <w:p w14:paraId="5DD75056" w14:textId="7CD87390" w:rsidR="00F749D5" w:rsidRPr="00861B41" w:rsidRDefault="002D3443" w:rsidP="00861B41">
            <w:pPr>
              <w:tabs>
                <w:tab w:val="left" w:pos="194"/>
                <w:tab w:val="right" w:pos="5710"/>
              </w:tabs>
              <w:spacing w:line="238" w:lineRule="exact"/>
              <w:jc w:val="center"/>
              <w:rPr>
                <w:color w:val="000000"/>
                <w:spacing w:val="-9"/>
              </w:rPr>
            </w:pPr>
            <w:r>
              <w:rPr>
                <w:color w:val="000000"/>
                <w:spacing w:val="-9"/>
              </w:rPr>
              <w:t>13,8</w:t>
            </w:r>
            <w:r w:rsidR="00E9198A">
              <w:rPr>
                <w:color w:val="000000"/>
                <w:spacing w:val="-9"/>
              </w:rPr>
              <w:t>58</w:t>
            </w:r>
            <w:r w:rsidR="00C920E8" w:rsidRPr="00861B41">
              <w:rPr>
                <w:color w:val="000000"/>
                <w:spacing w:val="-9"/>
              </w:rPr>
              <w:t xml:space="preserve"> </w:t>
            </w:r>
            <w:r w:rsidR="0016013D" w:rsidRPr="00861B41">
              <w:rPr>
                <w:color w:val="000000"/>
                <w:spacing w:val="-9"/>
              </w:rPr>
              <w:t>(</w:t>
            </w:r>
            <w:r>
              <w:rPr>
                <w:color w:val="000000"/>
                <w:spacing w:val="-9"/>
              </w:rPr>
              <w:t>6,8</w:t>
            </w:r>
            <w:r w:rsidR="00E9198A">
              <w:rPr>
                <w:color w:val="000000"/>
                <w:spacing w:val="-9"/>
              </w:rPr>
              <w:t>30</w:t>
            </w:r>
            <w:r w:rsidR="008C67DE" w:rsidRPr="00861B41">
              <w:rPr>
                <w:color w:val="000000"/>
                <w:spacing w:val="-9"/>
              </w:rPr>
              <w:t xml:space="preserve"> </w:t>
            </w:r>
            <w:r w:rsidR="00F749D5" w:rsidRPr="00861B41">
              <w:rPr>
                <w:color w:val="000000"/>
                <w:spacing w:val="-9"/>
              </w:rPr>
              <w:t>receive OAA funding)</w:t>
            </w:r>
          </w:p>
        </w:tc>
      </w:tr>
    </w:tbl>
    <w:p w14:paraId="1E3E6619" w14:textId="77777777" w:rsidR="00F749D5" w:rsidRPr="00861B41" w:rsidRDefault="00F749D5" w:rsidP="00F749D5">
      <w:pPr>
        <w:shd w:val="clear" w:color="auto" w:fill="FFFFFF"/>
        <w:tabs>
          <w:tab w:val="left" w:pos="194"/>
          <w:tab w:val="right" w:pos="5710"/>
        </w:tabs>
        <w:spacing w:line="238" w:lineRule="exact"/>
        <w:rPr>
          <w:color w:val="000000"/>
        </w:rPr>
      </w:pPr>
    </w:p>
    <w:tbl>
      <w:tblPr>
        <w:tblStyle w:val="TableGrid"/>
        <w:tblW w:w="0" w:type="auto"/>
        <w:tblLayout w:type="fixed"/>
        <w:tblLook w:val="01E0" w:firstRow="1" w:lastRow="1" w:firstColumn="1" w:lastColumn="1" w:noHBand="0" w:noVBand="0"/>
      </w:tblPr>
      <w:tblGrid>
        <w:gridCol w:w="2628"/>
        <w:gridCol w:w="1350"/>
        <w:gridCol w:w="1530"/>
        <w:gridCol w:w="2070"/>
        <w:gridCol w:w="1998"/>
      </w:tblGrid>
      <w:tr w:rsidR="00A40C6F" w:rsidRPr="00861B41" w14:paraId="299FA5DA" w14:textId="77777777" w:rsidTr="00161112">
        <w:tc>
          <w:tcPr>
            <w:tcW w:w="2628" w:type="dxa"/>
          </w:tcPr>
          <w:p w14:paraId="5ADF8833" w14:textId="77777777" w:rsidR="00F749D5" w:rsidRPr="00861B41" w:rsidRDefault="00F749D5" w:rsidP="00313379">
            <w:pPr>
              <w:tabs>
                <w:tab w:val="left" w:pos="194"/>
                <w:tab w:val="right" w:pos="5710"/>
              </w:tabs>
              <w:spacing w:line="238" w:lineRule="exact"/>
              <w:rPr>
                <w:b/>
                <w:color w:val="000000"/>
              </w:rPr>
            </w:pPr>
            <w:r w:rsidRPr="00861B41">
              <w:rPr>
                <w:b/>
                <w:color w:val="000000"/>
              </w:rPr>
              <w:t>Service</w:t>
            </w:r>
          </w:p>
        </w:tc>
        <w:tc>
          <w:tcPr>
            <w:tcW w:w="1350" w:type="dxa"/>
          </w:tcPr>
          <w:p w14:paraId="4C78F26E" w14:textId="77777777" w:rsidR="00F749D5" w:rsidRPr="00861B41" w:rsidRDefault="00F749D5" w:rsidP="00313379">
            <w:pPr>
              <w:jc w:val="center"/>
              <w:rPr>
                <w:b/>
              </w:rPr>
            </w:pPr>
            <w:r w:rsidRPr="00861B41">
              <w:rPr>
                <w:b/>
              </w:rPr>
              <w:t>Persons Served</w:t>
            </w:r>
          </w:p>
        </w:tc>
        <w:tc>
          <w:tcPr>
            <w:tcW w:w="1530" w:type="dxa"/>
          </w:tcPr>
          <w:p w14:paraId="56F940FF" w14:textId="77777777" w:rsidR="00F749D5" w:rsidRPr="00861B41" w:rsidRDefault="00F749D5" w:rsidP="00313379">
            <w:pPr>
              <w:jc w:val="center"/>
              <w:rPr>
                <w:b/>
              </w:rPr>
            </w:pPr>
            <w:r w:rsidRPr="00861B41">
              <w:rPr>
                <w:b/>
              </w:rPr>
              <w:t>Units of Service</w:t>
            </w:r>
            <w:r w:rsidRPr="00861B41">
              <w:rPr>
                <w:rStyle w:val="FootnoteReference"/>
                <w:b/>
              </w:rPr>
              <w:footnoteReference w:id="4"/>
            </w:r>
          </w:p>
        </w:tc>
        <w:tc>
          <w:tcPr>
            <w:tcW w:w="2070" w:type="dxa"/>
          </w:tcPr>
          <w:p w14:paraId="333F6B14" w14:textId="77777777" w:rsidR="00F749D5" w:rsidRPr="00861B41" w:rsidRDefault="00F749D5" w:rsidP="00313379">
            <w:pPr>
              <w:jc w:val="center"/>
              <w:rPr>
                <w:b/>
              </w:rPr>
            </w:pPr>
            <w:r w:rsidRPr="00861B41">
              <w:rPr>
                <w:b/>
              </w:rPr>
              <w:t>Title III Expenditure</w:t>
            </w:r>
          </w:p>
        </w:tc>
        <w:tc>
          <w:tcPr>
            <w:tcW w:w="1998" w:type="dxa"/>
          </w:tcPr>
          <w:p w14:paraId="22FB9C15" w14:textId="77777777" w:rsidR="00F749D5" w:rsidRPr="00861B41" w:rsidRDefault="00F749D5" w:rsidP="00313379">
            <w:pPr>
              <w:jc w:val="center"/>
              <w:rPr>
                <w:b/>
              </w:rPr>
            </w:pPr>
            <w:r w:rsidRPr="00861B41">
              <w:rPr>
                <w:b/>
              </w:rPr>
              <w:t>Total Expenditure</w:t>
            </w:r>
          </w:p>
        </w:tc>
      </w:tr>
      <w:tr w:rsidR="00F87077" w:rsidRPr="00861B41" w14:paraId="24989BCA" w14:textId="77777777" w:rsidTr="00161112">
        <w:tc>
          <w:tcPr>
            <w:tcW w:w="2628" w:type="dxa"/>
          </w:tcPr>
          <w:p w14:paraId="6CAA55F6" w14:textId="77777777" w:rsidR="00F87077" w:rsidRPr="00861B41" w:rsidRDefault="00F87077" w:rsidP="002C6960">
            <w:pPr>
              <w:tabs>
                <w:tab w:val="left" w:pos="194"/>
                <w:tab w:val="right" w:pos="5710"/>
              </w:tabs>
              <w:rPr>
                <w:color w:val="000000"/>
              </w:rPr>
            </w:pPr>
            <w:r w:rsidRPr="00861B41">
              <w:rPr>
                <w:color w:val="000000"/>
              </w:rPr>
              <w:t>Personal Care</w:t>
            </w:r>
          </w:p>
        </w:tc>
        <w:tc>
          <w:tcPr>
            <w:tcW w:w="1350" w:type="dxa"/>
          </w:tcPr>
          <w:p w14:paraId="5DB0C04B" w14:textId="05215C09" w:rsidR="00F87077" w:rsidRPr="00AA01A8" w:rsidRDefault="00977E0B" w:rsidP="002A4564">
            <w:pPr>
              <w:jc w:val="right"/>
            </w:pPr>
            <w:r w:rsidRPr="00AA01A8">
              <w:t>109,366</w:t>
            </w:r>
          </w:p>
        </w:tc>
        <w:tc>
          <w:tcPr>
            <w:tcW w:w="1530" w:type="dxa"/>
          </w:tcPr>
          <w:p w14:paraId="60CDD5E2" w14:textId="6BD479F1" w:rsidR="00F87077" w:rsidRPr="00AA01A8" w:rsidRDefault="00977E0B" w:rsidP="00322BB5">
            <w:pPr>
              <w:jc w:val="right"/>
            </w:pPr>
            <w:r w:rsidRPr="00AA01A8">
              <w:t>21,978,516</w:t>
            </w:r>
          </w:p>
        </w:tc>
        <w:tc>
          <w:tcPr>
            <w:tcW w:w="2070" w:type="dxa"/>
          </w:tcPr>
          <w:p w14:paraId="53933ABB" w14:textId="515706FD" w:rsidR="00F87077" w:rsidRPr="00AA01A8" w:rsidRDefault="001812B6" w:rsidP="008C4CC2">
            <w:pPr>
              <w:jc w:val="right"/>
            </w:pPr>
            <w:r w:rsidRPr="00AA01A8">
              <w:t>$</w:t>
            </w:r>
            <w:r w:rsidR="002D3443" w:rsidRPr="00AA01A8">
              <w:t>56,772,607</w:t>
            </w:r>
          </w:p>
        </w:tc>
        <w:tc>
          <w:tcPr>
            <w:tcW w:w="1998" w:type="dxa"/>
          </w:tcPr>
          <w:p w14:paraId="52410CE5" w14:textId="12B3FC3E" w:rsidR="00F87077" w:rsidRPr="00AA01A8" w:rsidRDefault="001812B6" w:rsidP="00805BA0">
            <w:pPr>
              <w:jc w:val="right"/>
            </w:pPr>
            <w:r w:rsidRPr="00AA01A8">
              <w:t>$</w:t>
            </w:r>
            <w:r w:rsidR="00805BA0" w:rsidRPr="00AA01A8">
              <w:t>363,139,010</w:t>
            </w:r>
          </w:p>
        </w:tc>
      </w:tr>
      <w:tr w:rsidR="00F87077" w:rsidRPr="00861B41" w14:paraId="610AA2CF" w14:textId="77777777" w:rsidTr="00161112">
        <w:tc>
          <w:tcPr>
            <w:tcW w:w="2628" w:type="dxa"/>
          </w:tcPr>
          <w:p w14:paraId="0D9D4BC2" w14:textId="77777777" w:rsidR="00F87077" w:rsidRPr="00861B41" w:rsidRDefault="00F87077" w:rsidP="002C6960">
            <w:pPr>
              <w:tabs>
                <w:tab w:val="left" w:pos="194"/>
                <w:tab w:val="right" w:pos="5710"/>
              </w:tabs>
              <w:rPr>
                <w:color w:val="000000"/>
              </w:rPr>
            </w:pPr>
            <w:r w:rsidRPr="00861B41">
              <w:rPr>
                <w:color w:val="000000"/>
              </w:rPr>
              <w:t>Homemaker</w:t>
            </w:r>
          </w:p>
        </w:tc>
        <w:tc>
          <w:tcPr>
            <w:tcW w:w="1350" w:type="dxa"/>
          </w:tcPr>
          <w:p w14:paraId="66700DDE" w14:textId="1DE09252" w:rsidR="00F87077" w:rsidRPr="00AA01A8" w:rsidRDefault="00977E0B" w:rsidP="002A4564">
            <w:pPr>
              <w:jc w:val="right"/>
            </w:pPr>
            <w:r w:rsidRPr="00AA01A8">
              <w:t>166,228</w:t>
            </w:r>
          </w:p>
        </w:tc>
        <w:tc>
          <w:tcPr>
            <w:tcW w:w="1530" w:type="dxa"/>
          </w:tcPr>
          <w:p w14:paraId="73D0E6EB" w14:textId="4B5A0551" w:rsidR="00F87077" w:rsidRPr="00AA01A8" w:rsidRDefault="00977E0B" w:rsidP="002A4564">
            <w:pPr>
              <w:jc w:val="right"/>
            </w:pPr>
            <w:r w:rsidRPr="00AA01A8">
              <w:t>19,610,119</w:t>
            </w:r>
          </w:p>
        </w:tc>
        <w:tc>
          <w:tcPr>
            <w:tcW w:w="2070" w:type="dxa"/>
          </w:tcPr>
          <w:p w14:paraId="3037CD71" w14:textId="578AD0BC" w:rsidR="00F87077" w:rsidRPr="00AA01A8" w:rsidRDefault="001812B6" w:rsidP="008C4CC2">
            <w:pPr>
              <w:jc w:val="right"/>
            </w:pPr>
            <w:r w:rsidRPr="00AA01A8">
              <w:t>$</w:t>
            </w:r>
            <w:r w:rsidR="002D3443" w:rsidRPr="00AA01A8">
              <w:t>34,647,363</w:t>
            </w:r>
          </w:p>
        </w:tc>
        <w:tc>
          <w:tcPr>
            <w:tcW w:w="1998" w:type="dxa"/>
          </w:tcPr>
          <w:p w14:paraId="67D13C7E" w14:textId="0376B41C" w:rsidR="00F87077" w:rsidRPr="00AA01A8" w:rsidRDefault="001812B6" w:rsidP="00805BA0">
            <w:pPr>
              <w:jc w:val="right"/>
            </w:pPr>
            <w:r w:rsidRPr="00AA01A8">
              <w:t>$</w:t>
            </w:r>
            <w:r w:rsidR="00805BA0" w:rsidRPr="00AA01A8">
              <w:t>395,140,085</w:t>
            </w:r>
          </w:p>
        </w:tc>
      </w:tr>
      <w:tr w:rsidR="00F87077" w:rsidRPr="00861B41" w14:paraId="4B074EB8" w14:textId="77777777" w:rsidTr="00161112">
        <w:tc>
          <w:tcPr>
            <w:tcW w:w="2628" w:type="dxa"/>
          </w:tcPr>
          <w:p w14:paraId="7014D4C2" w14:textId="77777777" w:rsidR="00F87077" w:rsidRPr="00861B41" w:rsidRDefault="00F87077" w:rsidP="002C6960">
            <w:pPr>
              <w:tabs>
                <w:tab w:val="left" w:pos="194"/>
                <w:tab w:val="right" w:pos="5710"/>
              </w:tabs>
              <w:rPr>
                <w:color w:val="000000"/>
              </w:rPr>
            </w:pPr>
            <w:r w:rsidRPr="00861B41">
              <w:rPr>
                <w:color w:val="000000"/>
              </w:rPr>
              <w:t>Chore</w:t>
            </w:r>
          </w:p>
        </w:tc>
        <w:tc>
          <w:tcPr>
            <w:tcW w:w="1350" w:type="dxa"/>
          </w:tcPr>
          <w:p w14:paraId="6A331674" w14:textId="1BEAB99F" w:rsidR="00F87077" w:rsidRPr="00AA01A8" w:rsidRDefault="00977E0B" w:rsidP="00322BB5">
            <w:pPr>
              <w:jc w:val="right"/>
            </w:pPr>
            <w:r w:rsidRPr="00AA01A8">
              <w:t>32,45</w:t>
            </w:r>
            <w:r w:rsidR="00450FAC" w:rsidRPr="00AA01A8">
              <w:t>9</w:t>
            </w:r>
          </w:p>
        </w:tc>
        <w:tc>
          <w:tcPr>
            <w:tcW w:w="1530" w:type="dxa"/>
          </w:tcPr>
          <w:p w14:paraId="44F14345" w14:textId="23C059BE" w:rsidR="00F87077" w:rsidRPr="00AA01A8" w:rsidRDefault="00805BA0" w:rsidP="002A4564">
            <w:pPr>
              <w:jc w:val="right"/>
            </w:pPr>
            <w:r w:rsidRPr="00AA01A8">
              <w:t>773,6</w:t>
            </w:r>
            <w:r w:rsidR="00450FAC" w:rsidRPr="00AA01A8">
              <w:t>84</w:t>
            </w:r>
          </w:p>
        </w:tc>
        <w:tc>
          <w:tcPr>
            <w:tcW w:w="2070" w:type="dxa"/>
          </w:tcPr>
          <w:p w14:paraId="76AE93D1" w14:textId="369E53E3" w:rsidR="00F87077" w:rsidRPr="00AA01A8" w:rsidRDefault="001812B6" w:rsidP="008C4CC2">
            <w:pPr>
              <w:jc w:val="right"/>
            </w:pPr>
            <w:r w:rsidRPr="00AA01A8">
              <w:t>$</w:t>
            </w:r>
            <w:r w:rsidR="002D3443" w:rsidRPr="00AA01A8">
              <w:t>4,93</w:t>
            </w:r>
            <w:r w:rsidR="00857516" w:rsidRPr="00AA01A8">
              <w:t>9,101</w:t>
            </w:r>
          </w:p>
        </w:tc>
        <w:tc>
          <w:tcPr>
            <w:tcW w:w="1998" w:type="dxa"/>
          </w:tcPr>
          <w:p w14:paraId="2269AC64" w14:textId="236FAA16" w:rsidR="00F87077" w:rsidRPr="00AA01A8" w:rsidRDefault="001812B6" w:rsidP="00805BA0">
            <w:pPr>
              <w:jc w:val="right"/>
            </w:pPr>
            <w:r w:rsidRPr="00AA01A8">
              <w:t>$</w:t>
            </w:r>
            <w:r w:rsidR="00805BA0" w:rsidRPr="00AA01A8">
              <w:t>18,97</w:t>
            </w:r>
            <w:r w:rsidR="00774480" w:rsidRPr="00AA01A8">
              <w:t>6,609</w:t>
            </w:r>
          </w:p>
        </w:tc>
      </w:tr>
      <w:tr w:rsidR="00F87077" w:rsidRPr="00861B41" w14:paraId="3A7C316F" w14:textId="77777777" w:rsidTr="00161112">
        <w:tc>
          <w:tcPr>
            <w:tcW w:w="2628" w:type="dxa"/>
          </w:tcPr>
          <w:p w14:paraId="7263D33D" w14:textId="77777777" w:rsidR="00F87077" w:rsidRPr="00861B41" w:rsidRDefault="00F87077" w:rsidP="002C6960">
            <w:pPr>
              <w:tabs>
                <w:tab w:val="left" w:pos="194"/>
                <w:tab w:val="right" w:pos="5710"/>
              </w:tabs>
              <w:rPr>
                <w:color w:val="000000"/>
              </w:rPr>
            </w:pPr>
            <w:r w:rsidRPr="00861B41">
              <w:rPr>
                <w:color w:val="000000"/>
              </w:rPr>
              <w:t>Home Delivered Meals</w:t>
            </w:r>
          </w:p>
        </w:tc>
        <w:tc>
          <w:tcPr>
            <w:tcW w:w="1350" w:type="dxa"/>
          </w:tcPr>
          <w:p w14:paraId="7AABC8A9" w14:textId="6C49C3FC" w:rsidR="00F87077" w:rsidRPr="00AA01A8" w:rsidRDefault="00977E0B" w:rsidP="00322BB5">
            <w:pPr>
              <w:jc w:val="right"/>
            </w:pPr>
            <w:r w:rsidRPr="00AA01A8">
              <w:t>86</w:t>
            </w:r>
            <w:r w:rsidR="00450FAC" w:rsidRPr="00AA01A8">
              <w:t>2,100</w:t>
            </w:r>
          </w:p>
        </w:tc>
        <w:tc>
          <w:tcPr>
            <w:tcW w:w="1530" w:type="dxa"/>
          </w:tcPr>
          <w:p w14:paraId="2B3E0530" w14:textId="78C77F09" w:rsidR="00F87077" w:rsidRPr="00AA01A8" w:rsidRDefault="00450FAC" w:rsidP="002A4564">
            <w:pPr>
              <w:jc w:val="right"/>
            </w:pPr>
            <w:r w:rsidRPr="00AA01A8">
              <w:t>144,039,122</w:t>
            </w:r>
          </w:p>
        </w:tc>
        <w:tc>
          <w:tcPr>
            <w:tcW w:w="2070" w:type="dxa"/>
          </w:tcPr>
          <w:p w14:paraId="0559DDC7" w14:textId="6CE2F74B" w:rsidR="00F87077" w:rsidRPr="00AA01A8" w:rsidRDefault="001812B6" w:rsidP="008C4CC2">
            <w:pPr>
              <w:jc w:val="right"/>
            </w:pPr>
            <w:r w:rsidRPr="00AA01A8">
              <w:t>$</w:t>
            </w:r>
            <w:r w:rsidR="00335F97" w:rsidRPr="00AA01A8">
              <w:t>31</w:t>
            </w:r>
            <w:r w:rsidR="00857516" w:rsidRPr="00AA01A8">
              <w:t>1,867,160</w:t>
            </w:r>
          </w:p>
        </w:tc>
        <w:tc>
          <w:tcPr>
            <w:tcW w:w="1998" w:type="dxa"/>
          </w:tcPr>
          <w:p w14:paraId="639DDEE0" w14:textId="6180DD01" w:rsidR="00F87077" w:rsidRPr="00AA01A8" w:rsidRDefault="001812B6" w:rsidP="00805BA0">
            <w:pPr>
              <w:jc w:val="right"/>
            </w:pPr>
            <w:r w:rsidRPr="00AA01A8">
              <w:t>$</w:t>
            </w:r>
            <w:r w:rsidR="00805BA0" w:rsidRPr="00AA01A8">
              <w:t>90</w:t>
            </w:r>
            <w:r w:rsidR="00774480" w:rsidRPr="00AA01A8">
              <w:t>6,737349</w:t>
            </w:r>
          </w:p>
        </w:tc>
      </w:tr>
      <w:tr w:rsidR="00F87077" w:rsidRPr="00861B41" w14:paraId="0EE7FCD1" w14:textId="77777777" w:rsidTr="00161112">
        <w:tc>
          <w:tcPr>
            <w:tcW w:w="2628" w:type="dxa"/>
          </w:tcPr>
          <w:p w14:paraId="4981450B" w14:textId="77777777" w:rsidR="00F87077" w:rsidRPr="00861B41" w:rsidRDefault="00F87077" w:rsidP="002C6960">
            <w:pPr>
              <w:tabs>
                <w:tab w:val="left" w:pos="194"/>
                <w:tab w:val="right" w:pos="5710"/>
              </w:tabs>
              <w:rPr>
                <w:color w:val="000000"/>
              </w:rPr>
            </w:pPr>
            <w:r w:rsidRPr="00861B41">
              <w:rPr>
                <w:color w:val="000000"/>
              </w:rPr>
              <w:t>Adult Day Care</w:t>
            </w:r>
          </w:p>
        </w:tc>
        <w:tc>
          <w:tcPr>
            <w:tcW w:w="1350" w:type="dxa"/>
          </w:tcPr>
          <w:p w14:paraId="7F42890A" w14:textId="27AB67B3" w:rsidR="00F87077" w:rsidRPr="00AA01A8" w:rsidRDefault="00977E0B" w:rsidP="002A4564">
            <w:pPr>
              <w:jc w:val="right"/>
            </w:pPr>
            <w:r w:rsidRPr="00AA01A8">
              <w:t>18,516</w:t>
            </w:r>
          </w:p>
        </w:tc>
        <w:tc>
          <w:tcPr>
            <w:tcW w:w="1530" w:type="dxa"/>
          </w:tcPr>
          <w:p w14:paraId="369040DD" w14:textId="75B60CED" w:rsidR="00F87077" w:rsidRPr="00AA01A8" w:rsidRDefault="00805BA0" w:rsidP="002A4564">
            <w:pPr>
              <w:jc w:val="right"/>
            </w:pPr>
            <w:r w:rsidRPr="00AA01A8">
              <w:t>10,355,876</w:t>
            </w:r>
          </w:p>
        </w:tc>
        <w:tc>
          <w:tcPr>
            <w:tcW w:w="2070" w:type="dxa"/>
          </w:tcPr>
          <w:p w14:paraId="57153E6B" w14:textId="71E5CC24" w:rsidR="00F87077" w:rsidRPr="00AA01A8" w:rsidRDefault="001812B6" w:rsidP="008C4CC2">
            <w:pPr>
              <w:jc w:val="right"/>
            </w:pPr>
            <w:r w:rsidRPr="00AA01A8">
              <w:t>$</w:t>
            </w:r>
            <w:r w:rsidR="00335F97" w:rsidRPr="00AA01A8">
              <w:t>12,130,622</w:t>
            </w:r>
          </w:p>
        </w:tc>
        <w:tc>
          <w:tcPr>
            <w:tcW w:w="1998" w:type="dxa"/>
          </w:tcPr>
          <w:p w14:paraId="65086A6E" w14:textId="17D56556" w:rsidR="00F87077" w:rsidRPr="00AA01A8" w:rsidRDefault="001812B6" w:rsidP="00805BA0">
            <w:pPr>
              <w:jc w:val="right"/>
            </w:pPr>
            <w:r w:rsidRPr="00AA01A8">
              <w:t>$</w:t>
            </w:r>
            <w:r w:rsidR="00805BA0" w:rsidRPr="00AA01A8">
              <w:t>102,582,660</w:t>
            </w:r>
          </w:p>
        </w:tc>
      </w:tr>
      <w:tr w:rsidR="00F87077" w:rsidRPr="00861B41" w14:paraId="02184012" w14:textId="77777777" w:rsidTr="00161112">
        <w:tc>
          <w:tcPr>
            <w:tcW w:w="2628" w:type="dxa"/>
          </w:tcPr>
          <w:p w14:paraId="74DAA541" w14:textId="77777777" w:rsidR="00F87077" w:rsidRPr="00861B41" w:rsidRDefault="00F87077" w:rsidP="00F02949">
            <w:pPr>
              <w:tabs>
                <w:tab w:val="left" w:pos="194"/>
                <w:tab w:val="right" w:pos="5710"/>
              </w:tabs>
              <w:rPr>
                <w:color w:val="000000"/>
              </w:rPr>
            </w:pPr>
            <w:r w:rsidRPr="00861B41">
              <w:rPr>
                <w:color w:val="000000"/>
              </w:rPr>
              <w:t>Case Management</w:t>
            </w:r>
          </w:p>
        </w:tc>
        <w:tc>
          <w:tcPr>
            <w:tcW w:w="1350" w:type="dxa"/>
          </w:tcPr>
          <w:p w14:paraId="0302ABD3" w14:textId="709D4937" w:rsidR="00F87077" w:rsidRPr="00AA01A8" w:rsidRDefault="00977E0B" w:rsidP="002A4564">
            <w:pPr>
              <w:jc w:val="right"/>
            </w:pPr>
            <w:r w:rsidRPr="00AA01A8">
              <w:t>458,434</w:t>
            </w:r>
          </w:p>
        </w:tc>
        <w:tc>
          <w:tcPr>
            <w:tcW w:w="1530" w:type="dxa"/>
          </w:tcPr>
          <w:p w14:paraId="18865ED9" w14:textId="5D0EACED" w:rsidR="00F87077" w:rsidRPr="00AA01A8" w:rsidRDefault="00805BA0" w:rsidP="002A4564">
            <w:pPr>
              <w:jc w:val="right"/>
            </w:pPr>
            <w:r w:rsidRPr="00AA01A8">
              <w:t>3,593,490</w:t>
            </w:r>
          </w:p>
        </w:tc>
        <w:tc>
          <w:tcPr>
            <w:tcW w:w="2070" w:type="dxa"/>
          </w:tcPr>
          <w:p w14:paraId="75F17037" w14:textId="170CFA4F" w:rsidR="00F87077" w:rsidRPr="00AA01A8" w:rsidRDefault="001812B6" w:rsidP="008C4CC2">
            <w:pPr>
              <w:jc w:val="right"/>
            </w:pPr>
            <w:r w:rsidRPr="00AA01A8">
              <w:t>$</w:t>
            </w:r>
            <w:r w:rsidR="00335F97" w:rsidRPr="00AA01A8">
              <w:t>108,998,855</w:t>
            </w:r>
          </w:p>
        </w:tc>
        <w:tc>
          <w:tcPr>
            <w:tcW w:w="1998" w:type="dxa"/>
          </w:tcPr>
          <w:p w14:paraId="4A6AE677" w14:textId="67EB65FD" w:rsidR="00F87077" w:rsidRPr="00AA01A8" w:rsidRDefault="001812B6" w:rsidP="00805BA0">
            <w:pPr>
              <w:jc w:val="right"/>
            </w:pPr>
            <w:r w:rsidRPr="00AA01A8">
              <w:t>$</w:t>
            </w:r>
            <w:r w:rsidR="00805BA0" w:rsidRPr="00AA01A8">
              <w:t>271,438,431</w:t>
            </w:r>
          </w:p>
        </w:tc>
      </w:tr>
      <w:tr w:rsidR="00F87077" w:rsidRPr="00861B41" w14:paraId="53EBEA6F" w14:textId="77777777" w:rsidTr="00161112">
        <w:tc>
          <w:tcPr>
            <w:tcW w:w="2628" w:type="dxa"/>
          </w:tcPr>
          <w:p w14:paraId="775EA809" w14:textId="77777777" w:rsidR="00F87077" w:rsidRPr="00861B41" w:rsidRDefault="00F87077" w:rsidP="00F02949">
            <w:pPr>
              <w:tabs>
                <w:tab w:val="left" w:pos="194"/>
                <w:tab w:val="right" w:pos="5710"/>
              </w:tabs>
              <w:rPr>
                <w:color w:val="000000"/>
              </w:rPr>
            </w:pPr>
            <w:r w:rsidRPr="00861B41">
              <w:rPr>
                <w:color w:val="000000"/>
              </w:rPr>
              <w:t>Assisted Transportation</w:t>
            </w:r>
          </w:p>
        </w:tc>
        <w:tc>
          <w:tcPr>
            <w:tcW w:w="1350" w:type="dxa"/>
          </w:tcPr>
          <w:p w14:paraId="056155A4" w14:textId="61FEDFC6" w:rsidR="00F87077" w:rsidRPr="00AA01A8" w:rsidRDefault="00977E0B" w:rsidP="002A4564">
            <w:pPr>
              <w:jc w:val="right"/>
            </w:pPr>
            <w:r w:rsidRPr="00AA01A8">
              <w:t>47,</w:t>
            </w:r>
            <w:r w:rsidR="00450FAC" w:rsidRPr="00AA01A8">
              <w:t>859</w:t>
            </w:r>
          </w:p>
        </w:tc>
        <w:tc>
          <w:tcPr>
            <w:tcW w:w="1530" w:type="dxa"/>
          </w:tcPr>
          <w:p w14:paraId="021F1C12" w14:textId="47B303E0" w:rsidR="00F87077" w:rsidRPr="00AA01A8" w:rsidRDefault="00805BA0" w:rsidP="002A4564">
            <w:pPr>
              <w:jc w:val="right"/>
            </w:pPr>
            <w:r w:rsidRPr="00AA01A8">
              <w:t>2,0</w:t>
            </w:r>
            <w:r w:rsidR="00857516" w:rsidRPr="00AA01A8">
              <w:t>78,827</w:t>
            </w:r>
          </w:p>
        </w:tc>
        <w:tc>
          <w:tcPr>
            <w:tcW w:w="2070" w:type="dxa"/>
          </w:tcPr>
          <w:p w14:paraId="7E848772" w14:textId="137548AD" w:rsidR="00F87077" w:rsidRPr="00AA01A8" w:rsidRDefault="001812B6" w:rsidP="008C4CC2">
            <w:pPr>
              <w:jc w:val="right"/>
            </w:pPr>
            <w:r w:rsidRPr="00AA01A8">
              <w:t>$</w:t>
            </w:r>
            <w:r w:rsidR="00335F97" w:rsidRPr="00AA01A8">
              <w:t>4,6</w:t>
            </w:r>
            <w:r w:rsidR="00857516" w:rsidRPr="00AA01A8">
              <w:t>82,973</w:t>
            </w:r>
          </w:p>
        </w:tc>
        <w:tc>
          <w:tcPr>
            <w:tcW w:w="1998" w:type="dxa"/>
          </w:tcPr>
          <w:p w14:paraId="3D4D275D" w14:textId="4C8BA261" w:rsidR="00F87077" w:rsidRPr="00AA01A8" w:rsidRDefault="001812B6" w:rsidP="00805BA0">
            <w:pPr>
              <w:jc w:val="right"/>
            </w:pPr>
            <w:r w:rsidRPr="00AA01A8">
              <w:t>$</w:t>
            </w:r>
            <w:r w:rsidR="00805BA0" w:rsidRPr="00AA01A8">
              <w:t>28,7</w:t>
            </w:r>
            <w:r w:rsidR="00774480" w:rsidRPr="00AA01A8">
              <w:t>54,065</w:t>
            </w:r>
          </w:p>
        </w:tc>
      </w:tr>
      <w:tr w:rsidR="00F87077" w:rsidRPr="00861B41" w14:paraId="48B9D704" w14:textId="77777777" w:rsidTr="00161112">
        <w:trPr>
          <w:trHeight w:val="215"/>
        </w:trPr>
        <w:tc>
          <w:tcPr>
            <w:tcW w:w="2628" w:type="dxa"/>
          </w:tcPr>
          <w:p w14:paraId="1C8D8163" w14:textId="77777777" w:rsidR="00F87077" w:rsidRPr="00861B41" w:rsidRDefault="00F87077" w:rsidP="002C6960">
            <w:pPr>
              <w:tabs>
                <w:tab w:val="left" w:pos="194"/>
                <w:tab w:val="right" w:pos="5710"/>
              </w:tabs>
              <w:rPr>
                <w:color w:val="000000"/>
              </w:rPr>
            </w:pPr>
            <w:r w:rsidRPr="00861B41">
              <w:rPr>
                <w:color w:val="000000"/>
              </w:rPr>
              <w:t>Congregate Meals</w:t>
            </w:r>
          </w:p>
        </w:tc>
        <w:tc>
          <w:tcPr>
            <w:tcW w:w="1350" w:type="dxa"/>
          </w:tcPr>
          <w:p w14:paraId="7BA97D5E" w14:textId="143B8B11" w:rsidR="00F87077" w:rsidRPr="00AA01A8" w:rsidRDefault="00977E0B" w:rsidP="002A4564">
            <w:pPr>
              <w:jc w:val="right"/>
            </w:pPr>
            <w:r w:rsidRPr="00AA01A8">
              <w:t>1,</w:t>
            </w:r>
            <w:r w:rsidR="00450FAC" w:rsidRPr="00AA01A8">
              <w:t>2,104</w:t>
            </w:r>
          </w:p>
        </w:tc>
        <w:tc>
          <w:tcPr>
            <w:tcW w:w="1530" w:type="dxa"/>
          </w:tcPr>
          <w:p w14:paraId="303B6726" w14:textId="440F144F" w:rsidR="00F87077" w:rsidRPr="00AA01A8" w:rsidRDefault="00805BA0" w:rsidP="002A4564">
            <w:pPr>
              <w:jc w:val="right"/>
            </w:pPr>
            <w:r w:rsidRPr="00AA01A8">
              <w:t>76,</w:t>
            </w:r>
            <w:r w:rsidR="00857516" w:rsidRPr="00AA01A8">
              <w:t>229,704</w:t>
            </w:r>
          </w:p>
        </w:tc>
        <w:tc>
          <w:tcPr>
            <w:tcW w:w="2070" w:type="dxa"/>
          </w:tcPr>
          <w:p w14:paraId="71F0FB23" w14:textId="1B443EC3" w:rsidR="00F87077" w:rsidRPr="00AA01A8" w:rsidRDefault="001812B6" w:rsidP="008C4CC2">
            <w:pPr>
              <w:jc w:val="right"/>
            </w:pPr>
            <w:r w:rsidRPr="00AA01A8">
              <w:t>$</w:t>
            </w:r>
            <w:r w:rsidR="00335F97" w:rsidRPr="00AA01A8">
              <w:t>29</w:t>
            </w:r>
            <w:r w:rsidR="00857516" w:rsidRPr="00AA01A8">
              <w:t>8,788,943</w:t>
            </w:r>
          </w:p>
        </w:tc>
        <w:tc>
          <w:tcPr>
            <w:tcW w:w="1998" w:type="dxa"/>
          </w:tcPr>
          <w:p w14:paraId="44DF61DB" w14:textId="434E0A34" w:rsidR="00F87077" w:rsidRPr="00AA01A8" w:rsidRDefault="001812B6" w:rsidP="00805BA0">
            <w:pPr>
              <w:jc w:val="right"/>
            </w:pPr>
            <w:r w:rsidRPr="00AA01A8">
              <w:t>$</w:t>
            </w:r>
            <w:r w:rsidR="00805BA0" w:rsidRPr="00AA01A8">
              <w:t>65</w:t>
            </w:r>
            <w:r w:rsidR="00774480" w:rsidRPr="00AA01A8">
              <w:t>3,960,831</w:t>
            </w:r>
          </w:p>
        </w:tc>
      </w:tr>
      <w:tr w:rsidR="00F87077" w:rsidRPr="00861B41" w14:paraId="4CFD765F" w14:textId="77777777" w:rsidTr="00161112">
        <w:tc>
          <w:tcPr>
            <w:tcW w:w="2628" w:type="dxa"/>
          </w:tcPr>
          <w:p w14:paraId="1C7A80BC" w14:textId="77777777" w:rsidR="00F87077" w:rsidRPr="00861B41" w:rsidRDefault="00F87077" w:rsidP="002C6960">
            <w:pPr>
              <w:tabs>
                <w:tab w:val="left" w:pos="194"/>
                <w:tab w:val="right" w:pos="5710"/>
              </w:tabs>
              <w:rPr>
                <w:color w:val="000000"/>
              </w:rPr>
            </w:pPr>
            <w:r w:rsidRPr="00861B41">
              <w:rPr>
                <w:color w:val="000000"/>
              </w:rPr>
              <w:t>Nutrition Counseling</w:t>
            </w:r>
          </w:p>
        </w:tc>
        <w:tc>
          <w:tcPr>
            <w:tcW w:w="1350" w:type="dxa"/>
          </w:tcPr>
          <w:p w14:paraId="22A95C54" w14:textId="23EA48C1" w:rsidR="00F87077" w:rsidRPr="00AA01A8" w:rsidRDefault="00977E0B" w:rsidP="000D3D91">
            <w:pPr>
              <w:jc w:val="right"/>
            </w:pPr>
            <w:r w:rsidRPr="00AA01A8">
              <w:t>34,316</w:t>
            </w:r>
          </w:p>
        </w:tc>
        <w:tc>
          <w:tcPr>
            <w:tcW w:w="1530" w:type="dxa"/>
          </w:tcPr>
          <w:p w14:paraId="5647C68D" w14:textId="6DF5E21C" w:rsidR="00F87077" w:rsidRPr="00AA01A8" w:rsidRDefault="00805BA0" w:rsidP="00F87077">
            <w:pPr>
              <w:jc w:val="right"/>
            </w:pPr>
            <w:r w:rsidRPr="00AA01A8">
              <w:t>78,398</w:t>
            </w:r>
          </w:p>
        </w:tc>
        <w:tc>
          <w:tcPr>
            <w:tcW w:w="2070" w:type="dxa"/>
          </w:tcPr>
          <w:p w14:paraId="1A98E65E" w14:textId="0CF04FC0" w:rsidR="00F87077" w:rsidRPr="00AA01A8" w:rsidRDefault="001812B6" w:rsidP="008C4CC2">
            <w:pPr>
              <w:jc w:val="right"/>
            </w:pPr>
            <w:r w:rsidRPr="00AA01A8">
              <w:t>$</w:t>
            </w:r>
            <w:r w:rsidR="00335F97" w:rsidRPr="00AA01A8">
              <w:t>1,148,075</w:t>
            </w:r>
          </w:p>
        </w:tc>
        <w:tc>
          <w:tcPr>
            <w:tcW w:w="1998" w:type="dxa"/>
          </w:tcPr>
          <w:p w14:paraId="76CA6123" w14:textId="7A302AB9" w:rsidR="00F87077" w:rsidRPr="00AA01A8" w:rsidRDefault="001812B6" w:rsidP="00981546">
            <w:pPr>
              <w:jc w:val="right"/>
            </w:pPr>
            <w:r w:rsidRPr="00AA01A8">
              <w:t>$</w:t>
            </w:r>
            <w:r w:rsidR="00805BA0" w:rsidRPr="00AA01A8">
              <w:t>2,292,609</w:t>
            </w:r>
          </w:p>
        </w:tc>
      </w:tr>
      <w:tr w:rsidR="00F87077" w:rsidRPr="00861B41" w14:paraId="7EC0D52B" w14:textId="77777777" w:rsidTr="00DE0E25">
        <w:tc>
          <w:tcPr>
            <w:tcW w:w="2628" w:type="dxa"/>
          </w:tcPr>
          <w:p w14:paraId="32B301B0" w14:textId="77777777" w:rsidR="00F87077" w:rsidRPr="00861B41" w:rsidRDefault="00F87077" w:rsidP="002C6960">
            <w:pPr>
              <w:shd w:val="clear" w:color="auto" w:fill="FFFFFF"/>
            </w:pPr>
            <w:r w:rsidRPr="00861B41">
              <w:rPr>
                <w:color w:val="000000"/>
                <w:spacing w:val="-6"/>
              </w:rPr>
              <w:t>Transportation</w:t>
            </w:r>
          </w:p>
        </w:tc>
        <w:tc>
          <w:tcPr>
            <w:tcW w:w="1350" w:type="dxa"/>
            <w:shd w:val="clear" w:color="auto" w:fill="F2F2F2" w:themeFill="background1" w:themeFillShade="F2"/>
          </w:tcPr>
          <w:p w14:paraId="18549B5A" w14:textId="3F382F7A" w:rsidR="00F87077" w:rsidRPr="00AA01A8" w:rsidRDefault="00F87077" w:rsidP="002A4564">
            <w:pPr>
              <w:tabs>
                <w:tab w:val="left" w:pos="194"/>
                <w:tab w:val="right" w:pos="5710"/>
              </w:tabs>
              <w:jc w:val="right"/>
            </w:pPr>
          </w:p>
        </w:tc>
        <w:tc>
          <w:tcPr>
            <w:tcW w:w="1530" w:type="dxa"/>
          </w:tcPr>
          <w:p w14:paraId="00D87A15" w14:textId="5A13D2C0" w:rsidR="00F87077" w:rsidRPr="00AA01A8" w:rsidRDefault="00805BA0" w:rsidP="002A4564">
            <w:pPr>
              <w:jc w:val="right"/>
            </w:pPr>
            <w:r w:rsidRPr="00AA01A8">
              <w:t>21,7</w:t>
            </w:r>
            <w:r w:rsidR="00857516" w:rsidRPr="00AA01A8">
              <w:t>6,986</w:t>
            </w:r>
          </w:p>
        </w:tc>
        <w:tc>
          <w:tcPr>
            <w:tcW w:w="2070" w:type="dxa"/>
          </w:tcPr>
          <w:p w14:paraId="0BD01574" w14:textId="2FAFC074" w:rsidR="00F87077" w:rsidRPr="00AA01A8" w:rsidRDefault="001812B6" w:rsidP="008C4CC2">
            <w:pPr>
              <w:jc w:val="right"/>
            </w:pPr>
            <w:r w:rsidRPr="00AA01A8">
              <w:t>$</w:t>
            </w:r>
            <w:r w:rsidR="00335F97" w:rsidRPr="00AA01A8">
              <w:t xml:space="preserve"> 61,</w:t>
            </w:r>
            <w:r w:rsidR="00857516" w:rsidRPr="00AA01A8">
              <w:t>587,214</w:t>
            </w:r>
          </w:p>
        </w:tc>
        <w:tc>
          <w:tcPr>
            <w:tcW w:w="1998" w:type="dxa"/>
          </w:tcPr>
          <w:p w14:paraId="48D3C1DB" w14:textId="603B258F" w:rsidR="00F87077" w:rsidRPr="00AA01A8" w:rsidRDefault="001822C7" w:rsidP="00981546">
            <w:pPr>
              <w:jc w:val="right"/>
            </w:pPr>
            <w:r w:rsidRPr="00AA01A8">
              <w:t>$</w:t>
            </w:r>
            <w:r w:rsidR="00805BA0" w:rsidRPr="00AA01A8">
              <w:t>209,7</w:t>
            </w:r>
            <w:r w:rsidR="00774480" w:rsidRPr="00AA01A8">
              <w:t>89,942</w:t>
            </w:r>
          </w:p>
        </w:tc>
      </w:tr>
      <w:tr w:rsidR="005150FB" w:rsidRPr="00861B41" w14:paraId="76D801D3" w14:textId="77777777" w:rsidTr="00DE0E25">
        <w:tc>
          <w:tcPr>
            <w:tcW w:w="2628" w:type="dxa"/>
          </w:tcPr>
          <w:p w14:paraId="46BEDCA4" w14:textId="77777777" w:rsidR="005150FB" w:rsidRPr="00861B41" w:rsidRDefault="005150FB" w:rsidP="002C6960">
            <w:pPr>
              <w:shd w:val="clear" w:color="auto" w:fill="FFFFFF"/>
            </w:pPr>
            <w:r w:rsidRPr="00861B41">
              <w:rPr>
                <w:color w:val="000000"/>
                <w:spacing w:val="-6"/>
              </w:rPr>
              <w:t>Legal Assistance</w:t>
            </w:r>
          </w:p>
        </w:tc>
        <w:tc>
          <w:tcPr>
            <w:tcW w:w="1350" w:type="dxa"/>
            <w:shd w:val="clear" w:color="auto" w:fill="F2F2F2" w:themeFill="background1" w:themeFillShade="F2"/>
          </w:tcPr>
          <w:p w14:paraId="23234989" w14:textId="69822F76" w:rsidR="005150FB" w:rsidRPr="00AA01A8" w:rsidRDefault="005150FB" w:rsidP="002A4564">
            <w:pPr>
              <w:tabs>
                <w:tab w:val="left" w:pos="194"/>
                <w:tab w:val="right" w:pos="5710"/>
              </w:tabs>
              <w:jc w:val="right"/>
            </w:pPr>
          </w:p>
        </w:tc>
        <w:tc>
          <w:tcPr>
            <w:tcW w:w="1530" w:type="dxa"/>
          </w:tcPr>
          <w:p w14:paraId="1BC8CAF6" w14:textId="60B91140" w:rsidR="005150FB" w:rsidRPr="00AA01A8" w:rsidRDefault="00805BA0" w:rsidP="002A4564">
            <w:pPr>
              <w:jc w:val="right"/>
            </w:pPr>
            <w:r w:rsidRPr="00AA01A8">
              <w:t>933,</w:t>
            </w:r>
            <w:r w:rsidR="00857516" w:rsidRPr="00AA01A8">
              <w:t>410</w:t>
            </w:r>
          </w:p>
        </w:tc>
        <w:tc>
          <w:tcPr>
            <w:tcW w:w="2070" w:type="dxa"/>
          </w:tcPr>
          <w:p w14:paraId="011F1012" w14:textId="0D87541A" w:rsidR="005150FB" w:rsidRPr="00AA01A8" w:rsidRDefault="000D6579" w:rsidP="008C4CC2">
            <w:pPr>
              <w:jc w:val="right"/>
            </w:pPr>
            <w:r w:rsidRPr="00AA01A8">
              <w:t>$</w:t>
            </w:r>
            <w:r w:rsidR="00335F97" w:rsidRPr="00AA01A8">
              <w:t>27,7</w:t>
            </w:r>
            <w:r w:rsidR="00857516" w:rsidRPr="00AA01A8">
              <w:t>28,821</w:t>
            </w:r>
          </w:p>
        </w:tc>
        <w:tc>
          <w:tcPr>
            <w:tcW w:w="1998" w:type="dxa"/>
          </w:tcPr>
          <w:p w14:paraId="1FB827B5" w14:textId="1C28EE9B" w:rsidR="005150FB" w:rsidRPr="00AA01A8" w:rsidRDefault="000D6579" w:rsidP="00981546">
            <w:pPr>
              <w:jc w:val="right"/>
            </w:pPr>
            <w:r w:rsidRPr="00AA01A8">
              <w:t>$</w:t>
            </w:r>
            <w:r w:rsidR="00805BA0" w:rsidRPr="00AA01A8">
              <w:t>51,1</w:t>
            </w:r>
            <w:r w:rsidR="00774480" w:rsidRPr="00AA01A8">
              <w:t>52,922</w:t>
            </w:r>
          </w:p>
        </w:tc>
      </w:tr>
      <w:tr w:rsidR="005150FB" w:rsidRPr="00861B41" w14:paraId="5EAA3D1D" w14:textId="77777777" w:rsidTr="00DE0E25">
        <w:tc>
          <w:tcPr>
            <w:tcW w:w="2628" w:type="dxa"/>
          </w:tcPr>
          <w:p w14:paraId="57CAF466" w14:textId="77777777" w:rsidR="005150FB" w:rsidRPr="00861B41" w:rsidRDefault="005150FB" w:rsidP="00F02949">
            <w:pPr>
              <w:shd w:val="clear" w:color="auto" w:fill="FFFFFF"/>
            </w:pPr>
            <w:r w:rsidRPr="00861B41">
              <w:rPr>
                <w:color w:val="000000"/>
                <w:spacing w:val="-7"/>
              </w:rPr>
              <w:t>Nutrition Education</w:t>
            </w:r>
          </w:p>
        </w:tc>
        <w:tc>
          <w:tcPr>
            <w:tcW w:w="1350" w:type="dxa"/>
            <w:shd w:val="clear" w:color="auto" w:fill="F2F2F2" w:themeFill="background1" w:themeFillShade="F2"/>
          </w:tcPr>
          <w:p w14:paraId="200ECF23" w14:textId="4263C165" w:rsidR="005150FB" w:rsidRPr="00AA01A8" w:rsidRDefault="005150FB" w:rsidP="002A4564">
            <w:pPr>
              <w:tabs>
                <w:tab w:val="left" w:pos="194"/>
                <w:tab w:val="right" w:pos="5710"/>
              </w:tabs>
              <w:jc w:val="right"/>
            </w:pPr>
          </w:p>
        </w:tc>
        <w:tc>
          <w:tcPr>
            <w:tcW w:w="1530" w:type="dxa"/>
          </w:tcPr>
          <w:p w14:paraId="732D42A2" w14:textId="34473049" w:rsidR="005150FB" w:rsidRPr="00AA01A8" w:rsidRDefault="00805BA0" w:rsidP="002A4564">
            <w:pPr>
              <w:jc w:val="right"/>
            </w:pPr>
            <w:r w:rsidRPr="00AA01A8">
              <w:t>3,443,</w:t>
            </w:r>
            <w:r w:rsidR="00857516" w:rsidRPr="00AA01A8">
              <w:t>839</w:t>
            </w:r>
          </w:p>
        </w:tc>
        <w:tc>
          <w:tcPr>
            <w:tcW w:w="2070" w:type="dxa"/>
          </w:tcPr>
          <w:p w14:paraId="2A6247A6" w14:textId="6271EB3A" w:rsidR="005150FB" w:rsidRPr="00AA01A8" w:rsidRDefault="000D6579" w:rsidP="008C4CC2">
            <w:pPr>
              <w:jc w:val="right"/>
            </w:pPr>
            <w:r w:rsidRPr="00AA01A8">
              <w:t>$</w:t>
            </w:r>
            <w:r w:rsidR="00335F97" w:rsidRPr="00AA01A8">
              <w:t>3,522,5</w:t>
            </w:r>
            <w:r w:rsidR="00857516" w:rsidRPr="00AA01A8">
              <w:t>40</w:t>
            </w:r>
          </w:p>
        </w:tc>
        <w:tc>
          <w:tcPr>
            <w:tcW w:w="1998" w:type="dxa"/>
          </w:tcPr>
          <w:p w14:paraId="17637C74" w14:textId="5F894027" w:rsidR="005150FB" w:rsidRPr="00AA01A8" w:rsidRDefault="000D6579" w:rsidP="00981546">
            <w:pPr>
              <w:jc w:val="right"/>
            </w:pPr>
            <w:r w:rsidRPr="00AA01A8">
              <w:t>$</w:t>
            </w:r>
            <w:r w:rsidR="00981546" w:rsidRPr="00AA01A8">
              <w:t>7,585,61</w:t>
            </w:r>
            <w:r w:rsidR="00774480" w:rsidRPr="00AA01A8">
              <w:t>5</w:t>
            </w:r>
          </w:p>
        </w:tc>
      </w:tr>
      <w:tr w:rsidR="005150FB" w:rsidRPr="00861B41" w14:paraId="779BE919" w14:textId="77777777" w:rsidTr="00DE0E25">
        <w:tc>
          <w:tcPr>
            <w:tcW w:w="2628" w:type="dxa"/>
          </w:tcPr>
          <w:p w14:paraId="43F76C9C" w14:textId="77777777" w:rsidR="005150FB" w:rsidRPr="00861B41" w:rsidRDefault="005150FB" w:rsidP="00F02949">
            <w:pPr>
              <w:shd w:val="clear" w:color="auto" w:fill="FFFFFF"/>
            </w:pPr>
            <w:r w:rsidRPr="00861B41">
              <w:rPr>
                <w:color w:val="000000"/>
              </w:rPr>
              <w:t>Information and Assistance</w:t>
            </w:r>
          </w:p>
        </w:tc>
        <w:tc>
          <w:tcPr>
            <w:tcW w:w="1350" w:type="dxa"/>
            <w:shd w:val="clear" w:color="auto" w:fill="F2F2F2" w:themeFill="background1" w:themeFillShade="F2"/>
          </w:tcPr>
          <w:p w14:paraId="060E65CE" w14:textId="07FF1F61" w:rsidR="005150FB" w:rsidRPr="00AA01A8" w:rsidRDefault="005150FB" w:rsidP="002A4564">
            <w:pPr>
              <w:tabs>
                <w:tab w:val="left" w:pos="194"/>
                <w:tab w:val="right" w:pos="5710"/>
              </w:tabs>
              <w:jc w:val="right"/>
            </w:pPr>
          </w:p>
        </w:tc>
        <w:tc>
          <w:tcPr>
            <w:tcW w:w="1530" w:type="dxa"/>
          </w:tcPr>
          <w:p w14:paraId="71644E19" w14:textId="4E66A6FA" w:rsidR="005150FB" w:rsidRPr="00AA01A8" w:rsidRDefault="00805BA0" w:rsidP="002A4564">
            <w:pPr>
              <w:jc w:val="right"/>
            </w:pPr>
            <w:r w:rsidRPr="00AA01A8">
              <w:t>12,49</w:t>
            </w:r>
            <w:r w:rsidR="00857516" w:rsidRPr="00AA01A8">
              <w:t>3,437</w:t>
            </w:r>
          </w:p>
        </w:tc>
        <w:tc>
          <w:tcPr>
            <w:tcW w:w="2070" w:type="dxa"/>
          </w:tcPr>
          <w:p w14:paraId="3015131D" w14:textId="2456F7DF" w:rsidR="005150FB" w:rsidRPr="00AA01A8" w:rsidRDefault="000D6579" w:rsidP="008C4CC2">
            <w:pPr>
              <w:jc w:val="right"/>
            </w:pPr>
            <w:r w:rsidRPr="00AA01A8">
              <w:t>$</w:t>
            </w:r>
            <w:r w:rsidR="00335F97" w:rsidRPr="00AA01A8">
              <w:t>58,14</w:t>
            </w:r>
            <w:r w:rsidR="00857516" w:rsidRPr="00AA01A8">
              <w:t>5,229</w:t>
            </w:r>
          </w:p>
        </w:tc>
        <w:tc>
          <w:tcPr>
            <w:tcW w:w="1998" w:type="dxa"/>
          </w:tcPr>
          <w:p w14:paraId="338B0718" w14:textId="5C8C58D3" w:rsidR="005150FB" w:rsidRPr="00AA01A8" w:rsidRDefault="000D6579" w:rsidP="00981546">
            <w:pPr>
              <w:jc w:val="right"/>
            </w:pPr>
            <w:r w:rsidRPr="00AA01A8">
              <w:t>$</w:t>
            </w:r>
            <w:r w:rsidR="00981546" w:rsidRPr="00AA01A8">
              <w:t>186,64</w:t>
            </w:r>
            <w:r w:rsidR="00774480" w:rsidRPr="00AA01A8">
              <w:t>2,785</w:t>
            </w:r>
          </w:p>
        </w:tc>
      </w:tr>
      <w:tr w:rsidR="005150FB" w:rsidRPr="00861B41" w14:paraId="0CDDE86B" w14:textId="77777777" w:rsidTr="00DE0E25">
        <w:tc>
          <w:tcPr>
            <w:tcW w:w="2628" w:type="dxa"/>
          </w:tcPr>
          <w:p w14:paraId="334A6BEE" w14:textId="77777777" w:rsidR="005150FB" w:rsidRPr="00861B41" w:rsidRDefault="005150FB" w:rsidP="002C6960">
            <w:pPr>
              <w:shd w:val="clear" w:color="auto" w:fill="FFFFFF"/>
            </w:pPr>
            <w:r w:rsidRPr="00861B41">
              <w:rPr>
                <w:color w:val="000000"/>
                <w:spacing w:val="-9"/>
              </w:rPr>
              <w:t>Outreach</w:t>
            </w:r>
          </w:p>
        </w:tc>
        <w:tc>
          <w:tcPr>
            <w:tcW w:w="1350" w:type="dxa"/>
            <w:shd w:val="clear" w:color="auto" w:fill="F2F2F2" w:themeFill="background1" w:themeFillShade="F2"/>
          </w:tcPr>
          <w:p w14:paraId="491B4913" w14:textId="61637DFD" w:rsidR="005150FB" w:rsidRPr="00AA01A8" w:rsidRDefault="005150FB" w:rsidP="002A4564">
            <w:pPr>
              <w:tabs>
                <w:tab w:val="left" w:pos="194"/>
                <w:tab w:val="right" w:pos="5710"/>
              </w:tabs>
              <w:jc w:val="right"/>
            </w:pPr>
          </w:p>
        </w:tc>
        <w:tc>
          <w:tcPr>
            <w:tcW w:w="1530" w:type="dxa"/>
          </w:tcPr>
          <w:p w14:paraId="36CF3FE9" w14:textId="076513BA" w:rsidR="005150FB" w:rsidRPr="00AA01A8" w:rsidRDefault="00805BA0" w:rsidP="002A4564">
            <w:pPr>
              <w:jc w:val="right"/>
            </w:pPr>
            <w:r w:rsidRPr="00AA01A8">
              <w:t>2,024,</w:t>
            </w:r>
            <w:r w:rsidR="00857516" w:rsidRPr="00AA01A8">
              <w:t>423</w:t>
            </w:r>
          </w:p>
        </w:tc>
        <w:tc>
          <w:tcPr>
            <w:tcW w:w="2070" w:type="dxa"/>
          </w:tcPr>
          <w:p w14:paraId="47D39799" w14:textId="1B0378E2" w:rsidR="005150FB" w:rsidRPr="00AA01A8" w:rsidRDefault="000D6579" w:rsidP="008C4CC2">
            <w:pPr>
              <w:jc w:val="right"/>
            </w:pPr>
            <w:r w:rsidRPr="00AA01A8">
              <w:t>$</w:t>
            </w:r>
            <w:r w:rsidR="00977E0B" w:rsidRPr="00AA01A8">
              <w:t>11,750,93</w:t>
            </w:r>
            <w:r w:rsidR="00857516" w:rsidRPr="00AA01A8">
              <w:t>4</w:t>
            </w:r>
          </w:p>
        </w:tc>
        <w:tc>
          <w:tcPr>
            <w:tcW w:w="1998" w:type="dxa"/>
          </w:tcPr>
          <w:p w14:paraId="1B6BAD23" w14:textId="36431221" w:rsidR="005150FB" w:rsidRPr="00AA01A8" w:rsidRDefault="000D6579" w:rsidP="00981546">
            <w:pPr>
              <w:jc w:val="right"/>
            </w:pPr>
            <w:r w:rsidRPr="00AA01A8">
              <w:t>$</w:t>
            </w:r>
            <w:r w:rsidR="00981546" w:rsidRPr="00AA01A8">
              <w:t>24,782,24</w:t>
            </w:r>
            <w:r w:rsidR="00774480" w:rsidRPr="00AA01A8">
              <w:t>5</w:t>
            </w:r>
          </w:p>
        </w:tc>
      </w:tr>
      <w:tr w:rsidR="008C4CC2" w:rsidRPr="00861B41" w14:paraId="52D7ED16" w14:textId="77777777" w:rsidTr="00DE0E25">
        <w:tc>
          <w:tcPr>
            <w:tcW w:w="2628" w:type="dxa"/>
          </w:tcPr>
          <w:p w14:paraId="3829F609" w14:textId="77777777" w:rsidR="008C4CC2" w:rsidRPr="00861B41" w:rsidRDefault="008C4CC2" w:rsidP="00313379">
            <w:pPr>
              <w:shd w:val="clear" w:color="auto" w:fill="FFFFFF"/>
              <w:rPr>
                <w:color w:val="000000"/>
                <w:spacing w:val="-8"/>
              </w:rPr>
            </w:pPr>
            <w:r w:rsidRPr="00861B41">
              <w:rPr>
                <w:color w:val="000000"/>
                <w:spacing w:val="-8"/>
              </w:rPr>
              <w:t>Health Promotion and Disease Prevention</w:t>
            </w:r>
          </w:p>
        </w:tc>
        <w:tc>
          <w:tcPr>
            <w:tcW w:w="1350" w:type="dxa"/>
          </w:tcPr>
          <w:p w14:paraId="28E5AAA3" w14:textId="22E36A3D" w:rsidR="008C4CC2" w:rsidRPr="00AA01A8" w:rsidRDefault="00387F37" w:rsidP="00387F37">
            <w:pPr>
              <w:jc w:val="right"/>
            </w:pPr>
            <w:r w:rsidRPr="00AA01A8">
              <w:t>837,</w:t>
            </w:r>
            <w:r w:rsidR="00450FAC" w:rsidRPr="00AA01A8">
              <w:t>300</w:t>
            </w:r>
          </w:p>
        </w:tc>
        <w:tc>
          <w:tcPr>
            <w:tcW w:w="1530" w:type="dxa"/>
            <w:shd w:val="clear" w:color="auto" w:fill="F2F2F2" w:themeFill="background1" w:themeFillShade="F2"/>
          </w:tcPr>
          <w:p w14:paraId="0DD0029D" w14:textId="6F877F4F" w:rsidR="008C4CC2" w:rsidRPr="00AA01A8" w:rsidRDefault="008C4CC2" w:rsidP="00387F37">
            <w:pPr>
              <w:tabs>
                <w:tab w:val="left" w:pos="194"/>
                <w:tab w:val="right" w:pos="5710"/>
              </w:tabs>
              <w:spacing w:line="238" w:lineRule="exact"/>
            </w:pPr>
          </w:p>
        </w:tc>
        <w:tc>
          <w:tcPr>
            <w:tcW w:w="2070" w:type="dxa"/>
          </w:tcPr>
          <w:p w14:paraId="40A56C45" w14:textId="14801DD5" w:rsidR="008C4CC2" w:rsidRPr="00AA01A8" w:rsidRDefault="000D6579" w:rsidP="00387F37">
            <w:pPr>
              <w:jc w:val="right"/>
            </w:pPr>
            <w:r w:rsidRPr="00AA01A8">
              <w:t>$</w:t>
            </w:r>
            <w:r w:rsidR="00977E0B" w:rsidRPr="00AA01A8">
              <w:t>24,060,42</w:t>
            </w:r>
            <w:r w:rsidR="00857516" w:rsidRPr="00AA01A8">
              <w:t>1</w:t>
            </w:r>
          </w:p>
        </w:tc>
        <w:tc>
          <w:tcPr>
            <w:tcW w:w="1998" w:type="dxa"/>
          </w:tcPr>
          <w:p w14:paraId="59880941" w14:textId="6B55488A" w:rsidR="008C4CC2" w:rsidRPr="00AA01A8" w:rsidRDefault="000D6579" w:rsidP="00387F37">
            <w:pPr>
              <w:jc w:val="right"/>
            </w:pPr>
            <w:r w:rsidRPr="00AA01A8">
              <w:t>$</w:t>
            </w:r>
            <w:r w:rsidR="00981546" w:rsidRPr="00AA01A8">
              <w:t>56,231,60</w:t>
            </w:r>
            <w:r w:rsidR="00774480" w:rsidRPr="00AA01A8">
              <w:t>8</w:t>
            </w:r>
          </w:p>
        </w:tc>
      </w:tr>
      <w:tr w:rsidR="005150FB" w:rsidRPr="00861B41" w14:paraId="5A4871DD" w14:textId="77777777" w:rsidTr="00DE0E25">
        <w:tc>
          <w:tcPr>
            <w:tcW w:w="2628" w:type="dxa"/>
          </w:tcPr>
          <w:p w14:paraId="40AF431A" w14:textId="77777777" w:rsidR="005150FB" w:rsidRPr="00861B41" w:rsidRDefault="005150FB" w:rsidP="00313379">
            <w:pPr>
              <w:shd w:val="clear" w:color="auto" w:fill="FFFFFF"/>
              <w:rPr>
                <w:color w:val="000000"/>
                <w:spacing w:val="-8"/>
              </w:rPr>
            </w:pPr>
            <w:r w:rsidRPr="00861B41">
              <w:rPr>
                <w:color w:val="000000"/>
                <w:spacing w:val="-8"/>
              </w:rPr>
              <w:t>Self-Directed Care</w:t>
            </w:r>
          </w:p>
        </w:tc>
        <w:tc>
          <w:tcPr>
            <w:tcW w:w="1350" w:type="dxa"/>
          </w:tcPr>
          <w:p w14:paraId="1EAE1BAE" w14:textId="5A0E34FB" w:rsidR="005150FB" w:rsidRPr="00AA01A8" w:rsidRDefault="00387F37" w:rsidP="00633F52">
            <w:pPr>
              <w:jc w:val="right"/>
            </w:pPr>
            <w:r w:rsidRPr="00AA01A8">
              <w:t>5,652</w:t>
            </w:r>
          </w:p>
        </w:tc>
        <w:tc>
          <w:tcPr>
            <w:tcW w:w="1530" w:type="dxa"/>
            <w:shd w:val="clear" w:color="auto" w:fill="F2F2F2" w:themeFill="background1" w:themeFillShade="F2"/>
          </w:tcPr>
          <w:p w14:paraId="1868B6E2" w14:textId="3C2BDAA8" w:rsidR="005150FB" w:rsidRPr="00AA01A8" w:rsidRDefault="005150FB" w:rsidP="00313379">
            <w:pPr>
              <w:tabs>
                <w:tab w:val="left" w:pos="194"/>
                <w:tab w:val="right" w:pos="5710"/>
              </w:tabs>
              <w:spacing w:line="238" w:lineRule="exact"/>
            </w:pPr>
          </w:p>
        </w:tc>
        <w:tc>
          <w:tcPr>
            <w:tcW w:w="2070" w:type="dxa"/>
          </w:tcPr>
          <w:p w14:paraId="043CB952" w14:textId="41CCBA03" w:rsidR="005150FB" w:rsidRPr="00AA01A8" w:rsidRDefault="000D6579" w:rsidP="00633F52">
            <w:pPr>
              <w:jc w:val="right"/>
            </w:pPr>
            <w:r w:rsidRPr="00AA01A8">
              <w:t>$</w:t>
            </w:r>
            <w:r w:rsidR="00387F37" w:rsidRPr="00AA01A8">
              <w:t>184,813</w:t>
            </w:r>
          </w:p>
        </w:tc>
        <w:tc>
          <w:tcPr>
            <w:tcW w:w="1998" w:type="dxa"/>
          </w:tcPr>
          <w:p w14:paraId="289E41A0" w14:textId="7E1AD998" w:rsidR="005150FB" w:rsidRPr="00AA01A8" w:rsidRDefault="00633F52" w:rsidP="00633F52">
            <w:pPr>
              <w:jc w:val="right"/>
            </w:pPr>
            <w:r w:rsidRPr="00AA01A8">
              <w:t>$</w:t>
            </w:r>
            <w:r w:rsidR="00387F37" w:rsidRPr="00AA01A8">
              <w:t>47,728,120</w:t>
            </w:r>
          </w:p>
        </w:tc>
      </w:tr>
      <w:tr w:rsidR="005150FB" w:rsidRPr="00155D0B" w14:paraId="21FAC239" w14:textId="77777777" w:rsidTr="00DE0E25">
        <w:tc>
          <w:tcPr>
            <w:tcW w:w="2628" w:type="dxa"/>
          </w:tcPr>
          <w:p w14:paraId="284503DA" w14:textId="77777777" w:rsidR="005150FB" w:rsidRPr="00861B41" w:rsidRDefault="005150FB" w:rsidP="00313379">
            <w:pPr>
              <w:shd w:val="clear" w:color="auto" w:fill="FFFFFF"/>
            </w:pPr>
            <w:r w:rsidRPr="00861B41">
              <w:rPr>
                <w:color w:val="000000"/>
                <w:spacing w:val="-8"/>
              </w:rPr>
              <w:t>Other</w:t>
            </w:r>
          </w:p>
        </w:tc>
        <w:tc>
          <w:tcPr>
            <w:tcW w:w="1350" w:type="dxa"/>
            <w:shd w:val="clear" w:color="auto" w:fill="F2F2F2" w:themeFill="background1" w:themeFillShade="F2"/>
          </w:tcPr>
          <w:p w14:paraId="7AB1907E" w14:textId="61879194" w:rsidR="005150FB" w:rsidRPr="00AA01A8" w:rsidRDefault="005150FB" w:rsidP="00313379">
            <w:pPr>
              <w:tabs>
                <w:tab w:val="left" w:pos="194"/>
                <w:tab w:val="right" w:pos="5710"/>
              </w:tabs>
              <w:spacing w:line="238" w:lineRule="exact"/>
            </w:pPr>
          </w:p>
        </w:tc>
        <w:tc>
          <w:tcPr>
            <w:tcW w:w="1530" w:type="dxa"/>
            <w:shd w:val="clear" w:color="auto" w:fill="F2F2F2" w:themeFill="background1" w:themeFillShade="F2"/>
          </w:tcPr>
          <w:p w14:paraId="09012ADC" w14:textId="79703AAA" w:rsidR="005150FB" w:rsidRPr="00AA01A8" w:rsidRDefault="005150FB" w:rsidP="00313379">
            <w:pPr>
              <w:tabs>
                <w:tab w:val="left" w:pos="194"/>
                <w:tab w:val="right" w:pos="5710"/>
              </w:tabs>
              <w:spacing w:line="238" w:lineRule="exact"/>
            </w:pPr>
          </w:p>
        </w:tc>
        <w:tc>
          <w:tcPr>
            <w:tcW w:w="2070" w:type="dxa"/>
          </w:tcPr>
          <w:p w14:paraId="0CD601C8" w14:textId="025A33B6" w:rsidR="005150FB" w:rsidRPr="00AA01A8" w:rsidRDefault="000D6579" w:rsidP="00981546">
            <w:pPr>
              <w:jc w:val="right"/>
            </w:pPr>
            <w:r w:rsidRPr="00AA01A8">
              <w:t>$</w:t>
            </w:r>
            <w:r w:rsidR="00981546" w:rsidRPr="00AA01A8">
              <w:t>75,224,75</w:t>
            </w:r>
            <w:r w:rsidR="00857516" w:rsidRPr="00AA01A8">
              <w:t>9</w:t>
            </w:r>
          </w:p>
        </w:tc>
        <w:tc>
          <w:tcPr>
            <w:tcW w:w="1998" w:type="dxa"/>
          </w:tcPr>
          <w:p w14:paraId="090F108E" w14:textId="63B0C90F" w:rsidR="005150FB" w:rsidRPr="00AA01A8" w:rsidRDefault="000D6579" w:rsidP="00981546">
            <w:pPr>
              <w:jc w:val="right"/>
            </w:pPr>
            <w:r w:rsidRPr="00AA01A8">
              <w:t>$</w:t>
            </w:r>
            <w:r w:rsidR="00981546" w:rsidRPr="00AA01A8">
              <w:t>539,586,9</w:t>
            </w:r>
            <w:r w:rsidR="003C0CC2" w:rsidRPr="00AA01A8">
              <w:t>83</w:t>
            </w:r>
          </w:p>
        </w:tc>
      </w:tr>
    </w:tbl>
    <w:p w14:paraId="2BF9C5BF" w14:textId="77777777" w:rsidR="00F749D5" w:rsidRPr="00861B41" w:rsidRDefault="00F749D5" w:rsidP="00F749D5">
      <w:pPr>
        <w:shd w:val="clear" w:color="auto" w:fill="FFFFFF"/>
        <w:jc w:val="center"/>
        <w:rPr>
          <w:b/>
          <w:bCs/>
          <w:color w:val="000000"/>
          <w:spacing w:val="-7"/>
          <w:sz w:val="28"/>
          <w:szCs w:val="28"/>
        </w:rPr>
      </w:pPr>
      <w:r>
        <w:rPr>
          <w:b/>
          <w:sz w:val="28"/>
          <w:szCs w:val="28"/>
        </w:rPr>
        <w:br w:type="page"/>
      </w:r>
      <w:r w:rsidR="003179D6" w:rsidRPr="00861B41">
        <w:rPr>
          <w:b/>
          <w:bCs/>
          <w:color w:val="000000"/>
          <w:spacing w:val="-7"/>
          <w:sz w:val="28"/>
          <w:szCs w:val="28"/>
        </w:rPr>
        <w:lastRenderedPageBreak/>
        <w:t xml:space="preserve">National Family Caregiver Support Program </w:t>
      </w:r>
    </w:p>
    <w:p w14:paraId="2823FD57" w14:textId="77777777" w:rsidR="00F749D5" w:rsidRPr="00861B41" w:rsidRDefault="00F749D5" w:rsidP="00F749D5">
      <w:pPr>
        <w:shd w:val="clear" w:color="auto" w:fill="FFFFFF"/>
        <w:rPr>
          <w:b/>
          <w:bCs/>
          <w:color w:val="000000"/>
          <w:spacing w:val="-7"/>
        </w:rPr>
      </w:pPr>
    </w:p>
    <w:tbl>
      <w:tblPr>
        <w:tblStyle w:val="TableGrid"/>
        <w:tblW w:w="0" w:type="auto"/>
        <w:tblLayout w:type="fixed"/>
        <w:tblLook w:val="01E0" w:firstRow="1" w:lastRow="1" w:firstColumn="1" w:lastColumn="1" w:noHBand="0" w:noVBand="0"/>
      </w:tblPr>
      <w:tblGrid>
        <w:gridCol w:w="2988"/>
        <w:gridCol w:w="1440"/>
        <w:gridCol w:w="1620"/>
        <w:gridCol w:w="1710"/>
        <w:gridCol w:w="1818"/>
      </w:tblGrid>
      <w:tr w:rsidR="00A40C6F" w:rsidRPr="00861B41" w14:paraId="35D80D58" w14:textId="77777777" w:rsidTr="00DE0E25">
        <w:tc>
          <w:tcPr>
            <w:tcW w:w="2988" w:type="dxa"/>
          </w:tcPr>
          <w:p w14:paraId="07BABAFD" w14:textId="77777777" w:rsidR="00F749D5" w:rsidRPr="00861B41" w:rsidRDefault="00F749D5" w:rsidP="007B7698">
            <w:pPr>
              <w:shd w:val="clear" w:color="auto" w:fill="FFFFFF"/>
              <w:spacing w:line="209" w:lineRule="exact"/>
              <w:ind w:right="259"/>
              <w:jc w:val="center"/>
              <w:rPr>
                <w:b/>
                <w:color w:val="000000"/>
                <w:spacing w:val="-7"/>
              </w:rPr>
            </w:pPr>
            <w:r w:rsidRPr="00861B41">
              <w:rPr>
                <w:b/>
                <w:color w:val="000000"/>
                <w:spacing w:val="-7"/>
              </w:rPr>
              <w:t>Service</w:t>
            </w:r>
          </w:p>
        </w:tc>
        <w:tc>
          <w:tcPr>
            <w:tcW w:w="1440" w:type="dxa"/>
          </w:tcPr>
          <w:p w14:paraId="21A44139" w14:textId="77777777" w:rsidR="00F749D5" w:rsidRPr="00861B41" w:rsidRDefault="00F749D5" w:rsidP="007B7698">
            <w:pPr>
              <w:jc w:val="center"/>
              <w:rPr>
                <w:b/>
              </w:rPr>
            </w:pPr>
            <w:r w:rsidRPr="00861B41">
              <w:rPr>
                <w:b/>
              </w:rPr>
              <w:t>Caregivers Served</w:t>
            </w:r>
          </w:p>
        </w:tc>
        <w:tc>
          <w:tcPr>
            <w:tcW w:w="1620" w:type="dxa"/>
          </w:tcPr>
          <w:p w14:paraId="3566DBDC" w14:textId="77777777" w:rsidR="00F749D5" w:rsidRPr="00861B41" w:rsidRDefault="00F749D5" w:rsidP="007B7698">
            <w:pPr>
              <w:jc w:val="center"/>
              <w:rPr>
                <w:b/>
              </w:rPr>
            </w:pPr>
            <w:r w:rsidRPr="00861B41">
              <w:rPr>
                <w:b/>
              </w:rPr>
              <w:t>Service Units</w:t>
            </w:r>
            <w:r w:rsidRPr="00861B41">
              <w:rPr>
                <w:rStyle w:val="FootnoteReference"/>
                <w:b/>
              </w:rPr>
              <w:footnoteReference w:id="5"/>
            </w:r>
          </w:p>
        </w:tc>
        <w:tc>
          <w:tcPr>
            <w:tcW w:w="1710" w:type="dxa"/>
          </w:tcPr>
          <w:p w14:paraId="460D4A95" w14:textId="77777777" w:rsidR="00F749D5" w:rsidRPr="00861B41" w:rsidRDefault="00F749D5" w:rsidP="007B7698">
            <w:pPr>
              <w:jc w:val="center"/>
              <w:rPr>
                <w:b/>
              </w:rPr>
            </w:pPr>
            <w:r w:rsidRPr="00861B41">
              <w:rPr>
                <w:b/>
              </w:rPr>
              <w:t>Title III Expenditure</w:t>
            </w:r>
          </w:p>
        </w:tc>
        <w:tc>
          <w:tcPr>
            <w:tcW w:w="1818" w:type="dxa"/>
          </w:tcPr>
          <w:p w14:paraId="06F310CC" w14:textId="77777777" w:rsidR="00F749D5" w:rsidRPr="00861B41" w:rsidRDefault="00F749D5" w:rsidP="00A40C6F">
            <w:pPr>
              <w:jc w:val="center"/>
              <w:rPr>
                <w:b/>
              </w:rPr>
            </w:pPr>
            <w:r w:rsidRPr="00861B41">
              <w:rPr>
                <w:b/>
              </w:rPr>
              <w:t>Total Expenditure</w:t>
            </w:r>
          </w:p>
        </w:tc>
      </w:tr>
      <w:tr w:rsidR="000816BA" w:rsidRPr="00861B41" w14:paraId="5B7A72E7" w14:textId="77777777" w:rsidTr="00DE0E25">
        <w:tc>
          <w:tcPr>
            <w:tcW w:w="2988" w:type="dxa"/>
          </w:tcPr>
          <w:p w14:paraId="3C84BB64" w14:textId="77777777" w:rsidR="000816BA" w:rsidRPr="00861B41" w:rsidRDefault="000816BA" w:rsidP="00500A53">
            <w:pPr>
              <w:shd w:val="clear" w:color="auto" w:fill="FFFFFF"/>
              <w:ind w:right="259"/>
            </w:pPr>
            <w:r w:rsidRPr="00861B41">
              <w:rPr>
                <w:color w:val="000000"/>
              </w:rPr>
              <w:t>Counseling, Support Groups, Training</w:t>
            </w:r>
          </w:p>
        </w:tc>
        <w:tc>
          <w:tcPr>
            <w:tcW w:w="1440" w:type="dxa"/>
          </w:tcPr>
          <w:p w14:paraId="4B15BDAD" w14:textId="101E1EE4" w:rsidR="000816BA" w:rsidRPr="00AA01A8" w:rsidRDefault="00981546">
            <w:pPr>
              <w:jc w:val="right"/>
            </w:pPr>
            <w:r w:rsidRPr="00AA01A8">
              <w:t>100,828</w:t>
            </w:r>
          </w:p>
        </w:tc>
        <w:tc>
          <w:tcPr>
            <w:tcW w:w="1620" w:type="dxa"/>
          </w:tcPr>
          <w:p w14:paraId="1C1A613A" w14:textId="6E93CD84" w:rsidR="00DC3B70" w:rsidRPr="00AA01A8" w:rsidRDefault="00981546" w:rsidP="00DC3B70">
            <w:pPr>
              <w:jc w:val="right"/>
            </w:pPr>
            <w:r w:rsidRPr="00AA01A8">
              <w:t>408,968</w:t>
            </w:r>
          </w:p>
        </w:tc>
        <w:tc>
          <w:tcPr>
            <w:tcW w:w="1710" w:type="dxa"/>
          </w:tcPr>
          <w:p w14:paraId="3B10BD92" w14:textId="3740461A" w:rsidR="00DC3B70" w:rsidRPr="00AA01A8" w:rsidRDefault="000816BA" w:rsidP="002863A7">
            <w:pPr>
              <w:jc w:val="right"/>
            </w:pPr>
            <w:r w:rsidRPr="00AA01A8">
              <w:t>$</w:t>
            </w:r>
            <w:r w:rsidR="00981546" w:rsidRPr="00AA01A8">
              <w:t>19,660,877</w:t>
            </w:r>
          </w:p>
        </w:tc>
        <w:tc>
          <w:tcPr>
            <w:tcW w:w="1818" w:type="dxa"/>
          </w:tcPr>
          <w:p w14:paraId="0C45592B" w14:textId="37CE24BE" w:rsidR="000816BA" w:rsidRPr="00AA01A8" w:rsidRDefault="000816BA" w:rsidP="002863A7">
            <w:pPr>
              <w:jc w:val="right"/>
            </w:pPr>
            <w:r w:rsidRPr="00AA01A8">
              <w:t>$</w:t>
            </w:r>
            <w:r w:rsidR="002863A7" w:rsidRPr="00AA01A8">
              <w:t>27,800,676</w:t>
            </w:r>
          </w:p>
        </w:tc>
      </w:tr>
      <w:tr w:rsidR="000816BA" w:rsidRPr="00861B41" w14:paraId="513235DC" w14:textId="77777777" w:rsidTr="00DE0E25">
        <w:tc>
          <w:tcPr>
            <w:tcW w:w="2988" w:type="dxa"/>
          </w:tcPr>
          <w:p w14:paraId="0396EF2C" w14:textId="77777777" w:rsidR="000816BA" w:rsidRPr="00861B41" w:rsidRDefault="000816BA" w:rsidP="00500A53">
            <w:pPr>
              <w:shd w:val="clear" w:color="auto" w:fill="FFFFFF"/>
              <w:rPr>
                <w:color w:val="000000"/>
              </w:rPr>
            </w:pPr>
            <w:r w:rsidRPr="00861B41">
              <w:rPr>
                <w:color w:val="000000"/>
              </w:rPr>
              <w:t>Respite</w:t>
            </w:r>
          </w:p>
        </w:tc>
        <w:tc>
          <w:tcPr>
            <w:tcW w:w="1440" w:type="dxa"/>
          </w:tcPr>
          <w:p w14:paraId="50622A00" w14:textId="7A6469EE" w:rsidR="000816BA" w:rsidRPr="00AA01A8" w:rsidRDefault="00981546">
            <w:pPr>
              <w:jc w:val="right"/>
            </w:pPr>
            <w:r w:rsidRPr="00AA01A8">
              <w:t>55,565</w:t>
            </w:r>
          </w:p>
        </w:tc>
        <w:tc>
          <w:tcPr>
            <w:tcW w:w="1620" w:type="dxa"/>
          </w:tcPr>
          <w:p w14:paraId="60F2129F" w14:textId="7940D8A7" w:rsidR="000816BA" w:rsidRPr="00AA01A8" w:rsidRDefault="00981546">
            <w:pPr>
              <w:jc w:val="right"/>
            </w:pPr>
            <w:r w:rsidRPr="00AA01A8">
              <w:t>5,931,326</w:t>
            </w:r>
          </w:p>
        </w:tc>
        <w:tc>
          <w:tcPr>
            <w:tcW w:w="1710" w:type="dxa"/>
          </w:tcPr>
          <w:p w14:paraId="41C148AF" w14:textId="47C46EFC" w:rsidR="000816BA" w:rsidRPr="00AA01A8" w:rsidRDefault="00DC3B70" w:rsidP="002863A7">
            <w:pPr>
              <w:jc w:val="right"/>
            </w:pPr>
            <w:r w:rsidRPr="00AA01A8">
              <w:t>$</w:t>
            </w:r>
            <w:r w:rsidR="00981546" w:rsidRPr="00AA01A8">
              <w:t>52,598,763</w:t>
            </w:r>
          </w:p>
        </w:tc>
        <w:tc>
          <w:tcPr>
            <w:tcW w:w="1818" w:type="dxa"/>
          </w:tcPr>
          <w:p w14:paraId="2F0E4322" w14:textId="55E29E2D" w:rsidR="000816BA" w:rsidRPr="00AA01A8" w:rsidRDefault="00DC3B70" w:rsidP="002863A7">
            <w:pPr>
              <w:jc w:val="right"/>
            </w:pPr>
            <w:r w:rsidRPr="00AA01A8">
              <w:t>$</w:t>
            </w:r>
            <w:r w:rsidR="002863A7" w:rsidRPr="00AA01A8">
              <w:t>87,489,480</w:t>
            </w:r>
          </w:p>
        </w:tc>
      </w:tr>
      <w:tr w:rsidR="000816BA" w:rsidRPr="00861B41" w14:paraId="7CBF6D2E" w14:textId="77777777" w:rsidTr="00DE0E25">
        <w:tc>
          <w:tcPr>
            <w:tcW w:w="2988" w:type="dxa"/>
          </w:tcPr>
          <w:p w14:paraId="0E490FD8" w14:textId="77777777" w:rsidR="000816BA" w:rsidRPr="00861B41" w:rsidRDefault="000816BA" w:rsidP="00500A53">
            <w:pPr>
              <w:shd w:val="clear" w:color="auto" w:fill="FFFFFF"/>
              <w:ind w:right="461"/>
            </w:pPr>
            <w:r w:rsidRPr="00861B41">
              <w:rPr>
                <w:color w:val="000000"/>
              </w:rPr>
              <w:t>Supplemental Services</w:t>
            </w:r>
          </w:p>
        </w:tc>
        <w:tc>
          <w:tcPr>
            <w:tcW w:w="1440" w:type="dxa"/>
          </w:tcPr>
          <w:p w14:paraId="23F1798F" w14:textId="71DAFC03" w:rsidR="000816BA" w:rsidRPr="00AA01A8" w:rsidRDefault="00981546">
            <w:pPr>
              <w:jc w:val="right"/>
            </w:pPr>
            <w:r w:rsidRPr="00AA01A8">
              <w:t>27,259</w:t>
            </w:r>
          </w:p>
        </w:tc>
        <w:tc>
          <w:tcPr>
            <w:tcW w:w="1620" w:type="dxa"/>
          </w:tcPr>
          <w:p w14:paraId="01D11D3F" w14:textId="7902ECDB" w:rsidR="000816BA" w:rsidRPr="00AA01A8" w:rsidRDefault="00981546">
            <w:pPr>
              <w:jc w:val="right"/>
            </w:pPr>
            <w:r w:rsidRPr="00AA01A8">
              <w:t>585,496</w:t>
            </w:r>
          </w:p>
        </w:tc>
        <w:tc>
          <w:tcPr>
            <w:tcW w:w="1710" w:type="dxa"/>
          </w:tcPr>
          <w:p w14:paraId="4E5BB980" w14:textId="004591D0" w:rsidR="000816BA" w:rsidRPr="00AA01A8" w:rsidRDefault="00DC3B70" w:rsidP="002863A7">
            <w:pPr>
              <w:jc w:val="right"/>
            </w:pPr>
            <w:r w:rsidRPr="00AA01A8">
              <w:t>$</w:t>
            </w:r>
            <w:r w:rsidR="00981546" w:rsidRPr="00AA01A8">
              <w:t>9,899,435</w:t>
            </w:r>
          </w:p>
        </w:tc>
        <w:tc>
          <w:tcPr>
            <w:tcW w:w="1818" w:type="dxa"/>
          </w:tcPr>
          <w:p w14:paraId="2FE84583" w14:textId="07F77C9B" w:rsidR="000816BA" w:rsidRPr="00AA01A8" w:rsidRDefault="00DC3B70" w:rsidP="002863A7">
            <w:pPr>
              <w:jc w:val="right"/>
            </w:pPr>
            <w:r w:rsidRPr="00AA01A8">
              <w:t>$</w:t>
            </w:r>
            <w:r w:rsidR="002863A7" w:rsidRPr="00AA01A8">
              <w:t>13,435,184</w:t>
            </w:r>
          </w:p>
        </w:tc>
      </w:tr>
      <w:tr w:rsidR="000816BA" w:rsidRPr="00861B41" w14:paraId="74516401" w14:textId="77777777" w:rsidTr="00DE0E25">
        <w:tc>
          <w:tcPr>
            <w:tcW w:w="2988" w:type="dxa"/>
          </w:tcPr>
          <w:p w14:paraId="56CC7F90" w14:textId="77777777" w:rsidR="000816BA" w:rsidRPr="00861B41" w:rsidRDefault="000816BA" w:rsidP="00500A53">
            <w:pPr>
              <w:shd w:val="clear" w:color="auto" w:fill="FFFFFF"/>
              <w:ind w:right="677"/>
            </w:pPr>
            <w:r w:rsidRPr="00861B41">
              <w:rPr>
                <w:color w:val="000000"/>
              </w:rPr>
              <w:t>Access Assistance</w:t>
            </w:r>
          </w:p>
        </w:tc>
        <w:tc>
          <w:tcPr>
            <w:tcW w:w="1440" w:type="dxa"/>
          </w:tcPr>
          <w:p w14:paraId="7E4688E8" w14:textId="3C7407F3" w:rsidR="000816BA" w:rsidRPr="00AA01A8" w:rsidRDefault="00981546" w:rsidP="00B02228">
            <w:pPr>
              <w:jc w:val="right"/>
            </w:pPr>
            <w:r w:rsidRPr="00AA01A8">
              <w:t>535,012</w:t>
            </w:r>
          </w:p>
        </w:tc>
        <w:tc>
          <w:tcPr>
            <w:tcW w:w="1620" w:type="dxa"/>
          </w:tcPr>
          <w:p w14:paraId="413DCF86" w14:textId="2267C92F" w:rsidR="000816BA" w:rsidRPr="00AA01A8" w:rsidRDefault="00981546" w:rsidP="00387F37">
            <w:pPr>
              <w:jc w:val="right"/>
            </w:pPr>
            <w:r w:rsidRPr="00AA01A8">
              <w:t>1,208,489</w:t>
            </w:r>
          </w:p>
        </w:tc>
        <w:tc>
          <w:tcPr>
            <w:tcW w:w="1710" w:type="dxa"/>
          </w:tcPr>
          <w:p w14:paraId="239DD5D2" w14:textId="7E5A50BB" w:rsidR="000816BA" w:rsidRPr="00AA01A8" w:rsidRDefault="00DC3B70" w:rsidP="00387F37">
            <w:pPr>
              <w:jc w:val="right"/>
            </w:pPr>
            <w:r w:rsidRPr="00AA01A8">
              <w:t>$</w:t>
            </w:r>
            <w:r w:rsidR="002863A7" w:rsidRPr="00AA01A8">
              <w:t>30,355,664</w:t>
            </w:r>
          </w:p>
        </w:tc>
        <w:tc>
          <w:tcPr>
            <w:tcW w:w="1818" w:type="dxa"/>
          </w:tcPr>
          <w:p w14:paraId="7920A470" w14:textId="69D80341" w:rsidR="000816BA" w:rsidRPr="00AA01A8" w:rsidRDefault="00DC3B70" w:rsidP="002863A7">
            <w:pPr>
              <w:jc w:val="right"/>
            </w:pPr>
            <w:r w:rsidRPr="00AA01A8">
              <w:t>$</w:t>
            </w:r>
            <w:r w:rsidR="002863A7" w:rsidRPr="00AA01A8">
              <w:t>44,631,751</w:t>
            </w:r>
          </w:p>
        </w:tc>
      </w:tr>
      <w:tr w:rsidR="005150FB" w:rsidRPr="00861B41" w14:paraId="6FBF5816" w14:textId="77777777" w:rsidTr="00DE0E25">
        <w:tc>
          <w:tcPr>
            <w:tcW w:w="2988" w:type="dxa"/>
          </w:tcPr>
          <w:p w14:paraId="71767C5C" w14:textId="77777777" w:rsidR="005150FB" w:rsidRPr="00861B41" w:rsidRDefault="005150FB" w:rsidP="00500A53">
            <w:pPr>
              <w:shd w:val="clear" w:color="auto" w:fill="FFFFFF"/>
              <w:rPr>
                <w:color w:val="000000"/>
              </w:rPr>
            </w:pPr>
            <w:r w:rsidRPr="00861B41">
              <w:rPr>
                <w:color w:val="000000"/>
              </w:rPr>
              <w:t>Self-Directed</w:t>
            </w:r>
          </w:p>
        </w:tc>
        <w:tc>
          <w:tcPr>
            <w:tcW w:w="1440" w:type="dxa"/>
          </w:tcPr>
          <w:p w14:paraId="0223A30C" w14:textId="1F01C5FB" w:rsidR="005150FB" w:rsidRPr="00AA01A8" w:rsidRDefault="00387F37" w:rsidP="00696329">
            <w:pPr>
              <w:jc w:val="right"/>
            </w:pPr>
            <w:r w:rsidRPr="00AA01A8">
              <w:t>1,141</w:t>
            </w:r>
          </w:p>
        </w:tc>
        <w:tc>
          <w:tcPr>
            <w:tcW w:w="1620" w:type="dxa"/>
            <w:shd w:val="clear" w:color="auto" w:fill="F2F2F2" w:themeFill="background1" w:themeFillShade="F2"/>
          </w:tcPr>
          <w:p w14:paraId="2C32B710" w14:textId="77777777" w:rsidR="005150FB" w:rsidRPr="00AA01A8" w:rsidRDefault="005150FB" w:rsidP="00313379">
            <w:pPr>
              <w:jc w:val="center"/>
            </w:pPr>
          </w:p>
        </w:tc>
        <w:tc>
          <w:tcPr>
            <w:tcW w:w="1710" w:type="dxa"/>
          </w:tcPr>
          <w:p w14:paraId="5D1F6D92" w14:textId="22150135" w:rsidR="005150FB" w:rsidRPr="00AA01A8" w:rsidRDefault="00DC3B70" w:rsidP="00B02228">
            <w:pPr>
              <w:jc w:val="right"/>
            </w:pPr>
            <w:r w:rsidRPr="00AA01A8">
              <w:t>$</w:t>
            </w:r>
            <w:r w:rsidR="00387F37" w:rsidRPr="00AA01A8">
              <w:t>1,192,740</w:t>
            </w:r>
          </w:p>
        </w:tc>
        <w:tc>
          <w:tcPr>
            <w:tcW w:w="1818" w:type="dxa"/>
          </w:tcPr>
          <w:p w14:paraId="455F2FF3" w14:textId="1ADC0B9F" w:rsidR="005150FB" w:rsidRPr="00AA01A8" w:rsidRDefault="00DC3B70" w:rsidP="00B02228">
            <w:pPr>
              <w:jc w:val="right"/>
            </w:pPr>
            <w:r w:rsidRPr="00AA01A8">
              <w:t>$</w:t>
            </w:r>
            <w:r w:rsidR="00387F37" w:rsidRPr="00AA01A8">
              <w:t>1,546,256</w:t>
            </w:r>
          </w:p>
        </w:tc>
      </w:tr>
      <w:tr w:rsidR="005150FB" w:rsidRPr="00861B41" w14:paraId="4A1C49F8" w14:textId="77777777" w:rsidTr="00DE0E25">
        <w:trPr>
          <w:trHeight w:val="368"/>
        </w:trPr>
        <w:tc>
          <w:tcPr>
            <w:tcW w:w="2988" w:type="dxa"/>
          </w:tcPr>
          <w:p w14:paraId="1AA349E4" w14:textId="77777777" w:rsidR="005150FB" w:rsidRPr="00861B41" w:rsidRDefault="005150FB" w:rsidP="00500A53">
            <w:pPr>
              <w:shd w:val="clear" w:color="auto" w:fill="FFFFFF"/>
              <w:rPr>
                <w:color w:val="000000"/>
              </w:rPr>
            </w:pPr>
            <w:r w:rsidRPr="00861B41">
              <w:rPr>
                <w:color w:val="000000"/>
              </w:rPr>
              <w:t>Information Services</w:t>
            </w:r>
          </w:p>
        </w:tc>
        <w:tc>
          <w:tcPr>
            <w:tcW w:w="1440" w:type="dxa"/>
          </w:tcPr>
          <w:p w14:paraId="05567A16" w14:textId="06B6A38A" w:rsidR="005150FB" w:rsidRPr="00AA01A8" w:rsidRDefault="00981546" w:rsidP="00696329">
            <w:pPr>
              <w:jc w:val="right"/>
            </w:pPr>
            <w:r w:rsidRPr="00AA01A8">
              <w:t>19,016,364</w:t>
            </w:r>
          </w:p>
        </w:tc>
        <w:tc>
          <w:tcPr>
            <w:tcW w:w="1620" w:type="dxa"/>
          </w:tcPr>
          <w:p w14:paraId="5EC8D9E0" w14:textId="27AC9144" w:rsidR="005150FB" w:rsidRPr="00AA01A8" w:rsidRDefault="00981546" w:rsidP="00B02228">
            <w:pPr>
              <w:jc w:val="right"/>
            </w:pPr>
            <w:r w:rsidRPr="00AA01A8">
              <w:t>428,607</w:t>
            </w:r>
          </w:p>
        </w:tc>
        <w:tc>
          <w:tcPr>
            <w:tcW w:w="1710" w:type="dxa"/>
          </w:tcPr>
          <w:p w14:paraId="5A5B59C3" w14:textId="224DB705" w:rsidR="005150FB" w:rsidRPr="00AA01A8" w:rsidRDefault="00DC3B70" w:rsidP="002863A7">
            <w:pPr>
              <w:jc w:val="right"/>
            </w:pPr>
            <w:r w:rsidRPr="00AA01A8">
              <w:t>$</w:t>
            </w:r>
            <w:r w:rsidR="002863A7" w:rsidRPr="00AA01A8">
              <w:t>11,280,915</w:t>
            </w:r>
          </w:p>
        </w:tc>
        <w:tc>
          <w:tcPr>
            <w:tcW w:w="1818" w:type="dxa"/>
          </w:tcPr>
          <w:p w14:paraId="05B69FC7" w14:textId="492362C7" w:rsidR="005150FB" w:rsidRPr="00AA01A8" w:rsidRDefault="00DC3B70" w:rsidP="002863A7">
            <w:pPr>
              <w:jc w:val="right"/>
            </w:pPr>
            <w:r w:rsidRPr="00AA01A8">
              <w:t>$</w:t>
            </w:r>
            <w:r w:rsidR="002863A7" w:rsidRPr="00AA01A8">
              <w:t>15,528,186</w:t>
            </w:r>
          </w:p>
        </w:tc>
      </w:tr>
      <w:tr w:rsidR="00A40C6F" w:rsidRPr="00CF01D7" w14:paraId="4931BF56" w14:textId="77777777" w:rsidTr="00DE0E25">
        <w:tc>
          <w:tcPr>
            <w:tcW w:w="2988" w:type="dxa"/>
          </w:tcPr>
          <w:p w14:paraId="3A4E7D2B" w14:textId="77777777" w:rsidR="007C2DED" w:rsidRPr="00861B41" w:rsidRDefault="007C2DED" w:rsidP="00500A53">
            <w:pPr>
              <w:shd w:val="clear" w:color="auto" w:fill="FFFFFF"/>
              <w:rPr>
                <w:color w:val="000000"/>
              </w:rPr>
            </w:pPr>
            <w:r w:rsidRPr="00861B41">
              <w:rPr>
                <w:color w:val="000000"/>
              </w:rPr>
              <w:t>Unduplicated Caregivers Provided Service or Access</w:t>
            </w:r>
          </w:p>
        </w:tc>
        <w:tc>
          <w:tcPr>
            <w:tcW w:w="1440" w:type="dxa"/>
          </w:tcPr>
          <w:p w14:paraId="4CB892B1" w14:textId="771A3098" w:rsidR="00A47668" w:rsidRPr="00AA01A8" w:rsidRDefault="001F391C" w:rsidP="00B02228">
            <w:pPr>
              <w:jc w:val="right"/>
            </w:pPr>
            <w:r w:rsidRPr="00AA01A8">
              <w:t>762,706</w:t>
            </w:r>
          </w:p>
        </w:tc>
        <w:tc>
          <w:tcPr>
            <w:tcW w:w="1620" w:type="dxa"/>
            <w:shd w:val="clear" w:color="auto" w:fill="F2F2F2" w:themeFill="background1" w:themeFillShade="F2"/>
          </w:tcPr>
          <w:p w14:paraId="5FE0706F" w14:textId="77777777" w:rsidR="007C2DED" w:rsidRPr="00AA01A8" w:rsidRDefault="007C2DED" w:rsidP="00313379">
            <w:pPr>
              <w:jc w:val="center"/>
              <w:rPr>
                <w:b/>
              </w:rPr>
            </w:pPr>
          </w:p>
        </w:tc>
        <w:tc>
          <w:tcPr>
            <w:tcW w:w="1710" w:type="dxa"/>
            <w:shd w:val="clear" w:color="auto" w:fill="F2F2F2" w:themeFill="background1" w:themeFillShade="F2"/>
          </w:tcPr>
          <w:p w14:paraId="40462DE3" w14:textId="77777777" w:rsidR="007C2DED" w:rsidRPr="00AA01A8" w:rsidRDefault="007C2DED" w:rsidP="00313379">
            <w:pPr>
              <w:jc w:val="center"/>
              <w:rPr>
                <w:b/>
              </w:rPr>
            </w:pPr>
          </w:p>
        </w:tc>
        <w:tc>
          <w:tcPr>
            <w:tcW w:w="1818" w:type="dxa"/>
            <w:shd w:val="clear" w:color="auto" w:fill="F2F2F2" w:themeFill="background1" w:themeFillShade="F2"/>
          </w:tcPr>
          <w:p w14:paraId="5F5B35F4" w14:textId="77777777" w:rsidR="007C2DED" w:rsidRPr="00AA01A8" w:rsidRDefault="007C2DED" w:rsidP="00313379">
            <w:pPr>
              <w:jc w:val="center"/>
              <w:rPr>
                <w:b/>
              </w:rPr>
            </w:pPr>
          </w:p>
        </w:tc>
      </w:tr>
    </w:tbl>
    <w:p w14:paraId="14861D16" w14:textId="77777777" w:rsidR="00F749D5" w:rsidRPr="00CF01D7" w:rsidRDefault="00F749D5" w:rsidP="00F749D5">
      <w:pPr>
        <w:shd w:val="clear" w:color="auto" w:fill="FFFFFF"/>
        <w:rPr>
          <w:b/>
          <w:bCs/>
          <w:color w:val="000000"/>
          <w:spacing w:val="-7"/>
        </w:rPr>
      </w:pPr>
    </w:p>
    <w:p w14:paraId="78169C78" w14:textId="77777777" w:rsidR="002A79C5" w:rsidRDefault="00F749D5" w:rsidP="00C21B1B">
      <w:pPr>
        <w:pStyle w:val="Heading1"/>
        <w:rPr>
          <w:szCs w:val="28"/>
        </w:rPr>
      </w:pPr>
      <w:r>
        <w:rPr>
          <w:b w:val="0"/>
          <w:bCs w:val="0"/>
          <w:color w:val="000000"/>
          <w:spacing w:val="-7"/>
        </w:rPr>
        <w:br w:type="page"/>
      </w:r>
      <w:bookmarkStart w:id="6" w:name="_Toc436738869"/>
      <w:bookmarkStart w:id="7" w:name="_Toc536443914"/>
      <w:bookmarkStart w:id="8" w:name="_Toc9929348"/>
      <w:bookmarkStart w:id="9" w:name="_Toc294712676"/>
      <w:bookmarkStart w:id="10" w:name="_Toc316405567"/>
      <w:bookmarkEnd w:id="0"/>
      <w:r w:rsidR="002A79C5" w:rsidRPr="005F68B5">
        <w:rPr>
          <w:szCs w:val="28"/>
        </w:rPr>
        <w:lastRenderedPageBreak/>
        <w:t>P</w:t>
      </w:r>
      <w:r w:rsidR="00C671AF" w:rsidRPr="005F68B5">
        <w:rPr>
          <w:szCs w:val="28"/>
        </w:rPr>
        <w:t>ART</w:t>
      </w:r>
      <w:r w:rsidR="002A79C5" w:rsidRPr="005F68B5">
        <w:rPr>
          <w:szCs w:val="28"/>
        </w:rPr>
        <w:t xml:space="preserve"> I: H</w:t>
      </w:r>
      <w:r w:rsidR="00C671AF" w:rsidRPr="005F68B5">
        <w:rPr>
          <w:szCs w:val="28"/>
        </w:rPr>
        <w:t>EALTH AND INDEPENDENCE</w:t>
      </w:r>
      <w:bookmarkEnd w:id="6"/>
      <w:bookmarkEnd w:id="7"/>
      <w:bookmarkEnd w:id="8"/>
    </w:p>
    <w:p w14:paraId="55686D44" w14:textId="77777777" w:rsidR="00C21B1B" w:rsidRDefault="00C21B1B" w:rsidP="0024200A">
      <w:pPr>
        <w:jc w:val="both"/>
      </w:pPr>
    </w:p>
    <w:p w14:paraId="167DB2BD" w14:textId="3850FE9E" w:rsidR="0024200A" w:rsidRPr="00861B41" w:rsidRDefault="0024200A" w:rsidP="0024200A">
      <w:pPr>
        <w:jc w:val="both"/>
      </w:pPr>
      <w:r w:rsidRPr="00861B41">
        <w:t>Due in part to advances in public health and medical care, Americans are living longer and more active lives</w:t>
      </w:r>
      <w:r w:rsidR="00D14992">
        <w:t xml:space="preserve">.  </w:t>
      </w:r>
      <w:r w:rsidRPr="00861B41">
        <w:t>The average life expectancy of an American has increased dramatically over the last century</w:t>
      </w:r>
      <w:r w:rsidR="009D3791" w:rsidRPr="00861B41">
        <w:t>, from 5</w:t>
      </w:r>
      <w:r w:rsidR="00C300DE">
        <w:t>0.9</w:t>
      </w:r>
      <w:r w:rsidR="009D3791" w:rsidRPr="00861B41">
        <w:t xml:space="preserve"> years in 191</w:t>
      </w:r>
      <w:r w:rsidR="00C300DE">
        <w:t>7</w:t>
      </w:r>
      <w:r w:rsidR="009D3791" w:rsidRPr="00861B41">
        <w:t xml:space="preserve"> to 78.</w:t>
      </w:r>
      <w:r w:rsidR="00BA346C" w:rsidRPr="00861B41">
        <w:t>6</w:t>
      </w:r>
      <w:r w:rsidR="009D3791" w:rsidRPr="00861B41">
        <w:t xml:space="preserve"> years in 201</w:t>
      </w:r>
      <w:r w:rsidR="00C300DE">
        <w:t>7</w:t>
      </w:r>
      <w:r w:rsidR="009D3791" w:rsidRPr="00861B41">
        <w:t>,</w:t>
      </w:r>
      <w:r w:rsidR="009D3791" w:rsidRPr="00861B41">
        <w:rPr>
          <w:rStyle w:val="FootnoteReference"/>
        </w:rPr>
        <w:footnoteReference w:id="6"/>
      </w:r>
      <w:r w:rsidR="00923CD1" w:rsidRPr="00861B41">
        <w:t xml:space="preserve"> </w:t>
      </w:r>
      <w:r w:rsidR="009D3791" w:rsidRPr="00861B41">
        <w:rPr>
          <w:rStyle w:val="FootnoteReference"/>
        </w:rPr>
        <w:footnoteReference w:id="7"/>
      </w:r>
      <w:r w:rsidR="009D3791" w:rsidRPr="00861B41">
        <w:t xml:space="preserve"> </w:t>
      </w:r>
      <w:r w:rsidRPr="00861B41">
        <w:t>and one consequence of this increased longevity is the higher incidence of chronic conditions</w:t>
      </w:r>
      <w:r w:rsidR="00D14992">
        <w:t xml:space="preserve">.  </w:t>
      </w:r>
      <w:r w:rsidRPr="00861B41">
        <w:t>Multiple chronic conditions negatively affect quality of life, contribute to declines in functioning and the ability to remain in the community, adversely impact individuals’ health, and contribute to increased hospitali</w:t>
      </w:r>
      <w:r w:rsidR="000A64BC">
        <w:t>zations and health care costs</w:t>
      </w:r>
      <w:r w:rsidR="00D14992">
        <w:t xml:space="preserve">.  </w:t>
      </w:r>
      <w:r w:rsidRPr="00861B41">
        <w:t>Many of the most common chronic conditions such as hypertension, heart disease, diabetes, and osteoporosis are related to nutrition as a primary prevention, risk re</w:t>
      </w:r>
      <w:r w:rsidR="000A64BC">
        <w:t>duction, or treatment modality</w:t>
      </w:r>
      <w:r w:rsidR="00D14992">
        <w:t xml:space="preserve">.  </w:t>
      </w:r>
      <w:r w:rsidRPr="00861B41">
        <w:t>Medicare beneficiaries with multiple chronic conditions are the heaviest</w:t>
      </w:r>
      <w:r w:rsidR="000A64BC">
        <w:t xml:space="preserve"> users of health care services</w:t>
      </w:r>
      <w:r w:rsidR="00D14992">
        <w:t xml:space="preserve">.  </w:t>
      </w:r>
      <w:r w:rsidRPr="00861B41">
        <w:t xml:space="preserve">For example, two-thirds of </w:t>
      </w:r>
      <w:r w:rsidR="001A0234" w:rsidRPr="00861B41">
        <w:t xml:space="preserve">Medicare </w:t>
      </w:r>
      <w:r w:rsidRPr="00861B41">
        <w:t xml:space="preserve">beneficiaries </w:t>
      </w:r>
      <w:r w:rsidR="001A0234" w:rsidRPr="00861B41">
        <w:t>have</w:t>
      </w:r>
      <w:r w:rsidRPr="00861B41">
        <w:t xml:space="preserve"> two or more chronic conditions </w:t>
      </w:r>
      <w:r w:rsidR="00F05D26" w:rsidRPr="00861B41">
        <w:t xml:space="preserve">and </w:t>
      </w:r>
      <w:r w:rsidRPr="00861B41">
        <w:t>account for 9</w:t>
      </w:r>
      <w:r w:rsidR="00F05D26" w:rsidRPr="00861B41">
        <w:t>4</w:t>
      </w:r>
      <w:r w:rsidRPr="00861B41">
        <w:t xml:space="preserve"> percent of Medicare spending, </w:t>
      </w:r>
      <w:r w:rsidR="000B2724">
        <w:t xml:space="preserve">and </w:t>
      </w:r>
      <w:r w:rsidR="001A0234" w:rsidRPr="00861B41">
        <w:t>those</w:t>
      </w:r>
      <w:r w:rsidRPr="00861B41">
        <w:t xml:space="preserve"> with four or more chronic conditions account for three-fourths of Medicare spending</w:t>
      </w:r>
      <w:r w:rsidR="00E84B55" w:rsidRPr="00861B41">
        <w:t>.</w:t>
      </w:r>
      <w:r w:rsidR="00E136B0" w:rsidRPr="00861B41">
        <w:rPr>
          <w:rStyle w:val="FootnoteReference"/>
        </w:rPr>
        <w:footnoteReference w:id="8"/>
      </w:r>
      <w:r w:rsidR="00EC371A">
        <w:t xml:space="preserve"> </w:t>
      </w:r>
      <w:r w:rsidR="00AD5F3F">
        <w:t>A</w:t>
      </w:r>
      <w:r w:rsidR="009D3791" w:rsidRPr="00861B41">
        <w:t>mong Medicare beneficiaries age 65 and over who are not dual</w:t>
      </w:r>
      <w:r w:rsidR="003F3AAE">
        <w:t>ly eligible</w:t>
      </w:r>
      <w:r w:rsidR="009D3791" w:rsidRPr="00861B41">
        <w:t xml:space="preserve"> (enrolled in both Medicare and Medicaid), standardized Medicare per capita spending increases from $</w:t>
      </w:r>
      <w:r w:rsidR="007E700E" w:rsidRPr="00861B41">
        <w:t>5,</w:t>
      </w:r>
      <w:r w:rsidR="00B43012">
        <w:t>342</w:t>
      </w:r>
      <w:r w:rsidR="009D3791" w:rsidRPr="00861B41">
        <w:t xml:space="preserve"> for persons with </w:t>
      </w:r>
      <w:r w:rsidR="00BB5A9C" w:rsidRPr="00861B41">
        <w:t>two</w:t>
      </w:r>
      <w:r w:rsidR="009D3791" w:rsidRPr="00861B41">
        <w:t xml:space="preserve"> to </w:t>
      </w:r>
      <w:r w:rsidR="00BB5A9C" w:rsidRPr="00861B41">
        <w:t>three</w:t>
      </w:r>
      <w:r w:rsidR="009D3791" w:rsidRPr="00861B41">
        <w:t xml:space="preserve"> chronic conditions to $</w:t>
      </w:r>
      <w:r w:rsidR="00B43012">
        <w:t>27,968</w:t>
      </w:r>
      <w:r w:rsidR="009D3791" w:rsidRPr="00861B41">
        <w:t xml:space="preserve"> for persons with </w:t>
      </w:r>
      <w:r w:rsidR="00BB5A9C" w:rsidRPr="00861B41">
        <w:t>six</w:t>
      </w:r>
      <w:r w:rsidR="009D3791" w:rsidRPr="00861B41">
        <w:t xml:space="preserve"> or more chronic conditions.</w:t>
      </w:r>
      <w:r w:rsidR="00923CD1" w:rsidRPr="00861B41">
        <w:rPr>
          <w:rStyle w:val="FootnoteReference"/>
        </w:rPr>
        <w:footnoteReference w:id="9"/>
      </w:r>
      <w:r w:rsidR="00A92216" w:rsidRPr="00861B41">
        <w:t xml:space="preserve">  </w:t>
      </w:r>
      <w:r w:rsidR="009D3791" w:rsidRPr="00861B41">
        <w:t>Among Medicare beneficiaries age 65 and over who are dual</w:t>
      </w:r>
      <w:r w:rsidR="003F3AAE">
        <w:t>ly eligible</w:t>
      </w:r>
      <w:r w:rsidR="009D3791" w:rsidRPr="00861B41">
        <w:t>, standardized Medicare per capita spending increases from $</w:t>
      </w:r>
      <w:r w:rsidR="00B43012">
        <w:t>6,874</w:t>
      </w:r>
      <w:r w:rsidR="009D3791" w:rsidRPr="00861B41">
        <w:t xml:space="preserve"> for persons with </w:t>
      </w:r>
      <w:r w:rsidR="00BB5A9C" w:rsidRPr="00861B41">
        <w:t>two</w:t>
      </w:r>
      <w:r w:rsidR="009D3791" w:rsidRPr="00861B41">
        <w:t xml:space="preserve"> to </w:t>
      </w:r>
      <w:r w:rsidR="00BB5A9C" w:rsidRPr="00861B41">
        <w:t>three</w:t>
      </w:r>
      <w:r w:rsidR="009D3791" w:rsidRPr="00861B41">
        <w:t xml:space="preserve"> conditions to $</w:t>
      </w:r>
      <w:r w:rsidR="007E700E" w:rsidRPr="00861B41">
        <w:t>3</w:t>
      </w:r>
      <w:r w:rsidR="00B43012">
        <w:t>3,774</w:t>
      </w:r>
      <w:r w:rsidR="009D3791" w:rsidRPr="00861B41">
        <w:t xml:space="preserve"> for persons with </w:t>
      </w:r>
      <w:r w:rsidR="00BB5A9C" w:rsidRPr="00861B41">
        <w:t>six</w:t>
      </w:r>
      <w:r w:rsidR="009D3791" w:rsidRPr="00861B41">
        <w:t xml:space="preserve"> or more chronic conditions.</w:t>
      </w:r>
      <w:r w:rsidR="00BB5A9C" w:rsidRPr="00861B41">
        <w:rPr>
          <w:rStyle w:val="FootnoteReference"/>
        </w:rPr>
        <w:footnoteReference w:id="10"/>
      </w:r>
    </w:p>
    <w:p w14:paraId="6F3EBBF9" w14:textId="77777777" w:rsidR="0024200A" w:rsidRPr="00861B41" w:rsidRDefault="0024200A" w:rsidP="0024200A">
      <w:pPr>
        <w:jc w:val="both"/>
      </w:pPr>
    </w:p>
    <w:p w14:paraId="54BE2BF4" w14:textId="4EBB5374" w:rsidR="002A79C5" w:rsidRPr="00861B41" w:rsidRDefault="002A79C5" w:rsidP="002A79C5">
      <w:pPr>
        <w:jc w:val="both"/>
      </w:pPr>
      <w:r w:rsidRPr="00861B41">
        <w:t xml:space="preserve">AoA’s Health and Independence </w:t>
      </w:r>
      <w:r w:rsidR="00E84B55" w:rsidRPr="00861B41">
        <w:t>p</w:t>
      </w:r>
      <w:r w:rsidRPr="00861B41">
        <w:t>rograms provide a foundation of supports that assist older individuals to remain healthy and independent in their homes and communities, avoiding more expensive nursing home care</w:t>
      </w:r>
      <w:r w:rsidR="00D14992">
        <w:t xml:space="preserve">.  </w:t>
      </w:r>
      <w:r w:rsidRPr="00861B41">
        <w:t xml:space="preserve">For example, </w:t>
      </w:r>
      <w:r w:rsidR="00B23B40" w:rsidRPr="00861B41">
        <w:t>6</w:t>
      </w:r>
      <w:r w:rsidR="003612C1" w:rsidRPr="00861B41">
        <w:t>5</w:t>
      </w:r>
      <w:r w:rsidR="00B23B40" w:rsidRPr="00861B41">
        <w:t xml:space="preserve"> </w:t>
      </w:r>
      <w:r w:rsidRPr="00861B41">
        <w:t xml:space="preserve">percent of congregate and </w:t>
      </w:r>
      <w:r w:rsidR="00421EB5" w:rsidRPr="00861B41">
        <w:t>9</w:t>
      </w:r>
      <w:r w:rsidR="00CA672B">
        <w:t>4</w:t>
      </w:r>
      <w:r w:rsidR="00B23B40" w:rsidRPr="00861B41">
        <w:t xml:space="preserve"> </w:t>
      </w:r>
      <w:r w:rsidRPr="00861B41">
        <w:t xml:space="preserve">percent of home-delivered meal recipients reported that the meals enabled them to continue living in their own homes and </w:t>
      </w:r>
      <w:r w:rsidR="00CA672B">
        <w:t>60</w:t>
      </w:r>
      <w:r w:rsidR="00664D4B">
        <w:t xml:space="preserve"> </w:t>
      </w:r>
      <w:r w:rsidRPr="00861B41">
        <w:t>percent of seniors using transportation services rely on them for the majority of their trips to doctors’ offices, pharmacies, meal sites, and other critical daily activities that help them to remain in the community.</w:t>
      </w:r>
      <w:r w:rsidRPr="00861B41">
        <w:rPr>
          <w:rStyle w:val="FootnoteReference"/>
        </w:rPr>
        <w:footnoteReference w:id="11"/>
      </w:r>
    </w:p>
    <w:p w14:paraId="1EA90A15" w14:textId="77777777" w:rsidR="002A79C5" w:rsidRPr="00861B41" w:rsidRDefault="002A79C5" w:rsidP="002A79C5">
      <w:pPr>
        <w:jc w:val="both"/>
      </w:pPr>
    </w:p>
    <w:p w14:paraId="55F48452" w14:textId="7AE667D5" w:rsidR="002A79C5" w:rsidRPr="00861B41" w:rsidRDefault="00D80D08" w:rsidP="002A79C5">
      <w:pPr>
        <w:jc w:val="both"/>
      </w:pPr>
      <w:r w:rsidRPr="00861B41">
        <w:t>Between</w:t>
      </w:r>
      <w:r w:rsidR="002A79C5" w:rsidRPr="00861B41">
        <w:t xml:space="preserve"> 201</w:t>
      </w:r>
      <w:r w:rsidR="00A361B3">
        <w:t>7</w:t>
      </w:r>
      <w:r w:rsidR="002A79C5" w:rsidRPr="00861B41">
        <w:t xml:space="preserve"> </w:t>
      </w:r>
      <w:r w:rsidRPr="00861B41">
        <w:t>and</w:t>
      </w:r>
      <w:r w:rsidR="001B00DA" w:rsidRPr="00861B41">
        <w:t xml:space="preserve"> 2020</w:t>
      </w:r>
      <w:r w:rsidR="002A79C5" w:rsidRPr="00861B41">
        <w:t xml:space="preserve">, the number of Americans age 60 and older will increase by </w:t>
      </w:r>
      <w:r w:rsidR="00E04CE6" w:rsidRPr="00861B41">
        <w:t>over</w:t>
      </w:r>
      <w:r w:rsidRPr="00861B41">
        <w:t xml:space="preserve"> </w:t>
      </w:r>
      <w:r w:rsidR="00346D42">
        <w:t>6.2</w:t>
      </w:r>
      <w:r w:rsidR="006B3AB4" w:rsidRPr="00861B41">
        <w:t xml:space="preserve"> </w:t>
      </w:r>
      <w:r w:rsidRPr="00861B41">
        <w:t>million older adults, to reach</w:t>
      </w:r>
      <w:r w:rsidR="002A79C5" w:rsidRPr="00861B41">
        <w:t xml:space="preserve"> </w:t>
      </w:r>
      <w:r w:rsidR="00B23B40" w:rsidRPr="00861B41">
        <w:t>77.</w:t>
      </w:r>
      <w:r w:rsidR="00A361B3">
        <w:t>1</w:t>
      </w:r>
      <w:r w:rsidR="00B23B40" w:rsidRPr="00861B41">
        <w:t xml:space="preserve"> </w:t>
      </w:r>
      <w:r w:rsidR="002A79C5" w:rsidRPr="00861B41">
        <w:t>million.</w:t>
      </w:r>
      <w:r w:rsidR="002A79C5" w:rsidRPr="00861B41">
        <w:rPr>
          <w:rStyle w:val="FootnoteReference"/>
        </w:rPr>
        <w:footnoteReference w:id="12"/>
      </w:r>
      <w:r w:rsidR="002A79C5" w:rsidRPr="00861B41">
        <w:t xml:space="preserve"> During this period, the number of </w:t>
      </w:r>
      <w:r w:rsidR="00A17EAC" w:rsidRPr="00861B41">
        <w:t>Americans</w:t>
      </w:r>
      <w:r w:rsidR="002A79C5" w:rsidRPr="00861B41">
        <w:t xml:space="preserve"> </w:t>
      </w:r>
      <w:r w:rsidRPr="00861B41">
        <w:t xml:space="preserve">age 65 </w:t>
      </w:r>
      <w:r w:rsidRPr="00861B41">
        <w:lastRenderedPageBreak/>
        <w:t xml:space="preserve">and over </w:t>
      </w:r>
      <w:r w:rsidR="002A79C5" w:rsidRPr="00861B41">
        <w:t xml:space="preserve">with severe disabilities (defined as </w:t>
      </w:r>
      <w:r w:rsidR="00E84B55" w:rsidRPr="00861B41">
        <w:t>three</w:t>
      </w:r>
      <w:r w:rsidR="002A79C5" w:rsidRPr="00861B41">
        <w:t xml:space="preserve"> or more limitations in activities of daily living) who are </w:t>
      </w:r>
      <w:r w:rsidR="00A17EAC" w:rsidRPr="00861B41">
        <w:t>most likely to receive</w:t>
      </w:r>
      <w:r w:rsidR="002A79C5" w:rsidRPr="00861B41">
        <w:t xml:space="preserve"> nursing home admission and </w:t>
      </w:r>
      <w:r w:rsidR="00A17EAC" w:rsidRPr="00861B41">
        <w:t xml:space="preserve">qualify for </w:t>
      </w:r>
      <w:r w:rsidR="002A79C5" w:rsidRPr="00861B41">
        <w:t xml:space="preserve">Medicaid eligibility (through the “spend down” provisions) </w:t>
      </w:r>
      <w:r w:rsidR="00962AD0">
        <w:t>is expected to</w:t>
      </w:r>
      <w:r w:rsidR="002A79C5" w:rsidRPr="00861B41">
        <w:t xml:space="preserve"> increase by </w:t>
      </w:r>
      <w:r w:rsidR="00674788" w:rsidRPr="00861B41">
        <w:t>1</w:t>
      </w:r>
      <w:r w:rsidR="00962AD0">
        <w:t>0</w:t>
      </w:r>
      <w:r w:rsidR="00674788" w:rsidRPr="00861B41">
        <w:t xml:space="preserve"> </w:t>
      </w:r>
      <w:r w:rsidR="002A79C5" w:rsidRPr="00861B41">
        <w:t>percent.</w:t>
      </w:r>
      <w:r w:rsidR="002A79C5" w:rsidRPr="00861B41">
        <w:rPr>
          <w:rStyle w:val="FootnoteReference"/>
        </w:rPr>
        <w:footnoteReference w:id="13"/>
      </w:r>
      <w:r w:rsidR="00A92216">
        <w:t xml:space="preserve">  </w:t>
      </w:r>
      <w:r w:rsidR="008F6A94" w:rsidRPr="00861B41">
        <w:t>AoA’s Health and Independence</w:t>
      </w:r>
      <w:r w:rsidR="002A79C5" w:rsidRPr="00861B41">
        <w:t xml:space="preserve"> programs help </w:t>
      </w:r>
      <w:r w:rsidR="00A17EAC" w:rsidRPr="00861B41">
        <w:t>older adults</w:t>
      </w:r>
      <w:r w:rsidR="002A79C5" w:rsidRPr="00861B41">
        <w:t xml:space="preserve"> in need maintain their health and independence.</w:t>
      </w:r>
    </w:p>
    <w:p w14:paraId="20851C93" w14:textId="77777777" w:rsidR="002A79C5" w:rsidRPr="00861B41" w:rsidRDefault="002A79C5" w:rsidP="002A79C5">
      <w:pPr>
        <w:jc w:val="both"/>
      </w:pPr>
    </w:p>
    <w:p w14:paraId="550C4411" w14:textId="074F423E" w:rsidR="005D195F" w:rsidRPr="00266585" w:rsidRDefault="002A79C5" w:rsidP="002A79C5">
      <w:pPr>
        <w:jc w:val="both"/>
      </w:pPr>
      <w:r w:rsidRPr="00861B41">
        <w:t xml:space="preserve">In concert with other OAA programs, these services </w:t>
      </w:r>
      <w:r w:rsidRPr="00640ED9">
        <w:t xml:space="preserve">assist </w:t>
      </w:r>
      <w:r w:rsidR="00DC1EDA">
        <w:t xml:space="preserve">over </w:t>
      </w:r>
      <w:r w:rsidR="0035111A" w:rsidRPr="001F391C">
        <w:t>1</w:t>
      </w:r>
      <w:r w:rsidR="00DC1EDA">
        <w:t>1</w:t>
      </w:r>
      <w:r w:rsidRPr="001F391C">
        <w:t xml:space="preserve"> million </w:t>
      </w:r>
      <w:r w:rsidR="00CA672B" w:rsidRPr="001F391C">
        <w:t>older</w:t>
      </w:r>
      <w:r w:rsidRPr="00861B41">
        <w:t xml:space="preserve"> individuals and caregivers</w:t>
      </w:r>
      <w:r w:rsidR="000B0EB1" w:rsidRPr="00861B41">
        <w:t>.</w:t>
      </w:r>
      <w:r w:rsidR="00B71114" w:rsidRPr="00861B41">
        <w:rPr>
          <w:rStyle w:val="FootnoteReference"/>
        </w:rPr>
        <w:footnoteReference w:id="14"/>
      </w:r>
      <w:r w:rsidRPr="00861B41">
        <w:t xml:space="preserve">  AoA’s services are especially critical for the nearly three million </w:t>
      </w:r>
      <w:r w:rsidR="00A17EAC" w:rsidRPr="00861B41">
        <w:t>older adults</w:t>
      </w:r>
      <w:r w:rsidRPr="00861B41">
        <w:t xml:space="preserve"> who receive intensive in-home services, </w:t>
      </w:r>
      <w:r w:rsidR="00E136B0" w:rsidRPr="00861B41">
        <w:t xml:space="preserve">more than </w:t>
      </w:r>
      <w:r w:rsidR="0011337E">
        <w:t xml:space="preserve">488,000 </w:t>
      </w:r>
      <w:r w:rsidRPr="00861B41">
        <w:t xml:space="preserve">of whom meet the disability criteria </w:t>
      </w:r>
      <w:r w:rsidR="00487731" w:rsidRPr="00861B41">
        <w:t>for nursing home admission</w:t>
      </w:r>
      <w:r w:rsidR="00CF5DC9">
        <w:t>.</w:t>
      </w:r>
      <w:r w:rsidR="009D6902" w:rsidRPr="00861B41">
        <w:rPr>
          <w:rStyle w:val="FootnoteReference"/>
        </w:rPr>
        <w:footnoteReference w:id="15"/>
      </w:r>
      <w:r w:rsidR="00A92216">
        <w:t xml:space="preserve">  </w:t>
      </w:r>
      <w:r w:rsidR="00487731" w:rsidRPr="00861B41">
        <w:t>These services help to keep thes</w:t>
      </w:r>
      <w:r w:rsidR="005D195F" w:rsidRPr="00861B41">
        <w:t>e</w:t>
      </w:r>
      <w:r w:rsidR="00487731" w:rsidRPr="00861B41">
        <w:t xml:space="preserve"> individuals from joining the 1.</w:t>
      </w:r>
      <w:r w:rsidR="009C6F19">
        <w:t>7</w:t>
      </w:r>
      <w:r w:rsidR="00487731" w:rsidRPr="00861B41">
        <w:t xml:space="preserve"> million older adult residents who live for extended periods of time in nursing homes.</w:t>
      </w:r>
      <w:r w:rsidR="002C22D7" w:rsidRPr="00861B41">
        <w:rPr>
          <w:rStyle w:val="FootnoteReference"/>
        </w:rPr>
        <w:footnoteReference w:id="16"/>
      </w:r>
      <w:r w:rsidR="002C22D7" w:rsidRPr="00AE5090">
        <w:t xml:space="preserve"> </w:t>
      </w:r>
    </w:p>
    <w:p w14:paraId="6656823D" w14:textId="77777777" w:rsidR="008733D0" w:rsidRPr="002A597E" w:rsidRDefault="008733D0" w:rsidP="002A79C5">
      <w:pPr>
        <w:jc w:val="both"/>
        <w:rPr>
          <w:sz w:val="28"/>
          <w:szCs w:val="28"/>
        </w:rPr>
      </w:pPr>
    </w:p>
    <w:p w14:paraId="529C2720" w14:textId="77777777" w:rsidR="00BB6A94" w:rsidRPr="00C671AF" w:rsidRDefault="00BB6A94" w:rsidP="00916C9D">
      <w:pPr>
        <w:pStyle w:val="Heading2"/>
      </w:pPr>
      <w:bookmarkStart w:id="11" w:name="_Toc436738870"/>
      <w:bookmarkStart w:id="12" w:name="_Toc536443915"/>
      <w:bookmarkStart w:id="13" w:name="_Toc9929349"/>
      <w:bookmarkStart w:id="14" w:name="_Toc284574137"/>
      <w:bookmarkStart w:id="15" w:name="_Toc284575774"/>
      <w:bookmarkEnd w:id="9"/>
      <w:bookmarkEnd w:id="10"/>
      <w:r w:rsidRPr="003B45F7">
        <w:t>Home and Community-Based Supportive Services</w:t>
      </w:r>
      <w:bookmarkEnd w:id="11"/>
      <w:bookmarkEnd w:id="12"/>
      <w:bookmarkEnd w:id="13"/>
    </w:p>
    <w:p w14:paraId="4B95E67E" w14:textId="06AD01BE" w:rsidR="00BB6A94" w:rsidRPr="00E053B9" w:rsidRDefault="00BB6A94" w:rsidP="00BB6A94">
      <w:pPr>
        <w:jc w:val="center"/>
        <w:rPr>
          <w:b/>
          <w:i/>
        </w:rPr>
      </w:pPr>
      <w:r w:rsidRPr="00E053B9">
        <w:rPr>
          <w:b/>
          <w:i/>
        </w:rPr>
        <w:t>(Title III-B of OAA; FY 201</w:t>
      </w:r>
      <w:r w:rsidR="00C31FE1">
        <w:rPr>
          <w:b/>
          <w:i/>
        </w:rPr>
        <w:t>7</w:t>
      </w:r>
      <w:r w:rsidRPr="00E053B9">
        <w:rPr>
          <w:b/>
          <w:i/>
        </w:rPr>
        <w:t>:</w:t>
      </w:r>
      <w:r w:rsidR="00940CE2" w:rsidRPr="00E053B9">
        <w:rPr>
          <w:b/>
          <w:i/>
        </w:rPr>
        <w:t xml:space="preserve"> </w:t>
      </w:r>
      <w:r w:rsidR="003861F0">
        <w:rPr>
          <w:b/>
          <w:i/>
        </w:rPr>
        <w:t>$386,182</w:t>
      </w:r>
      <w:r w:rsidR="00B90FC4" w:rsidRPr="00E053B9">
        <w:rPr>
          <w:b/>
          <w:i/>
        </w:rPr>
        <w:t>,000)</w:t>
      </w:r>
    </w:p>
    <w:p w14:paraId="50B850E1" w14:textId="77777777" w:rsidR="00C671AF" w:rsidRDefault="00C671AF" w:rsidP="00BB6A94">
      <w:pPr>
        <w:contextualSpacing/>
        <w:jc w:val="both"/>
        <w:rPr>
          <w:iCs/>
        </w:rPr>
      </w:pPr>
    </w:p>
    <w:p w14:paraId="4A03B129" w14:textId="362898DC" w:rsidR="002834FD" w:rsidRPr="0004723E" w:rsidRDefault="002834FD" w:rsidP="002834FD">
      <w:pPr>
        <w:contextualSpacing/>
        <w:jc w:val="both"/>
      </w:pPr>
      <w:r w:rsidRPr="0004723E">
        <w:rPr>
          <w:iCs/>
        </w:rPr>
        <w:t>The Home and Community-Based Supportive Services (HCBS</w:t>
      </w:r>
      <w:r w:rsidR="00D366CE">
        <w:rPr>
          <w:iCs/>
        </w:rPr>
        <w:t>S</w:t>
      </w:r>
      <w:r w:rsidRPr="0004723E">
        <w:rPr>
          <w:iCs/>
        </w:rPr>
        <w:t>) program, established in 1973, provides</w:t>
      </w:r>
      <w:r w:rsidRPr="0004723E">
        <w:t xml:space="preserve"> grants to </w:t>
      </w:r>
      <w:r>
        <w:t>s</w:t>
      </w:r>
      <w:r w:rsidRPr="0004723E">
        <w:t xml:space="preserve">tates and </w:t>
      </w:r>
      <w:r>
        <w:t>t</w:t>
      </w:r>
      <w:r w:rsidRPr="0004723E">
        <w:t>erritories based on their share of the population age 60 and over to fund a broad array of services</w:t>
      </w:r>
      <w:r w:rsidR="001B2DC3">
        <w:t xml:space="preserve">. </w:t>
      </w:r>
      <w:r>
        <w:t>AoA’s programs</w:t>
      </w:r>
      <w:r w:rsidRPr="0004723E">
        <w:t xml:space="preserve">, </w:t>
      </w:r>
      <w:r>
        <w:t>including</w:t>
      </w:r>
      <w:r w:rsidRPr="0004723E">
        <w:t xml:space="preserve"> the HCBS</w:t>
      </w:r>
      <w:r w:rsidR="00D366CE">
        <w:t>S</w:t>
      </w:r>
      <w:r w:rsidRPr="0004723E">
        <w:t xml:space="preserve"> program, serve seniors holistically</w:t>
      </w:r>
      <w:r w:rsidR="007B634A">
        <w:t>:</w:t>
      </w:r>
      <w:r w:rsidR="007B634A" w:rsidRPr="0004723E">
        <w:t xml:space="preserve"> </w:t>
      </w:r>
      <w:r w:rsidRPr="0004723E">
        <w:t xml:space="preserve">while each service is valuable in and of itself, it is often the combination of supports, when tailored </w:t>
      </w:r>
      <w:r>
        <w:t>to the needs of the individual</w:t>
      </w:r>
      <w:r w:rsidR="00943E59">
        <w:t xml:space="preserve"> </w:t>
      </w:r>
      <w:r w:rsidRPr="0004723E">
        <w:t xml:space="preserve">that </w:t>
      </w:r>
      <w:r w:rsidR="008F6A94">
        <w:t>helps</w:t>
      </w:r>
      <w:r w:rsidRPr="0004723E">
        <w:t xml:space="preserve"> </w:t>
      </w:r>
      <w:r w:rsidR="000D7A0B">
        <w:t>older persons</w:t>
      </w:r>
      <w:r w:rsidRPr="0004723E">
        <w:t xml:space="preserve"> remain in their own homes and communities instead of entering nursing homes</w:t>
      </w:r>
      <w:r>
        <w:t xml:space="preserve"> or other types of institutional care</w:t>
      </w:r>
      <w:r w:rsidRPr="0004723E">
        <w:t>.</w:t>
      </w:r>
      <w:r w:rsidR="008F6A94">
        <w:rPr>
          <w:rStyle w:val="FootnoteReference"/>
        </w:rPr>
        <w:footnoteReference w:id="17"/>
      </w:r>
      <w:r w:rsidRPr="0004723E">
        <w:t xml:space="preserve">  </w:t>
      </w:r>
    </w:p>
    <w:p w14:paraId="0AB0618B" w14:textId="77777777" w:rsidR="00B777A3" w:rsidRDefault="00B777A3" w:rsidP="007B7698">
      <w:pPr>
        <w:jc w:val="both"/>
      </w:pPr>
    </w:p>
    <w:p w14:paraId="2B9AB756" w14:textId="1CD78FF6" w:rsidR="002834FD" w:rsidRDefault="002834FD" w:rsidP="00322BB5">
      <w:pPr>
        <w:jc w:val="both"/>
      </w:pPr>
      <w:r w:rsidRPr="0004723E">
        <w:t>The services provided through the HCBS</w:t>
      </w:r>
      <w:r w:rsidR="00D366CE">
        <w:t>S</w:t>
      </w:r>
      <w:r w:rsidRPr="0004723E">
        <w:t xml:space="preserve"> program include </w:t>
      </w:r>
      <w:r>
        <w:t xml:space="preserve">access services such as </w:t>
      </w:r>
      <w:r w:rsidRPr="0004723E">
        <w:t>transportation; case management</w:t>
      </w:r>
      <w:r>
        <w:t xml:space="preserve"> and</w:t>
      </w:r>
      <w:r w:rsidRPr="0004723E">
        <w:t xml:space="preserve"> information and referral; in-home services such as personal care, chore, and homemaker assistance; and community services such as adult day care</w:t>
      </w:r>
      <w:r>
        <w:t xml:space="preserve"> and </w:t>
      </w:r>
      <w:r w:rsidR="00B04061">
        <w:t>physical fitness programs</w:t>
      </w:r>
      <w:r w:rsidR="00D14992">
        <w:t xml:space="preserve">.  </w:t>
      </w:r>
      <w:r w:rsidRPr="00861B41">
        <w:t>In addition to these services, the HCBS</w:t>
      </w:r>
      <w:r w:rsidR="00D366CE" w:rsidRPr="00861B41">
        <w:t>S</w:t>
      </w:r>
      <w:r w:rsidRPr="00861B41">
        <w:t xml:space="preserve"> program also funds multi-purpose senior centers, which coordinate and integrate services for </w:t>
      </w:r>
      <w:r w:rsidR="00CA672B">
        <w:t>older adults</w:t>
      </w:r>
      <w:r w:rsidRPr="00861B41">
        <w:t>.</w:t>
      </w:r>
    </w:p>
    <w:p w14:paraId="4FD570B8" w14:textId="77777777" w:rsidR="00322BB5" w:rsidRPr="00861B41" w:rsidRDefault="00322BB5" w:rsidP="00322BB5">
      <w:pPr>
        <w:jc w:val="both"/>
      </w:pPr>
    </w:p>
    <w:p w14:paraId="69782DAA" w14:textId="7B71E569" w:rsidR="002834FD" w:rsidRPr="00861B41" w:rsidRDefault="002834FD" w:rsidP="002834FD">
      <w:pPr>
        <w:contextualSpacing/>
        <w:jc w:val="both"/>
      </w:pPr>
      <w:r w:rsidRPr="00861B41">
        <w:t xml:space="preserve">While age alone does not determine the need for these </w:t>
      </w:r>
      <w:r w:rsidR="00A17EAC" w:rsidRPr="00861B41">
        <w:t>home and community-based services</w:t>
      </w:r>
      <w:r w:rsidRPr="00861B41">
        <w:t>, statistics show that both disability rates and the use of long-term suppor</w:t>
      </w:r>
      <w:r w:rsidR="00B04061">
        <w:t>ts increase with advancing age</w:t>
      </w:r>
      <w:r w:rsidR="001B2DC3">
        <w:t xml:space="preserve">. </w:t>
      </w:r>
      <w:r w:rsidRPr="00861B41">
        <w:t>A</w:t>
      </w:r>
      <w:r w:rsidR="001B00DA" w:rsidRPr="00861B41">
        <w:t xml:space="preserve">mong those aged 85 and older, </w:t>
      </w:r>
      <w:r w:rsidR="00D73E8A" w:rsidRPr="00861B41">
        <w:t>5</w:t>
      </w:r>
      <w:r w:rsidR="009C10E3">
        <w:t>4</w:t>
      </w:r>
      <w:r w:rsidR="0030641D" w:rsidRPr="00861B41">
        <w:t> </w:t>
      </w:r>
      <w:r w:rsidRPr="00861B41">
        <w:t>percent are unable to perform critical activities of daily living and require long-term supp</w:t>
      </w:r>
      <w:r w:rsidR="001B00DA" w:rsidRPr="00861B41">
        <w:t>ort</w:t>
      </w:r>
      <w:r w:rsidR="00F816E3" w:rsidRPr="00861B41">
        <w:t>.</w:t>
      </w:r>
      <w:r w:rsidR="00E74A96" w:rsidRPr="00861B41">
        <w:rPr>
          <w:rStyle w:val="FootnoteReference"/>
        </w:rPr>
        <w:footnoteReference w:id="18"/>
      </w:r>
      <w:r w:rsidR="00322BB5">
        <w:t xml:space="preserve">  </w:t>
      </w:r>
      <w:r w:rsidR="001B00DA" w:rsidRPr="00861B41">
        <w:t>Data also show that over 9</w:t>
      </w:r>
      <w:r w:rsidR="009C10E3">
        <w:t>1</w:t>
      </w:r>
      <w:r w:rsidRPr="00861B41">
        <w:t xml:space="preserve"> percent of </w:t>
      </w:r>
      <w:r w:rsidR="000B0EB1" w:rsidRPr="00861B41">
        <w:t>older Americans</w:t>
      </w:r>
      <w:r w:rsidRPr="00861B41">
        <w:t xml:space="preserve"> have at le</w:t>
      </w:r>
      <w:r w:rsidR="001B00DA" w:rsidRPr="00861B41">
        <w:t>ast one chronic co</w:t>
      </w:r>
      <w:r w:rsidR="00CE5F52" w:rsidRPr="00861B41">
        <w:t xml:space="preserve">ndition and </w:t>
      </w:r>
      <w:r w:rsidR="00AD5F3F">
        <w:t>approximately two-thirds</w:t>
      </w:r>
      <w:r w:rsidRPr="00861B41">
        <w:t> percent have at least two.</w:t>
      </w:r>
      <w:r w:rsidRPr="00861B41">
        <w:rPr>
          <w:rStyle w:val="FootnoteReference"/>
        </w:rPr>
        <w:footnoteReference w:id="19"/>
      </w:r>
      <w:r w:rsidRPr="00861B41">
        <w:t xml:space="preserve">  Providing a variety of supportive services that meet the diverse needs of these older individuals is crucial to enabling them to </w:t>
      </w:r>
      <w:r w:rsidR="00A17EAC" w:rsidRPr="00861B41">
        <w:t xml:space="preserve">choose to </w:t>
      </w:r>
      <w:r w:rsidRPr="00861B41">
        <w:t xml:space="preserve">remain healthy and independent in their homes and </w:t>
      </w:r>
      <w:r w:rsidRPr="00861B41">
        <w:lastRenderedPageBreak/>
        <w:t>communities, and therefore to avoiding unnecessary, expensive nursing home care</w:t>
      </w:r>
      <w:r w:rsidR="00A17EAC" w:rsidRPr="00861B41">
        <w:t xml:space="preserve"> that is often publicly financed</w:t>
      </w:r>
      <w:r w:rsidR="00D14992">
        <w:t xml:space="preserve">.  </w:t>
      </w:r>
      <w:r w:rsidR="00A17EAC" w:rsidRPr="00861B41">
        <w:t>In light of limited long-term coverage under Medicare and constrictions in the long-term care insurance market, many Americans with few resources will continue to rely on Medicaid to furnish their long-term care</w:t>
      </w:r>
      <w:r w:rsidR="00D14992">
        <w:t xml:space="preserve">.  </w:t>
      </w:r>
      <w:r w:rsidR="00A17EAC" w:rsidRPr="00861B41">
        <w:t xml:space="preserve">Supporting less costly community-based options is a critical function of government and will continue to be an important tool in managing </w:t>
      </w:r>
      <w:r w:rsidR="008558B3">
        <w:t>f</w:t>
      </w:r>
      <w:r w:rsidR="00A17EAC" w:rsidRPr="00861B41">
        <w:t>ederal expenditures</w:t>
      </w:r>
      <w:r w:rsidR="00761EBB">
        <w:t xml:space="preserve">. </w:t>
      </w:r>
    </w:p>
    <w:p w14:paraId="427CC147" w14:textId="77777777" w:rsidR="002834FD" w:rsidRPr="00861B41" w:rsidRDefault="002834FD" w:rsidP="002834FD">
      <w:pPr>
        <w:contextualSpacing/>
        <w:jc w:val="both"/>
      </w:pPr>
    </w:p>
    <w:p w14:paraId="470F978F" w14:textId="711035A2" w:rsidR="002834FD" w:rsidRPr="00861B41" w:rsidRDefault="002834FD" w:rsidP="002834FD">
      <w:pPr>
        <w:contextualSpacing/>
        <w:jc w:val="both"/>
      </w:pPr>
      <w:r w:rsidRPr="00861B41">
        <w:t>Services provided by the HCBS</w:t>
      </w:r>
      <w:r w:rsidR="00B777A3" w:rsidRPr="00861B41">
        <w:t>S</w:t>
      </w:r>
      <w:r w:rsidRPr="00861B41">
        <w:t xml:space="preserve"> program in FY </w:t>
      </w:r>
      <w:r w:rsidR="006F23C4" w:rsidRPr="00861B41">
        <w:t>201</w:t>
      </w:r>
      <w:r w:rsidR="00C31FE1">
        <w:t>7</w:t>
      </w:r>
      <w:r w:rsidR="006F23C4" w:rsidRPr="00861B41">
        <w:t xml:space="preserve"> </w:t>
      </w:r>
      <w:r w:rsidRPr="00861B41">
        <w:t>include:</w:t>
      </w:r>
      <w:r w:rsidR="002803CB" w:rsidRPr="00861B41">
        <w:rPr>
          <w:rStyle w:val="FootnoteReference"/>
        </w:rPr>
        <w:footnoteReference w:id="20"/>
      </w:r>
      <w:r w:rsidRPr="00861B41">
        <w:t xml:space="preserve"> </w:t>
      </w:r>
    </w:p>
    <w:p w14:paraId="3C362FD4" w14:textId="77777777" w:rsidR="002834FD" w:rsidRPr="00861B41" w:rsidRDefault="002834FD" w:rsidP="002834FD">
      <w:pPr>
        <w:contextualSpacing/>
        <w:jc w:val="both"/>
      </w:pPr>
    </w:p>
    <w:p w14:paraId="05D59A8E" w14:textId="45609C6E" w:rsidR="002834FD" w:rsidRPr="00861B41" w:rsidRDefault="002834FD" w:rsidP="002834FD">
      <w:pPr>
        <w:pBdr>
          <w:top w:val="single" w:sz="6" w:space="0" w:color="FFFFFF"/>
          <w:left w:val="single" w:sz="6" w:space="0" w:color="FFFFFF"/>
          <w:bottom w:val="single" w:sz="6" w:space="0" w:color="FFFFFF"/>
          <w:right w:val="single" w:sz="6" w:space="2" w:color="FFFFFF"/>
        </w:pBdr>
        <w:contextualSpacing/>
        <w:jc w:val="both"/>
      </w:pPr>
      <w:r w:rsidRPr="00861B41">
        <w:rPr>
          <w:i/>
        </w:rPr>
        <w:t>Transportation Services</w:t>
      </w:r>
      <w:r w:rsidRPr="00861B41">
        <w:t xml:space="preserve"> provided </w:t>
      </w:r>
      <w:r w:rsidR="006F23C4" w:rsidRPr="00861B41">
        <w:t>2</w:t>
      </w:r>
      <w:r w:rsidR="00640ED9">
        <w:t>1.8</w:t>
      </w:r>
      <w:r w:rsidR="00633F18" w:rsidRPr="00861B41">
        <w:t xml:space="preserve"> </w:t>
      </w:r>
      <w:r w:rsidRPr="00861B41">
        <w:t>million rides to doctor’s offices, grocery stores, pharmacies, senior centers, meal sites, and other critical daily activities</w:t>
      </w:r>
      <w:r w:rsidR="00761EBB">
        <w:t xml:space="preserve">. </w:t>
      </w:r>
    </w:p>
    <w:p w14:paraId="6E96F873" w14:textId="77777777" w:rsidR="002834FD" w:rsidRPr="00861B41" w:rsidRDefault="002834FD" w:rsidP="002834FD">
      <w:pPr>
        <w:pBdr>
          <w:top w:val="single" w:sz="6" w:space="0" w:color="FFFFFF"/>
          <w:left w:val="single" w:sz="6" w:space="0" w:color="FFFFFF"/>
          <w:bottom w:val="single" w:sz="6" w:space="0" w:color="FFFFFF"/>
          <w:right w:val="single" w:sz="6" w:space="2" w:color="FFFFFF"/>
        </w:pBdr>
        <w:contextualSpacing/>
        <w:jc w:val="both"/>
      </w:pPr>
    </w:p>
    <w:p w14:paraId="30C63CD4" w14:textId="265E016D" w:rsidR="002834FD" w:rsidRPr="00861B41" w:rsidRDefault="002834FD" w:rsidP="002834FD">
      <w:pPr>
        <w:contextualSpacing/>
        <w:jc w:val="both"/>
        <w:rPr>
          <w:spacing w:val="-2"/>
        </w:rPr>
      </w:pPr>
      <w:r w:rsidRPr="00861B41">
        <w:rPr>
          <w:i/>
          <w:spacing w:val="-2"/>
        </w:rPr>
        <w:t>Personal Care, Homemaker, and Chore Services</w:t>
      </w:r>
      <w:r w:rsidRPr="00861B41">
        <w:rPr>
          <w:spacing w:val="-2"/>
        </w:rPr>
        <w:t xml:space="preserve"> provided </w:t>
      </w:r>
      <w:r w:rsidR="00D73E8A" w:rsidRPr="00861B41">
        <w:rPr>
          <w:spacing w:val="-2"/>
        </w:rPr>
        <w:t xml:space="preserve">nearly </w:t>
      </w:r>
      <w:r w:rsidR="008B2B8C" w:rsidRPr="00861B41">
        <w:rPr>
          <w:spacing w:val="-2"/>
        </w:rPr>
        <w:t>4</w:t>
      </w:r>
      <w:r w:rsidR="00640ED9">
        <w:rPr>
          <w:spacing w:val="-2"/>
        </w:rPr>
        <w:t>2.4</w:t>
      </w:r>
      <w:r w:rsidRPr="00861B41">
        <w:rPr>
          <w:spacing w:val="-2"/>
        </w:rPr>
        <w:t xml:space="preserve"> million hours of assistance to </w:t>
      </w:r>
      <w:r w:rsidR="00A17EAC" w:rsidRPr="00861B41">
        <w:rPr>
          <w:spacing w:val="-2"/>
        </w:rPr>
        <w:t>older adults</w:t>
      </w:r>
      <w:r w:rsidRPr="00861B41">
        <w:rPr>
          <w:spacing w:val="-2"/>
        </w:rPr>
        <w:t xml:space="preserve"> unable to perform activities of daily living (such as eating, dressing, or bathing) or instrumental activities of daily living (such as shopping or light housework).</w:t>
      </w:r>
    </w:p>
    <w:p w14:paraId="40185DF8" w14:textId="77777777" w:rsidR="00FD5B4E" w:rsidRPr="00861B41" w:rsidRDefault="00FD5B4E" w:rsidP="00FD5B4E">
      <w:pPr>
        <w:pBdr>
          <w:top w:val="single" w:sz="6" w:space="0" w:color="FFFFFF"/>
          <w:left w:val="single" w:sz="6" w:space="0" w:color="FFFFFF"/>
          <w:bottom w:val="single" w:sz="6" w:space="0" w:color="FFFFFF"/>
          <w:right w:val="single" w:sz="6" w:space="0" w:color="FFFFFF"/>
        </w:pBdr>
        <w:contextualSpacing/>
        <w:jc w:val="both"/>
        <w:rPr>
          <w:i/>
          <w:spacing w:val="-2"/>
        </w:rPr>
      </w:pPr>
    </w:p>
    <w:p w14:paraId="01D9BB7B" w14:textId="7F6987CA" w:rsidR="00FD5B4E" w:rsidRPr="00861B41" w:rsidRDefault="00FD5B4E" w:rsidP="00FD5B4E">
      <w:pPr>
        <w:pBdr>
          <w:top w:val="single" w:sz="6" w:space="0" w:color="FFFFFF"/>
          <w:left w:val="single" w:sz="6" w:space="0" w:color="FFFFFF"/>
          <w:bottom w:val="single" w:sz="6" w:space="0" w:color="FFFFFF"/>
          <w:right w:val="single" w:sz="6" w:space="0" w:color="FFFFFF"/>
        </w:pBdr>
        <w:contextualSpacing/>
        <w:jc w:val="both"/>
        <w:rPr>
          <w:spacing w:val="-2"/>
        </w:rPr>
      </w:pPr>
      <w:r w:rsidRPr="00861B41">
        <w:rPr>
          <w:i/>
          <w:spacing w:val="-2"/>
        </w:rPr>
        <w:t>Adult Day Care/Day Health</w:t>
      </w:r>
      <w:r w:rsidRPr="00861B41">
        <w:rPr>
          <w:spacing w:val="-2"/>
        </w:rPr>
        <w:t xml:space="preserve"> provided 10</w:t>
      </w:r>
      <w:r w:rsidR="003612C1" w:rsidRPr="00861B41">
        <w:rPr>
          <w:spacing w:val="-2"/>
        </w:rPr>
        <w:t>.</w:t>
      </w:r>
      <w:r w:rsidR="00640ED9">
        <w:rPr>
          <w:spacing w:val="-2"/>
        </w:rPr>
        <w:t>4</w:t>
      </w:r>
      <w:r w:rsidRPr="00861B41">
        <w:rPr>
          <w:spacing w:val="-2"/>
        </w:rPr>
        <w:t xml:space="preserve"> million hours of care for </w:t>
      </w:r>
      <w:r w:rsidR="00A17EAC" w:rsidRPr="00861B41">
        <w:rPr>
          <w:spacing w:val="-2"/>
        </w:rPr>
        <w:t>program participants</w:t>
      </w:r>
      <w:r w:rsidRPr="00861B41">
        <w:rPr>
          <w:spacing w:val="-2"/>
        </w:rPr>
        <w:t xml:space="preserve"> in a group setting</w:t>
      </w:r>
      <w:r w:rsidR="00A17EAC" w:rsidRPr="00861B41">
        <w:rPr>
          <w:spacing w:val="-2"/>
        </w:rPr>
        <w:t xml:space="preserve"> that provides health, therapeutic, and social services and activities</w:t>
      </w:r>
      <w:r w:rsidRPr="00861B41">
        <w:rPr>
          <w:spacing w:val="-2"/>
        </w:rPr>
        <w:t xml:space="preserve"> during some portion of a twenty-four hour day. </w:t>
      </w:r>
    </w:p>
    <w:p w14:paraId="18F9FCA2" w14:textId="77777777" w:rsidR="002834FD" w:rsidRPr="00861B41" w:rsidRDefault="002834FD" w:rsidP="002834FD">
      <w:pPr>
        <w:contextualSpacing/>
        <w:jc w:val="both"/>
        <w:rPr>
          <w:spacing w:val="-2"/>
        </w:rPr>
      </w:pPr>
    </w:p>
    <w:p w14:paraId="495D8701" w14:textId="498A8FEE" w:rsidR="002834FD" w:rsidRPr="00861B41" w:rsidRDefault="002834FD" w:rsidP="002834FD">
      <w:pPr>
        <w:pBdr>
          <w:top w:val="single" w:sz="6" w:space="0" w:color="FFFFFF"/>
          <w:left w:val="single" w:sz="6" w:space="0" w:color="FFFFFF"/>
          <w:bottom w:val="single" w:sz="6" w:space="0" w:color="FFFFFF"/>
          <w:right w:val="single" w:sz="6" w:space="0" w:color="FFFFFF"/>
        </w:pBdr>
        <w:contextualSpacing/>
        <w:jc w:val="both"/>
      </w:pPr>
      <w:r w:rsidRPr="00861B41">
        <w:rPr>
          <w:i/>
        </w:rPr>
        <w:t>Case Management Services</w:t>
      </w:r>
      <w:r w:rsidRPr="00861B41">
        <w:t xml:space="preserve"> provided </w:t>
      </w:r>
      <w:r w:rsidR="00B71114" w:rsidRPr="00861B41">
        <w:t xml:space="preserve">over </w:t>
      </w:r>
      <w:r w:rsidR="008B2B8C" w:rsidRPr="00861B41">
        <w:t>3.6</w:t>
      </w:r>
      <w:r w:rsidR="00664D4B">
        <w:t xml:space="preserve"> </w:t>
      </w:r>
      <w:r w:rsidRPr="00861B41">
        <w:t xml:space="preserve">million hours of assistance in assessing needs, developing care plans, and arranging services for older persons or their caregivers. </w:t>
      </w:r>
    </w:p>
    <w:p w14:paraId="24110C07" w14:textId="77777777" w:rsidR="002834FD" w:rsidRPr="00861B41" w:rsidRDefault="002834FD" w:rsidP="002834FD">
      <w:pPr>
        <w:pStyle w:val="ListParagraph"/>
        <w:ind w:left="0"/>
        <w:jc w:val="both"/>
      </w:pPr>
    </w:p>
    <w:p w14:paraId="3D073A24" w14:textId="0EE4DB98" w:rsidR="002834FD" w:rsidRPr="00861B41" w:rsidRDefault="00E84B55" w:rsidP="002834FD">
      <w:pPr>
        <w:contextualSpacing/>
        <w:jc w:val="both"/>
      </w:pPr>
      <w:r w:rsidRPr="00861B41">
        <w:t xml:space="preserve">Reflecting AoA’s and the national aging service network’s </w:t>
      </w:r>
      <w:r w:rsidR="007C7AEC" w:rsidRPr="00861B41">
        <w:t>efforts</w:t>
      </w:r>
      <w:r w:rsidRPr="00861B41">
        <w:t xml:space="preserve"> to target</w:t>
      </w:r>
      <w:r w:rsidR="002834FD" w:rsidRPr="00861B41">
        <w:t xml:space="preserve"> services to those in most need, </w:t>
      </w:r>
      <w:r w:rsidR="00D73E8A" w:rsidRPr="00861B41">
        <w:t xml:space="preserve">nearly </w:t>
      </w:r>
      <w:r w:rsidR="008B2B8C" w:rsidRPr="00861B41">
        <w:t>4</w:t>
      </w:r>
      <w:r w:rsidR="00815CE9">
        <w:t>9</w:t>
      </w:r>
      <w:r w:rsidR="00664D4B">
        <w:t xml:space="preserve"> </w:t>
      </w:r>
      <w:r w:rsidR="002834FD" w:rsidRPr="00861B41">
        <w:t>percent of riders on OAA-funded transportation are mobility impaired, meaning they do not own a car or</w:t>
      </w:r>
      <w:r w:rsidR="00806EE1" w:rsidRPr="00861B41">
        <w:t>,</w:t>
      </w:r>
      <w:r w:rsidR="002834FD" w:rsidRPr="00861B41">
        <w:t xml:space="preserve"> if they do own a car</w:t>
      </w:r>
      <w:r w:rsidR="00806EE1" w:rsidRPr="00861B41">
        <w:t>, they do not drive</w:t>
      </w:r>
      <w:r w:rsidR="002834FD" w:rsidRPr="00861B41">
        <w:t xml:space="preserve"> and are not near public transportation.</w:t>
      </w:r>
      <w:r w:rsidR="00CB4418" w:rsidRPr="00861B41">
        <w:rPr>
          <w:rStyle w:val="FootnoteReference"/>
        </w:rPr>
        <w:footnoteReference w:id="21"/>
      </w:r>
      <w:r w:rsidR="002834FD" w:rsidRPr="00861B41">
        <w:t xml:space="preserve">  Many of these individuals cannot safely drive a car, as </w:t>
      </w:r>
      <w:r w:rsidR="00D73E8A" w:rsidRPr="00861B41">
        <w:t>nearly 7</w:t>
      </w:r>
      <w:r w:rsidR="00815CE9">
        <w:t>2</w:t>
      </w:r>
      <w:r w:rsidR="002834FD" w:rsidRPr="00861B41">
        <w:t> percent of transportation riders have at least one of the following chronic conditions that could impair their ability to navigate safely:</w:t>
      </w:r>
      <w:r w:rsidR="00CB4418" w:rsidRPr="00861B41">
        <w:rPr>
          <w:rStyle w:val="FootnoteReference"/>
        </w:rPr>
        <w:footnoteReference w:id="22"/>
      </w:r>
    </w:p>
    <w:p w14:paraId="594E497F" w14:textId="77777777" w:rsidR="002834FD" w:rsidRPr="00861B41" w:rsidRDefault="002834FD" w:rsidP="002834FD">
      <w:pPr>
        <w:contextualSpacing/>
        <w:jc w:val="both"/>
      </w:pPr>
      <w:r w:rsidRPr="00861B41">
        <w:t xml:space="preserve"> </w:t>
      </w:r>
      <w:r w:rsidRPr="00861B41">
        <w:tab/>
      </w:r>
    </w:p>
    <w:p w14:paraId="2B6685D9" w14:textId="7CC90D36" w:rsidR="002834FD" w:rsidRPr="00861B41" w:rsidRDefault="009E5F12" w:rsidP="000B38B2">
      <w:pPr>
        <w:pStyle w:val="ListParagraph"/>
        <w:numPr>
          <w:ilvl w:val="0"/>
          <w:numId w:val="9"/>
        </w:numPr>
        <w:jc w:val="both"/>
      </w:pPr>
      <w:r w:rsidRPr="00861B41">
        <w:t>6</w:t>
      </w:r>
      <w:r w:rsidR="00091816">
        <w:t>2</w:t>
      </w:r>
      <w:r w:rsidR="00664D4B">
        <w:t xml:space="preserve"> </w:t>
      </w:r>
      <w:r w:rsidR="002834FD" w:rsidRPr="00861B41">
        <w:t xml:space="preserve">percent of riders had a doctor tell them they had vision problems (including glaucoma, macular degeneration or cataracts); </w:t>
      </w:r>
    </w:p>
    <w:p w14:paraId="1729A136" w14:textId="480CDD42" w:rsidR="002834FD" w:rsidRPr="00861B41" w:rsidRDefault="00091816" w:rsidP="000B38B2">
      <w:pPr>
        <w:pStyle w:val="ListParagraph"/>
        <w:numPr>
          <w:ilvl w:val="0"/>
          <w:numId w:val="9"/>
        </w:numPr>
        <w:jc w:val="both"/>
      </w:pPr>
      <w:r>
        <w:t>7</w:t>
      </w:r>
      <w:r w:rsidR="009E5F12" w:rsidRPr="00861B41">
        <w:t> </w:t>
      </w:r>
      <w:r w:rsidR="002834FD" w:rsidRPr="00861B41">
        <w:t xml:space="preserve">percent have Alzheimer’s </w:t>
      </w:r>
      <w:r w:rsidR="00A17EAC" w:rsidRPr="00861B41">
        <w:t xml:space="preserve">disease </w:t>
      </w:r>
      <w:r w:rsidR="002834FD" w:rsidRPr="00861B41">
        <w:t xml:space="preserve">or dementia; </w:t>
      </w:r>
    </w:p>
    <w:p w14:paraId="331A641E" w14:textId="30910492" w:rsidR="002834FD" w:rsidRPr="00861B41" w:rsidRDefault="00091816" w:rsidP="000B38B2">
      <w:pPr>
        <w:pStyle w:val="ListParagraph"/>
        <w:numPr>
          <w:ilvl w:val="0"/>
          <w:numId w:val="9"/>
        </w:numPr>
        <w:jc w:val="both"/>
      </w:pPr>
      <w:r>
        <w:t>3</w:t>
      </w:r>
      <w:r w:rsidR="002834FD" w:rsidRPr="00861B41">
        <w:t xml:space="preserve"> percent have Multiple Sclerosis; </w:t>
      </w:r>
    </w:p>
    <w:p w14:paraId="167FA207" w14:textId="4669157A" w:rsidR="002834FD" w:rsidRPr="00861B41" w:rsidRDefault="003612C1" w:rsidP="000B38B2">
      <w:pPr>
        <w:pStyle w:val="ListParagraph"/>
        <w:numPr>
          <w:ilvl w:val="0"/>
          <w:numId w:val="9"/>
        </w:numPr>
        <w:jc w:val="both"/>
      </w:pPr>
      <w:r w:rsidRPr="00861B41">
        <w:t>1</w:t>
      </w:r>
      <w:r w:rsidR="00091816">
        <w:t>6</w:t>
      </w:r>
      <w:r w:rsidR="009E5F12" w:rsidRPr="00861B41">
        <w:t> </w:t>
      </w:r>
      <w:r w:rsidR="002834FD" w:rsidRPr="00861B41">
        <w:t>percent have had a stroke;</w:t>
      </w:r>
    </w:p>
    <w:p w14:paraId="397792D4" w14:textId="4869CB40" w:rsidR="002834FD" w:rsidRPr="00861B41" w:rsidRDefault="00091816" w:rsidP="000B38B2">
      <w:pPr>
        <w:pStyle w:val="ListParagraph"/>
        <w:numPr>
          <w:ilvl w:val="0"/>
          <w:numId w:val="9"/>
        </w:numPr>
        <w:jc w:val="both"/>
      </w:pPr>
      <w:r>
        <w:t>5</w:t>
      </w:r>
      <w:r w:rsidR="009E5F12" w:rsidRPr="00861B41">
        <w:t xml:space="preserve"> </w:t>
      </w:r>
      <w:r w:rsidR="002834FD" w:rsidRPr="00861B41">
        <w:t xml:space="preserve">percent have epilepsy; and </w:t>
      </w:r>
    </w:p>
    <w:p w14:paraId="3B488FE7" w14:textId="4D35F9E8" w:rsidR="002834FD" w:rsidRPr="00861B41" w:rsidRDefault="003612C1" w:rsidP="000B38B2">
      <w:pPr>
        <w:pStyle w:val="ListParagraph"/>
        <w:numPr>
          <w:ilvl w:val="0"/>
          <w:numId w:val="9"/>
        </w:numPr>
        <w:jc w:val="both"/>
      </w:pPr>
      <w:r w:rsidRPr="00861B41">
        <w:t>2</w:t>
      </w:r>
      <w:r w:rsidR="009E5F12" w:rsidRPr="00861B41">
        <w:t xml:space="preserve"> </w:t>
      </w:r>
      <w:r w:rsidR="002834FD" w:rsidRPr="00861B41">
        <w:t xml:space="preserve">percent have Parkinson’s disease. </w:t>
      </w:r>
    </w:p>
    <w:p w14:paraId="69C5764B" w14:textId="77777777" w:rsidR="002834FD" w:rsidRPr="00861B41" w:rsidRDefault="002834FD" w:rsidP="002834FD">
      <w:pPr>
        <w:contextualSpacing/>
        <w:jc w:val="both"/>
      </w:pPr>
      <w:r w:rsidRPr="00861B41">
        <w:t xml:space="preserve">  </w:t>
      </w:r>
    </w:p>
    <w:p w14:paraId="5758123B" w14:textId="6A08D18A" w:rsidR="002834FD" w:rsidRPr="00861B41" w:rsidRDefault="002834FD" w:rsidP="002834FD">
      <w:pPr>
        <w:contextualSpacing/>
        <w:jc w:val="both"/>
      </w:pPr>
      <w:r w:rsidRPr="00861B41">
        <w:t xml:space="preserve">Of the transportation participants, </w:t>
      </w:r>
      <w:r w:rsidR="009E5F12" w:rsidRPr="00861B41">
        <w:t>96 </w:t>
      </w:r>
      <w:r w:rsidRPr="00861B41">
        <w:t>percent</w:t>
      </w:r>
      <w:r w:rsidR="00D60A69" w:rsidRPr="00861B41">
        <w:t xml:space="preserve"> take daily medications, with</w:t>
      </w:r>
      <w:r w:rsidR="002E1EAF">
        <w:t xml:space="preserve"> </w:t>
      </w:r>
      <w:r w:rsidR="007C7AEC" w:rsidRPr="00861B41">
        <w:t>1</w:t>
      </w:r>
      <w:r w:rsidR="002E1EAF">
        <w:t>4</w:t>
      </w:r>
      <w:r w:rsidR="007C7AEC" w:rsidRPr="00861B41">
        <w:t xml:space="preserve"> percent</w:t>
      </w:r>
      <w:r w:rsidR="00815CE9">
        <w:t xml:space="preserve"> </w:t>
      </w:r>
      <w:r w:rsidR="00B777A3" w:rsidRPr="00861B41">
        <w:t>report</w:t>
      </w:r>
      <w:r w:rsidR="006F49DF" w:rsidRPr="00861B41">
        <w:t xml:space="preserve">ing they take </w:t>
      </w:r>
      <w:r w:rsidRPr="00861B41">
        <w:t>10 to 20 medications daily.</w:t>
      </w:r>
      <w:r w:rsidRPr="00861B41">
        <w:rPr>
          <w:rStyle w:val="FootnoteReference"/>
        </w:rPr>
        <w:footnoteReference w:id="23"/>
      </w:r>
      <w:r w:rsidRPr="00861B41">
        <w:t xml:space="preserve"> Data from AoA’s </w:t>
      </w:r>
      <w:r w:rsidR="00CA672B">
        <w:t>N</w:t>
      </w:r>
      <w:r w:rsidRPr="00861B41">
        <w:t xml:space="preserve">ational </w:t>
      </w:r>
      <w:r w:rsidR="00CA672B">
        <w:t>S</w:t>
      </w:r>
      <w:r w:rsidRPr="00861B41">
        <w:t>urvey</w:t>
      </w:r>
      <w:r w:rsidR="00CA672B">
        <w:t xml:space="preserve"> of Older Americans Act Participants</w:t>
      </w:r>
      <w:r w:rsidRPr="00861B41">
        <w:t xml:space="preserve"> show that </w:t>
      </w:r>
      <w:r w:rsidR="003F5C9A" w:rsidRPr="00861B41">
        <w:t>HCB</w:t>
      </w:r>
      <w:r w:rsidR="00B777A3" w:rsidRPr="00861B41">
        <w:t>S</w:t>
      </w:r>
      <w:r w:rsidR="00CE09FB">
        <w:t>S</w:t>
      </w:r>
      <w:r w:rsidRPr="00861B41">
        <w:t xml:space="preserve"> are providing these seniors with the assistance and information they </w:t>
      </w:r>
      <w:r w:rsidR="00E74A96" w:rsidRPr="00861B41">
        <w:t>report</w:t>
      </w:r>
      <w:r w:rsidRPr="00861B41">
        <w:t xml:space="preserve"> help them </w:t>
      </w:r>
      <w:r w:rsidR="00E74A96" w:rsidRPr="00861B41">
        <w:t xml:space="preserve">to </w:t>
      </w:r>
      <w:r w:rsidRPr="00861B41">
        <w:t>remain at home.</w:t>
      </w:r>
      <w:r w:rsidR="00E74A96" w:rsidRPr="00861B41">
        <w:rPr>
          <w:rStyle w:val="FootnoteReference"/>
        </w:rPr>
        <w:footnoteReference w:id="24"/>
      </w:r>
      <w:r w:rsidR="00D60A69" w:rsidRPr="00861B41">
        <w:t xml:space="preserve"> </w:t>
      </w:r>
      <w:r w:rsidR="00322BB5">
        <w:t xml:space="preserve"> </w:t>
      </w:r>
      <w:r w:rsidR="00D60A69" w:rsidRPr="00861B41">
        <w:t xml:space="preserve">For example, </w:t>
      </w:r>
      <w:r w:rsidR="00D73E8A" w:rsidRPr="00861B41">
        <w:t xml:space="preserve">over </w:t>
      </w:r>
      <w:r w:rsidR="002E1EAF">
        <w:t>77</w:t>
      </w:r>
      <w:r w:rsidR="009E5F12" w:rsidRPr="00861B41">
        <w:t> </w:t>
      </w:r>
      <w:r w:rsidRPr="00861B41">
        <w:t xml:space="preserve">percent of clients receiving case </w:t>
      </w:r>
      <w:r w:rsidRPr="00861B41">
        <w:lastRenderedPageBreak/>
        <w:t>management reported that as a result of the services arranged by the case manager they were better able to care for themselves.</w:t>
      </w:r>
      <w:r w:rsidRPr="00861B41">
        <w:rPr>
          <w:rStyle w:val="FootnoteReference"/>
        </w:rPr>
        <w:footnoteReference w:id="25"/>
      </w:r>
      <w:r w:rsidRPr="00861B41">
        <w:t xml:space="preserve">  In addition, a study published in the </w:t>
      </w:r>
      <w:r w:rsidRPr="008558B3">
        <w:rPr>
          <w:i/>
        </w:rPr>
        <w:t>Journal of Aging and Health</w:t>
      </w:r>
      <w:r w:rsidRPr="00861B41">
        <w:t xml:space="preserve"> shows that the services provided by the HCBSS program, “personal care services,” are the critical services that enable frail seniors to remain in their homes and out of nursing home care.</w:t>
      </w:r>
      <w:r w:rsidRPr="00861B41">
        <w:rPr>
          <w:rStyle w:val="FootnoteReference"/>
        </w:rPr>
        <w:footnoteReference w:id="26"/>
      </w:r>
      <w:r w:rsidRPr="00861B41">
        <w:t xml:space="preserve">  </w:t>
      </w:r>
    </w:p>
    <w:p w14:paraId="68C04C5B" w14:textId="77777777" w:rsidR="002834FD" w:rsidRPr="00861B41" w:rsidRDefault="002834FD" w:rsidP="002834FD">
      <w:pPr>
        <w:contextualSpacing/>
        <w:jc w:val="both"/>
        <w:rPr>
          <w:b/>
        </w:rPr>
      </w:pPr>
    </w:p>
    <w:p w14:paraId="343E209E" w14:textId="0B0F7775" w:rsidR="002834FD" w:rsidRPr="00155D0B" w:rsidRDefault="002834FD" w:rsidP="002834FD">
      <w:pPr>
        <w:contextualSpacing/>
        <w:jc w:val="both"/>
      </w:pPr>
      <w:r w:rsidRPr="00861B41">
        <w:t>Nationally, 2</w:t>
      </w:r>
      <w:r w:rsidR="00885F96" w:rsidRPr="00861B41">
        <w:t>4</w:t>
      </w:r>
      <w:r w:rsidRPr="00861B41">
        <w:t> percent of individuals 60 and older live alone.</w:t>
      </w:r>
      <w:r w:rsidR="00943E59" w:rsidRPr="00861B41">
        <w:rPr>
          <w:rStyle w:val="FootnoteReference"/>
        </w:rPr>
        <w:footnoteReference w:id="27"/>
      </w:r>
      <w:r w:rsidRPr="00861B41">
        <w:t xml:space="preserve"> </w:t>
      </w:r>
      <w:r w:rsidR="007C7AEC" w:rsidRPr="00861B41">
        <w:t>OAA</w:t>
      </w:r>
      <w:r w:rsidR="001B00DA" w:rsidRPr="00861B41">
        <w:t xml:space="preserve"> programs serve a disproportionate number of people who live alon</w:t>
      </w:r>
      <w:r w:rsidR="00B777A3" w:rsidRPr="00861B41">
        <w:t>e</w:t>
      </w:r>
      <w:r w:rsidR="001B00DA" w:rsidRPr="00861B41">
        <w:t xml:space="preserve"> compared to the general population</w:t>
      </w:r>
      <w:r w:rsidR="001B2DC3">
        <w:t xml:space="preserve">. </w:t>
      </w:r>
      <w:r w:rsidR="00E74A96" w:rsidRPr="00861B41">
        <w:t>F</w:t>
      </w:r>
      <w:r w:rsidR="001B00DA" w:rsidRPr="00861B41">
        <w:t xml:space="preserve">or example, </w:t>
      </w:r>
      <w:r w:rsidR="003F0E42" w:rsidRPr="00861B41">
        <w:t>6</w:t>
      </w:r>
      <w:r w:rsidR="002E1EAF">
        <w:t>4</w:t>
      </w:r>
      <w:r w:rsidR="009E5F12" w:rsidRPr="00861B41">
        <w:t xml:space="preserve"> </w:t>
      </w:r>
      <w:r w:rsidR="00E74A96" w:rsidRPr="00861B41">
        <w:t>percent</w:t>
      </w:r>
      <w:r w:rsidR="001B00DA" w:rsidRPr="00861B41">
        <w:t xml:space="preserve"> of transportation clients live alone</w:t>
      </w:r>
      <w:r w:rsidR="007C7AEC" w:rsidRPr="00861B41">
        <w:t>.</w:t>
      </w:r>
      <w:r w:rsidR="00382B2C" w:rsidRPr="00861B41">
        <w:rPr>
          <w:rStyle w:val="FootnoteReference"/>
        </w:rPr>
        <w:footnoteReference w:id="28"/>
      </w:r>
      <w:r w:rsidR="001B00DA" w:rsidRPr="00861B41">
        <w:t xml:space="preserve"> </w:t>
      </w:r>
      <w:r w:rsidRPr="00861B41">
        <w:t>Living alone is a key predictor of nursing home admission, and HCBS</w:t>
      </w:r>
      <w:r w:rsidR="00B777A3" w:rsidRPr="00861B41">
        <w:t>S</w:t>
      </w:r>
      <w:r w:rsidR="00CE09FB">
        <w:t xml:space="preserve"> </w:t>
      </w:r>
      <w:r w:rsidRPr="00861B41">
        <w:t xml:space="preserve">are critical </w:t>
      </w:r>
      <w:r w:rsidR="000D7A0B" w:rsidRPr="00861B41">
        <w:t xml:space="preserve">for enabling them </w:t>
      </w:r>
      <w:r w:rsidRPr="00861B41">
        <w:t>to remain at home, especially for those who do not have an informal caregiver to assist with their care</w:t>
      </w:r>
      <w:r w:rsidR="000D0EDB">
        <w:t xml:space="preserve">.  </w:t>
      </w:r>
      <w:r w:rsidR="0024200A" w:rsidRPr="00861B41">
        <w:t>R</w:t>
      </w:r>
      <w:r w:rsidRPr="00861B41">
        <w:t xml:space="preserve">esearch has </w:t>
      </w:r>
      <w:r w:rsidR="00DF28CB" w:rsidRPr="00861B41">
        <w:t>als</w:t>
      </w:r>
      <w:r w:rsidRPr="00861B41">
        <w:t xml:space="preserve">o shown that childless </w:t>
      </w:r>
      <w:r w:rsidR="00A17EAC" w:rsidRPr="00861B41">
        <w:t>older adults</w:t>
      </w:r>
      <w:r w:rsidRPr="00861B41">
        <w:t xml:space="preserve"> who live in a </w:t>
      </w:r>
      <w:r w:rsidR="000D7A0B" w:rsidRPr="00861B41">
        <w:t>s</w:t>
      </w:r>
      <w:r w:rsidRPr="00861B41">
        <w:t>tate with higher home and community-based service</w:t>
      </w:r>
      <w:r w:rsidR="00A17EAC" w:rsidRPr="00861B41">
        <w:t>s</w:t>
      </w:r>
      <w:r w:rsidRPr="00861B41">
        <w:t xml:space="preserve"> expenditures had significantly lower risk of nursing home admissions.</w:t>
      </w:r>
      <w:r w:rsidRPr="00861B41">
        <w:rPr>
          <w:rStyle w:val="FootnoteReference"/>
        </w:rPr>
        <w:footnoteReference w:id="29"/>
      </w:r>
      <w:r w:rsidRPr="00155D0B">
        <w:t xml:space="preserve">    </w:t>
      </w:r>
    </w:p>
    <w:p w14:paraId="4E7613E8" w14:textId="77777777" w:rsidR="002834FD" w:rsidRPr="00155D0B" w:rsidRDefault="002834FD" w:rsidP="002834FD">
      <w:pPr>
        <w:tabs>
          <w:tab w:val="left" w:pos="180"/>
        </w:tabs>
        <w:contextualSpacing/>
        <w:jc w:val="both"/>
      </w:pPr>
    </w:p>
    <w:p w14:paraId="22E68233" w14:textId="63E8C9AA" w:rsidR="002834FD" w:rsidRDefault="002834FD" w:rsidP="002834FD">
      <w:pPr>
        <w:tabs>
          <w:tab w:val="left" w:pos="180"/>
        </w:tabs>
        <w:contextualSpacing/>
        <w:jc w:val="both"/>
      </w:pPr>
      <w:r w:rsidRPr="00155D0B">
        <w:t xml:space="preserve">Federal support for OAA programs is not expected to cover the cost of serving every </w:t>
      </w:r>
      <w:r w:rsidR="000D7A0B" w:rsidRPr="00155D0B">
        <w:t>older American</w:t>
      </w:r>
      <w:r w:rsidR="000D0EDB">
        <w:t xml:space="preserve">.  </w:t>
      </w:r>
      <w:r w:rsidR="007C7AEC">
        <w:t>T</w:t>
      </w:r>
      <w:r w:rsidRPr="00AE5090">
        <w:t xml:space="preserve">hese programs have strong partnerships with state and local governments, philanthropic organizations, and private donations that </w:t>
      </w:r>
      <w:r w:rsidR="00526576">
        <w:t xml:space="preserve">also </w:t>
      </w:r>
      <w:r w:rsidRPr="00AE5090">
        <w:t>contribute funding</w:t>
      </w:r>
      <w:r w:rsidR="001B2DC3">
        <w:t xml:space="preserve">. </w:t>
      </w:r>
      <w:r w:rsidRPr="00AE5090">
        <w:t xml:space="preserve">States typically leverage resources of </w:t>
      </w:r>
      <w:r w:rsidR="007C7AEC">
        <w:t>between two and three</w:t>
      </w:r>
      <w:r w:rsidRPr="00AE5090">
        <w:t xml:space="preserve"> </w:t>
      </w:r>
      <w:r w:rsidR="007C7AEC">
        <w:t xml:space="preserve">dollars </w:t>
      </w:r>
      <w:r w:rsidRPr="00AE5090">
        <w:t>per every</w:t>
      </w:r>
      <w:r w:rsidR="007C7AEC">
        <w:t xml:space="preserve"> federal</w:t>
      </w:r>
      <w:r w:rsidRPr="00AE5090">
        <w:t xml:space="preserve"> OAA dollar, significantly exceeding the programs’ match requirements.</w:t>
      </w:r>
      <w:r w:rsidRPr="0061704C">
        <w:t xml:space="preserve"> </w:t>
      </w:r>
    </w:p>
    <w:p w14:paraId="50839A5A" w14:textId="4261C800" w:rsidR="008733D0" w:rsidRPr="008733D0" w:rsidRDefault="008733D0" w:rsidP="008733D0">
      <w:pPr>
        <w:rPr>
          <w:lang w:bidi="en-US"/>
        </w:rPr>
      </w:pPr>
      <w:bookmarkStart w:id="16" w:name="_Toc436738871"/>
    </w:p>
    <w:p w14:paraId="0D81D37B" w14:textId="77777777" w:rsidR="00B8144E" w:rsidRPr="00505FE3" w:rsidRDefault="00B8144E" w:rsidP="00916C9D">
      <w:pPr>
        <w:pStyle w:val="Heading2"/>
      </w:pPr>
      <w:bookmarkStart w:id="17" w:name="_Toc536443916"/>
      <w:bookmarkStart w:id="18" w:name="_Toc9929350"/>
      <w:r w:rsidRPr="00505FE3">
        <w:t>Nutrition Services</w:t>
      </w:r>
      <w:bookmarkEnd w:id="16"/>
      <w:bookmarkEnd w:id="17"/>
      <w:bookmarkEnd w:id="18"/>
    </w:p>
    <w:p w14:paraId="41DBAC60" w14:textId="77777777" w:rsidR="00CF5DC9" w:rsidRDefault="00CF5DC9" w:rsidP="00AC041E">
      <w:pPr>
        <w:contextualSpacing/>
        <w:jc w:val="both"/>
      </w:pPr>
    </w:p>
    <w:p w14:paraId="183C191E" w14:textId="5B7AE494" w:rsidR="00730419" w:rsidRDefault="00730419" w:rsidP="00730419">
      <w:pPr>
        <w:contextualSpacing/>
        <w:jc w:val="both"/>
      </w:pPr>
      <w:r>
        <w:t>Nutrition Services help older adults remain healthy and independent in their communities by providing nutritious meals, nutritional screening, education, and counseling</w:t>
      </w:r>
      <w:r w:rsidR="0064616B">
        <w:t xml:space="preserve">.  </w:t>
      </w:r>
      <w:r>
        <w:t>The Congregate Nutrition Services Program (NSP) is offered in a variety of settings (such as senior centers, public housing locations, local libraries, farmer’s markets, religious b</w:t>
      </w:r>
      <w:r w:rsidR="0064616B">
        <w:t xml:space="preserve">uildings or community centers).  </w:t>
      </w:r>
      <w:r>
        <w:t>The Home</w:t>
      </w:r>
      <w:r w:rsidR="00A76BA6">
        <w:t>-Delivered</w:t>
      </w:r>
      <w:r>
        <w:t xml:space="preserve"> NSP meals are delivered to older adults who are homebound due to illness, disability, or geographic isolation. </w:t>
      </w:r>
    </w:p>
    <w:p w14:paraId="549C6126" w14:textId="77777777" w:rsidR="00730419" w:rsidRDefault="00730419" w:rsidP="00730419">
      <w:pPr>
        <w:contextualSpacing/>
        <w:jc w:val="both"/>
        <w:rPr>
          <w:color w:val="000000"/>
          <w:sz w:val="23"/>
          <w:szCs w:val="23"/>
        </w:rPr>
      </w:pPr>
    </w:p>
    <w:p w14:paraId="0E47D310" w14:textId="149FF04A" w:rsidR="00730419" w:rsidRDefault="00730419" w:rsidP="00730419">
      <w:pPr>
        <w:contextualSpacing/>
        <w:jc w:val="both"/>
      </w:pPr>
      <w:r>
        <w:rPr>
          <w:color w:val="000000"/>
          <w:sz w:val="23"/>
          <w:szCs w:val="23"/>
        </w:rPr>
        <w:t xml:space="preserve">Beginning in FY 2017, Congress authorized ACL to use up to 1% of the funds appropriated to ACL’s nutrition programs to develop, pilot or replicate innovative, evidence-informed practices for the NSP. In FY 2017, </w:t>
      </w:r>
      <w:r>
        <w:t>AoA awarded six Innovations in Nutrition (INNU) grants, totaling $742,872. Through these grants, ACL seeks to identify and promote innovative practices or programs. FY2017 grantee’s project areas of emphasis included: developing modified meals appropriate for reduced oral/dental functions; establishing an evidence-based framework for a new malnutrition education program; collaborating with community health partners to increase referrals to congregate meal sites; technology interventions to improve congregate and home-NSP for high-risk seniors; and a program to help people self-manage Type-2 diabetes to decrease diabetes-related hospitalizations and emergency room visits for older adults.</w:t>
      </w:r>
    </w:p>
    <w:p w14:paraId="7478C1A2" w14:textId="77777777" w:rsidR="00730419" w:rsidRDefault="00730419" w:rsidP="00730419">
      <w:pPr>
        <w:contextualSpacing/>
        <w:jc w:val="both"/>
      </w:pPr>
    </w:p>
    <w:p w14:paraId="4BD0C018" w14:textId="77777777" w:rsidR="00730419" w:rsidRDefault="00730419" w:rsidP="00730419">
      <w:pPr>
        <w:contextualSpacing/>
        <w:jc w:val="both"/>
      </w:pPr>
      <w:r>
        <w:lastRenderedPageBreak/>
        <w:t>Nutrition Service Programs include:</w:t>
      </w:r>
    </w:p>
    <w:p w14:paraId="76F5B4FB" w14:textId="09E11A3C" w:rsidR="00AC041E" w:rsidRDefault="00AC041E" w:rsidP="00AC041E">
      <w:pPr>
        <w:contextualSpacing/>
        <w:jc w:val="both"/>
      </w:pPr>
    </w:p>
    <w:p w14:paraId="4D8B4899" w14:textId="56D1F749" w:rsidR="00730419" w:rsidRDefault="00730419" w:rsidP="00730419">
      <w:pPr>
        <w:contextualSpacing/>
        <w:jc w:val="both"/>
      </w:pPr>
      <w:r w:rsidRPr="00CE09FB">
        <w:rPr>
          <w:b/>
        </w:rPr>
        <w:t>Congregate Nutrition Services</w:t>
      </w:r>
      <w:r>
        <w:rPr>
          <w:b/>
        </w:rPr>
        <w:t xml:space="preserve"> Program</w:t>
      </w:r>
      <w:r w:rsidRPr="00CE09FB">
        <w:rPr>
          <w:b/>
        </w:rPr>
        <w:t xml:space="preserve"> (</w:t>
      </w:r>
      <w:r w:rsidRPr="00CE09FB">
        <w:rPr>
          <w:b/>
          <w:i/>
        </w:rPr>
        <w:t>Title III-C1; FY 2016: $438,191,000</w:t>
      </w:r>
      <w:r w:rsidRPr="00CE09FB">
        <w:rPr>
          <w:b/>
        </w:rPr>
        <w:t>)</w:t>
      </w:r>
      <w:r w:rsidRPr="00AE5090">
        <w:t>:</w:t>
      </w:r>
      <w:r>
        <w:t xml:space="preserve">  Provides funding for the provision of nutritious meals, nutrition education, screening and counseling in a variety of congregate settings, which helps keep older adults healthy and may decrease or prevent the need for more costly medical interventions. Established in 1972, the program centers around serving health-promoting meals, but it also presents opportunities for social engagement, health and wellness activities, and meaningful volunteer roles, all of which contribute to overall health and well-being.</w:t>
      </w:r>
    </w:p>
    <w:p w14:paraId="736CF5DD" w14:textId="77777777" w:rsidR="00730419" w:rsidRDefault="00730419" w:rsidP="00730419">
      <w:pPr>
        <w:contextualSpacing/>
        <w:jc w:val="both"/>
      </w:pPr>
    </w:p>
    <w:p w14:paraId="3621166C" w14:textId="50089265" w:rsidR="00730419" w:rsidRDefault="00730419" w:rsidP="00730419">
      <w:pPr>
        <w:contextualSpacing/>
        <w:jc w:val="both"/>
      </w:pPr>
      <w:r w:rsidRPr="00CE09FB">
        <w:rPr>
          <w:b/>
        </w:rPr>
        <w:t xml:space="preserve">Home-Delivered Nutrition Services </w:t>
      </w:r>
      <w:r>
        <w:rPr>
          <w:b/>
        </w:rPr>
        <w:t xml:space="preserve">Program </w:t>
      </w:r>
      <w:r w:rsidRPr="00CE09FB">
        <w:rPr>
          <w:b/>
        </w:rPr>
        <w:t>(</w:t>
      </w:r>
      <w:r w:rsidRPr="00CE09FB">
        <w:rPr>
          <w:b/>
          <w:i/>
        </w:rPr>
        <w:t>Title III-C2; FY 2016: $216,397,000</w:t>
      </w:r>
      <w:r w:rsidRPr="00CE09FB">
        <w:rPr>
          <w:b/>
        </w:rPr>
        <w:t>)</w:t>
      </w:r>
      <w:r w:rsidRPr="00AD5B58">
        <w:t>:</w:t>
      </w:r>
      <w:r>
        <w:t xml:space="preserve"> Provides funding for the delivery of </w:t>
      </w:r>
      <w:r w:rsidR="00A76BA6">
        <w:t xml:space="preserve">nutritious </w:t>
      </w:r>
      <w:r>
        <w:t>meals and nutrition-related services to homebound frai</w:t>
      </w:r>
      <w:r w:rsidR="0064616B">
        <w:t xml:space="preserve">l and/or isolated older adults.  </w:t>
      </w:r>
      <w:r>
        <w:t>The deliveries provide opportunities for social engagement and, in many cases</w:t>
      </w:r>
      <w:r w:rsidR="0064616B">
        <w:t xml:space="preserve">, an informal ‘safety check.’  </w:t>
      </w:r>
      <w:r>
        <w:t>Established in 1978, home-delivered meals are often the first in-home service that an older adult receives and serve as a primary access point for other home- and community-bas</w:t>
      </w:r>
      <w:r w:rsidR="0064616B">
        <w:t xml:space="preserve">ed services.  </w:t>
      </w:r>
      <w:r>
        <w:t>Home-delivered meals are a key element in helping older adults</w:t>
      </w:r>
      <w:r w:rsidR="008D422C">
        <w:t>,</w:t>
      </w:r>
      <w:r>
        <w:t xml:space="preserve"> who may not be able to prepare their own meals</w:t>
      </w:r>
      <w:r w:rsidR="008D422C">
        <w:t>,</w:t>
      </w:r>
      <w:r>
        <w:t xml:space="preserve"> remain in the community.</w:t>
      </w:r>
    </w:p>
    <w:p w14:paraId="2E65FFE2" w14:textId="77777777" w:rsidR="00730419" w:rsidRDefault="00730419" w:rsidP="00730419">
      <w:pPr>
        <w:contextualSpacing/>
        <w:jc w:val="both"/>
      </w:pPr>
    </w:p>
    <w:p w14:paraId="1A1641FE" w14:textId="0B3002DE" w:rsidR="00730419" w:rsidRDefault="00730419" w:rsidP="00730419">
      <w:pPr>
        <w:contextualSpacing/>
        <w:jc w:val="both"/>
      </w:pPr>
      <w:r w:rsidRPr="00CE09FB">
        <w:rPr>
          <w:b/>
        </w:rPr>
        <w:t>Nutrition Services Incentive Program (</w:t>
      </w:r>
      <w:r w:rsidRPr="00CE09FB">
        <w:rPr>
          <w:b/>
          <w:i/>
        </w:rPr>
        <w:t>Title III-A; FY 2016: $160,069,000</w:t>
      </w:r>
      <w:r w:rsidRPr="00CE09FB">
        <w:rPr>
          <w:b/>
        </w:rPr>
        <w:t>)</w:t>
      </w:r>
      <w:r w:rsidRPr="00AE5090">
        <w:t>:</w:t>
      </w:r>
      <w:r>
        <w:t xml:space="preserve"> Provides additional funding to states, territories, and eligible tribal organizations that is used exclusively to procure food products for use in the Title III- C-1 and C-2 and Title VI meal programs, and cannot be used to pay for other nutrition-related services or for administrative c</w:t>
      </w:r>
      <w:r w:rsidR="0064616B">
        <w:t xml:space="preserve">osts.  </w:t>
      </w:r>
      <w:r>
        <w:t xml:space="preserve">Funds are awarded to states and tribes based on the number of meals served </w:t>
      </w:r>
      <w:r w:rsidR="0064616B">
        <w:t xml:space="preserve">in a prior federal fiscal year.  </w:t>
      </w:r>
      <w:r>
        <w:t xml:space="preserve">States and tribes have the option to purchase </w:t>
      </w:r>
      <w:r w:rsidRPr="00A76BA6">
        <w:t>USDA Foods</w:t>
      </w:r>
      <w:r>
        <w:t xml:space="preserve"> (previously referred to as commodities) directly from the U.S. Department of Agriculture (USDA) with any portion of their award if they determine that doing so will enable them to better meet the needs of older adults. In FY 2017, six states and five tribes elected to take some portion of the allotment in USDA Foods.</w:t>
      </w:r>
    </w:p>
    <w:p w14:paraId="62EE6C49" w14:textId="77777777" w:rsidR="00730419" w:rsidRDefault="00730419" w:rsidP="00730419">
      <w:pPr>
        <w:contextualSpacing/>
        <w:jc w:val="both"/>
      </w:pPr>
    </w:p>
    <w:p w14:paraId="6FBD2381" w14:textId="4B0EFC78" w:rsidR="00730419" w:rsidRPr="00861B41" w:rsidRDefault="00730419" w:rsidP="00730419">
      <w:pPr>
        <w:contextualSpacing/>
        <w:jc w:val="both"/>
      </w:pPr>
      <w:r>
        <w:t>The meals provided through these programs fulfill the standards set by the current Dietary Guidelines for Americans and provide a minimum of 33 percent of the Dietary Reference Intake, as established by the Food and Nutrition Board of the Institute of Medicine of the National Academy of Sciences.</w:t>
      </w:r>
      <w:r>
        <w:rPr>
          <w:rStyle w:val="FootnoteReference"/>
        </w:rPr>
        <w:footnoteReference w:id="30"/>
      </w:r>
      <w:r w:rsidR="0064616B">
        <w:t xml:space="preserve">  </w:t>
      </w:r>
      <w:r w:rsidRPr="008F26CF">
        <w:t xml:space="preserve">Meals also comply with applicable provisions of state and local food safety codes, </w:t>
      </w:r>
      <w:r w:rsidR="008D422C">
        <w:t xml:space="preserve">must </w:t>
      </w:r>
      <w:r>
        <w:t>be</w:t>
      </w:r>
      <w:r w:rsidRPr="008F26CF">
        <w:t xml:space="preserve"> appealing, and meet special dietary needs such as health, religious, </w:t>
      </w:r>
      <w:r>
        <w:t xml:space="preserve">and </w:t>
      </w:r>
      <w:r w:rsidRPr="00861B41">
        <w:t>cult</w:t>
      </w:r>
      <w:r w:rsidR="0064616B">
        <w:t xml:space="preserve">ural/ethnic needs, as feasible.  </w:t>
      </w:r>
      <w:r w:rsidRPr="00861B41">
        <w:t>The nutrition-related services provided through these programs may include nutrition education, nutrition counseling, and other nutrition services, as appropriate, based on the needs of</w:t>
      </w:r>
      <w:r>
        <w:t xml:space="preserve"> NSP</w:t>
      </w:r>
      <w:r w:rsidRPr="00861B41">
        <w:t xml:space="preserve"> participants.</w:t>
      </w:r>
    </w:p>
    <w:p w14:paraId="4607F6C9" w14:textId="77777777" w:rsidR="00730419" w:rsidRPr="00861B41" w:rsidRDefault="00730419" w:rsidP="00730419">
      <w:pPr>
        <w:contextualSpacing/>
        <w:jc w:val="both"/>
      </w:pPr>
    </w:p>
    <w:p w14:paraId="3A935EA7" w14:textId="34C843B2" w:rsidR="00730419" w:rsidRDefault="00730419" w:rsidP="00730419">
      <w:pPr>
        <w:contextualSpacing/>
        <w:jc w:val="both"/>
      </w:pPr>
      <w:r w:rsidRPr="00861B41">
        <w:t>Nutrition Service</w:t>
      </w:r>
      <w:r>
        <w:t xml:space="preserve"> Programs</w:t>
      </w:r>
      <w:r w:rsidRPr="00861B41">
        <w:t xml:space="preserve"> help approximately 2.4 million older adults receive the meals they need to stay healthy and decrease their risk of disability.</w:t>
      </w:r>
      <w:r w:rsidRPr="00861B41">
        <w:rPr>
          <w:rStyle w:val="FootnoteReference"/>
        </w:rPr>
        <w:footnoteReference w:id="31"/>
      </w:r>
      <w:r w:rsidRPr="00861B41">
        <w:t xml:space="preserve"> Because the prevalence of multiple chronic conditions is higher among congregate and home-delivered program participants than for the general Medicare population, the provision of healthy meals, access to lifestyle modification programs and evidence-based advice such as nutrition education and counseling are important. Overall, 7</w:t>
      </w:r>
      <w:r w:rsidR="00400C63">
        <w:t>2</w:t>
      </w:r>
      <w:r w:rsidRPr="00861B41">
        <w:t xml:space="preserve"> percent of community-living Medicare beneficiaries age 65 or older have multiple chronic conditions.</w:t>
      </w:r>
      <w:r w:rsidRPr="00861B41">
        <w:rPr>
          <w:rStyle w:val="FootnoteReference"/>
        </w:rPr>
        <w:footnoteReference w:id="32"/>
      </w:r>
      <w:r>
        <w:t xml:space="preserve"> </w:t>
      </w:r>
      <w:r w:rsidRPr="00861B41">
        <w:t xml:space="preserve">Data from AoA’s </w:t>
      </w:r>
      <w:r w:rsidRPr="00AE24F9">
        <w:t>201</w:t>
      </w:r>
      <w:r w:rsidR="005C482A">
        <w:t>8</w:t>
      </w:r>
      <w:r w:rsidRPr="00AE24F9">
        <w:t xml:space="preserve"> National Survey of Older A</w:t>
      </w:r>
      <w:r w:rsidR="00AE24F9">
        <w:t>mericans Act</w:t>
      </w:r>
      <w:r w:rsidRPr="00861B41">
        <w:t xml:space="preserve"> Participants </w:t>
      </w:r>
      <w:r w:rsidRPr="00861B41">
        <w:lastRenderedPageBreak/>
        <w:t xml:space="preserve">indicate that </w:t>
      </w:r>
      <w:r w:rsidR="00ED214E">
        <w:t>51</w:t>
      </w:r>
      <w:r w:rsidRPr="00861B41">
        <w:t xml:space="preserve"> percent of congregate and 64 percent of home-delivered participants have six or more </w:t>
      </w:r>
      <w:r>
        <w:t>chronic conditions.</w:t>
      </w:r>
      <w:r w:rsidR="0064616B">
        <w:t xml:space="preserve">  </w:t>
      </w:r>
      <w:r w:rsidR="00ED214E">
        <w:t>About 31</w:t>
      </w:r>
      <w:r>
        <w:t xml:space="preserve"> </w:t>
      </w:r>
      <w:r w:rsidRPr="00861B41">
        <w:t>percent of congregate and 4</w:t>
      </w:r>
      <w:r w:rsidR="00ED214E">
        <w:t>9</w:t>
      </w:r>
      <w:r w:rsidRPr="00861B41">
        <w:t xml:space="preserve"> percent of home-delivered participants take more than six medications per day and some take</w:t>
      </w:r>
      <w:r w:rsidR="00ED214E">
        <w:t xml:space="preserve"> as many as </w:t>
      </w:r>
      <w:r w:rsidRPr="00861B41">
        <w:t>20 medications</w:t>
      </w:r>
      <w:r w:rsidR="0064616B">
        <w:t xml:space="preserve">.  </w:t>
      </w:r>
      <w:r w:rsidRPr="00861B41">
        <w:t>The congregate and home</w:t>
      </w:r>
      <w:r>
        <w:t xml:space="preserve"> NSP </w:t>
      </w:r>
      <w:r w:rsidRPr="00861B41">
        <w:t>participants are significantly less healthy than the general Medicare population and access to adequate healthy meals is essential to their well-being</w:t>
      </w:r>
      <w:r w:rsidR="0064616B">
        <w:t xml:space="preserve">.  </w:t>
      </w:r>
      <w:r w:rsidRPr="00861B41">
        <w:t>Meals are also an important element in deferral or delay of institutional placement.</w:t>
      </w:r>
    </w:p>
    <w:p w14:paraId="5C711898" w14:textId="77777777" w:rsidR="00DC1EDA" w:rsidRPr="00861B41" w:rsidRDefault="00DC1EDA" w:rsidP="00730419">
      <w:pPr>
        <w:contextualSpacing/>
        <w:jc w:val="both"/>
      </w:pPr>
    </w:p>
    <w:p w14:paraId="7BC100D1" w14:textId="66A82DF3" w:rsidR="00DC1EDA" w:rsidRPr="00861B41" w:rsidRDefault="00730419" w:rsidP="00730419">
      <w:pPr>
        <w:contextualSpacing/>
        <w:jc w:val="both"/>
      </w:pPr>
      <w:r w:rsidRPr="00861B41">
        <w:t>While the 75 year-old and over cohort makes up 30 percent of the U.S. population age 60 and over, half (</w:t>
      </w:r>
      <w:r w:rsidRPr="003256DB">
        <w:t>5</w:t>
      </w:r>
      <w:r w:rsidR="00A745B3" w:rsidRPr="003256DB">
        <w:t>3</w:t>
      </w:r>
      <w:r w:rsidRPr="003256DB">
        <w:t xml:space="preserve"> percent</w:t>
      </w:r>
      <w:r w:rsidRPr="00861B41">
        <w:t>) of congregate and almost two-thirds (6</w:t>
      </w:r>
      <w:r w:rsidR="000B47B1">
        <w:t>2</w:t>
      </w:r>
      <w:r w:rsidRPr="00861B41">
        <w:t xml:space="preserve"> percent) of home-delivered meal participants are aged 75 years or older.</w:t>
      </w:r>
      <w:r w:rsidRPr="00861B41">
        <w:rPr>
          <w:rStyle w:val="FootnoteReference"/>
        </w:rPr>
        <w:footnoteReference w:id="33"/>
      </w:r>
      <w:r w:rsidRPr="00861B41">
        <w:t xml:space="preserve"> </w:t>
      </w:r>
      <w:r>
        <w:t>Because o</w:t>
      </w:r>
      <w:r w:rsidRPr="00861B41">
        <w:t xml:space="preserve">lder adults </w:t>
      </w:r>
      <w:r>
        <w:t xml:space="preserve">served in the nutrition service programs are more generally older and more frail than the general Medicare population, it stands to reason that they have a </w:t>
      </w:r>
      <w:r w:rsidRPr="00861B41">
        <w:t>demonstrate</w:t>
      </w:r>
      <w:r>
        <w:t>d</w:t>
      </w:r>
      <w:r w:rsidRPr="00861B41">
        <w:t xml:space="preserve"> need for healthy, prepared meals, rather than simply access to food.</w:t>
      </w:r>
    </w:p>
    <w:p w14:paraId="553E62FC" w14:textId="77777777" w:rsidR="00730419" w:rsidRPr="00861B41" w:rsidRDefault="00730419" w:rsidP="00730419">
      <w:pPr>
        <w:contextualSpacing/>
        <w:jc w:val="both"/>
      </w:pPr>
    </w:p>
    <w:p w14:paraId="55683AAF" w14:textId="67A837D0" w:rsidR="00730419" w:rsidRDefault="00730419" w:rsidP="00730419">
      <w:pPr>
        <w:contextualSpacing/>
        <w:jc w:val="both"/>
      </w:pPr>
      <w:r w:rsidRPr="00861B41">
        <w:t xml:space="preserve">Approximately </w:t>
      </w:r>
      <w:r w:rsidR="009E3126">
        <w:t>9</w:t>
      </w:r>
      <w:r w:rsidRPr="00861B41">
        <w:t xml:space="preserve"> percent of congregate and over 4</w:t>
      </w:r>
      <w:r w:rsidR="009E3126">
        <w:t>3</w:t>
      </w:r>
      <w:r w:rsidRPr="00861B41">
        <w:t xml:space="preserve"> percent of home-delivered participants indicate that they have three or more impairments in instrumental activities of daily living (IADLs).</w:t>
      </w:r>
      <w:r w:rsidRPr="00861B41">
        <w:rPr>
          <w:rStyle w:val="FootnoteReference"/>
        </w:rPr>
        <w:footnoteReference w:id="34"/>
      </w:r>
      <w:r w:rsidRPr="00861B41">
        <w:t xml:space="preserve">  The data also indicate that 1</w:t>
      </w:r>
      <w:r w:rsidR="009E3126">
        <w:t>6</w:t>
      </w:r>
      <w:r w:rsidRPr="00861B41">
        <w:t xml:space="preserve"> percent of congregate and 5</w:t>
      </w:r>
      <w:r w:rsidR="009E3126">
        <w:t>2</w:t>
      </w:r>
      <w:r w:rsidRPr="00861B41">
        <w:t xml:space="preserve"> percent of home-delivered participants have difficulty getting outside the house, thus limiting their ability to shop for food themselves.</w:t>
      </w:r>
      <w:r w:rsidRPr="00861B41">
        <w:rPr>
          <w:rStyle w:val="FootnoteReference"/>
        </w:rPr>
        <w:footnoteReference w:id="35"/>
      </w:r>
      <w:r w:rsidRPr="00861B41">
        <w:t xml:space="preserve"> </w:t>
      </w:r>
      <w:r w:rsidR="00D22247">
        <w:t xml:space="preserve"> </w:t>
      </w:r>
      <w:r w:rsidRPr="00861B41">
        <w:t xml:space="preserve">The number of home-delivered meal recipients with severe disabilities (three or more activities of daily living) totaled </w:t>
      </w:r>
      <w:r w:rsidR="00346482">
        <w:t>over</w:t>
      </w:r>
      <w:r w:rsidRPr="00861B41">
        <w:t xml:space="preserve"> 3</w:t>
      </w:r>
      <w:r w:rsidR="00346482">
        <w:t>30</w:t>
      </w:r>
      <w:r w:rsidRPr="00861B41">
        <w:t>,000 in FY 201</w:t>
      </w:r>
      <w:r w:rsidR="00346482">
        <w:t>7</w:t>
      </w:r>
      <w:r w:rsidRPr="00861B41">
        <w:t>.</w:t>
      </w:r>
      <w:r w:rsidRPr="00861B41">
        <w:rPr>
          <w:rStyle w:val="FootnoteReference"/>
        </w:rPr>
        <w:footnoteReference w:id="36"/>
      </w:r>
      <w:r w:rsidRPr="00861B41">
        <w:t xml:space="preserve"> This level of disability is frequently associated with nursing home admission, and demonstrates the extreme frailty of a significant number of older adults receiving home-delivered meals</w:t>
      </w:r>
      <w:r w:rsidR="001B2DC3">
        <w:t xml:space="preserve">. </w:t>
      </w:r>
    </w:p>
    <w:p w14:paraId="416EEC51" w14:textId="77777777" w:rsidR="00C451BE" w:rsidRPr="00861B41" w:rsidRDefault="00C451BE" w:rsidP="00730419">
      <w:pPr>
        <w:contextualSpacing/>
        <w:jc w:val="both"/>
      </w:pPr>
    </w:p>
    <w:p w14:paraId="4C92B312" w14:textId="553354CC" w:rsidR="00C451BE" w:rsidRPr="00B60C87" w:rsidRDefault="00C451BE" w:rsidP="008D422C">
      <w:pPr>
        <w:jc w:val="both"/>
      </w:pPr>
      <w:r>
        <w:t>The number of older adults that live alone is higher for program part</w:t>
      </w:r>
      <w:r w:rsidR="0064616B">
        <w:t xml:space="preserve">icipants vs the general public.  </w:t>
      </w:r>
      <w:r w:rsidRPr="00861B41">
        <w:t>Nationally, 24</w:t>
      </w:r>
      <w:r>
        <w:t xml:space="preserve"> percent of persons</w:t>
      </w:r>
      <w:r w:rsidRPr="00861B41">
        <w:t xml:space="preserve"> age 60 years and older live alone.</w:t>
      </w:r>
      <w:r w:rsidRPr="00861B41">
        <w:rPr>
          <w:rStyle w:val="FootnoteReference"/>
        </w:rPr>
        <w:footnoteReference w:id="37"/>
      </w:r>
      <w:r w:rsidRPr="00861B41">
        <w:t xml:space="preserve">  </w:t>
      </w:r>
      <w:r w:rsidR="00DC1EDA" w:rsidRPr="00861B41">
        <w:t>However,</w:t>
      </w:r>
      <w:r>
        <w:t xml:space="preserve"> through effective targeting,</w:t>
      </w:r>
      <w:r w:rsidRPr="00861B41">
        <w:t xml:space="preserve"> 4</w:t>
      </w:r>
      <w:r w:rsidR="00A92C01">
        <w:t>8</w:t>
      </w:r>
      <w:r w:rsidRPr="00861B41">
        <w:t xml:space="preserve"> percent of congregate </w:t>
      </w:r>
      <w:r>
        <w:t xml:space="preserve">NSP participants </w:t>
      </w:r>
      <w:r w:rsidRPr="00861B41">
        <w:t>and 5</w:t>
      </w:r>
      <w:r w:rsidR="00A92C01">
        <w:t>7</w:t>
      </w:r>
      <w:r w:rsidRPr="00861B41">
        <w:t xml:space="preserve"> percent of home</w:t>
      </w:r>
      <w:r>
        <w:t xml:space="preserve"> NSP </w:t>
      </w:r>
      <w:r w:rsidRPr="00861B41">
        <w:t>participants live alone.</w:t>
      </w:r>
      <w:r w:rsidRPr="00861B41">
        <w:rPr>
          <w:rStyle w:val="FootnoteReference"/>
        </w:rPr>
        <w:footnoteReference w:id="38"/>
      </w:r>
      <w:r w:rsidRPr="00861B41">
        <w:t xml:space="preserve">  </w:t>
      </w:r>
      <w:r>
        <w:t>Research has indicated that living alone often increases an older adult’s risk of inadequate social connections, which m</w:t>
      </w:r>
      <w:r w:rsidR="0064616B">
        <w:t xml:space="preserve">ay exacerbate social isolation.  </w:t>
      </w:r>
      <w:r>
        <w:rPr>
          <w:lang w:val="en"/>
        </w:rPr>
        <w:t>Epidemiological studies have associated social is</w:t>
      </w:r>
      <w:r w:rsidR="0064616B">
        <w:rPr>
          <w:lang w:val="en"/>
        </w:rPr>
        <w:t xml:space="preserve">olation with high health risks.  </w:t>
      </w:r>
      <w:r w:rsidRPr="00B555C5">
        <w:rPr>
          <w:lang w:val="en"/>
        </w:rPr>
        <w:t>Individuals who lack social connections or report frequent feelings of loneliness tend to suffer higher rates of morbidity</w:t>
      </w:r>
      <w:r>
        <w:rPr>
          <w:lang w:val="en"/>
        </w:rPr>
        <w:t xml:space="preserve">, </w:t>
      </w:r>
      <w:r w:rsidRPr="00B555C5">
        <w:rPr>
          <w:lang w:val="en"/>
        </w:rPr>
        <w:t>infection, depression</w:t>
      </w:r>
      <w:r>
        <w:rPr>
          <w:lang w:val="en"/>
        </w:rPr>
        <w:t xml:space="preserve"> and cognitive dec</w:t>
      </w:r>
      <w:r w:rsidRPr="00B555C5">
        <w:rPr>
          <w:lang w:val="en"/>
        </w:rPr>
        <w:t>line</w:t>
      </w:r>
      <w:r>
        <w:rPr>
          <w:rStyle w:val="FootnoteReference"/>
          <w:lang w:val="en"/>
        </w:rPr>
        <w:footnoteReference w:id="39"/>
      </w:r>
      <w:r w:rsidR="00D13833">
        <w:rPr>
          <w:lang w:val="en"/>
        </w:rPr>
        <w:t xml:space="preserve">.  </w:t>
      </w:r>
      <w:r>
        <w:rPr>
          <w:lang w:val="en"/>
        </w:rPr>
        <w:t xml:space="preserve">In a recent national evaluation, </w:t>
      </w:r>
      <w:r>
        <w:t>when nonparticipants were compared to participants in the congregate meal program, participants were more satisfied with their socialization opportunities.</w:t>
      </w:r>
      <w:r>
        <w:rPr>
          <w:rStyle w:val="FootnoteReference"/>
        </w:rPr>
        <w:footnoteReference w:id="40"/>
      </w:r>
    </w:p>
    <w:p w14:paraId="32EC9DCB" w14:textId="77777777" w:rsidR="00C451BE" w:rsidRPr="00861B41" w:rsidRDefault="00C451BE" w:rsidP="00C451BE">
      <w:pPr>
        <w:contextualSpacing/>
        <w:jc w:val="both"/>
      </w:pPr>
    </w:p>
    <w:p w14:paraId="3A6E4FEF" w14:textId="5F91E87B" w:rsidR="00C451BE" w:rsidRDefault="00C451BE" w:rsidP="008D422C">
      <w:pPr>
        <w:jc w:val="both"/>
      </w:pPr>
      <w:r>
        <w:t>The NSP serves nutritious meals to older adults in an in an effort to improve or maintain the participant’s health status and improve the participant’s food insecurity status</w:t>
      </w:r>
      <w:r w:rsidR="00D13833">
        <w:t xml:space="preserve">.  </w:t>
      </w:r>
      <w:r>
        <w:t xml:space="preserve">Older adults that </w:t>
      </w:r>
      <w:r>
        <w:lastRenderedPageBreak/>
        <w:t>do not have reliable access to a sufficient quantity of affordable, nutritious food are considered food insecure</w:t>
      </w:r>
      <w:r w:rsidR="00D13833">
        <w:t xml:space="preserve">.  </w:t>
      </w:r>
      <w:r>
        <w:t>Although the majority of NSP participants were food secure, 16 percent of congregate meal participants and 23 percent of home-delivered meal participants are food insecure</w:t>
      </w:r>
      <w:r w:rsidR="00D13833">
        <w:t xml:space="preserve">.  </w:t>
      </w:r>
      <w:r>
        <w:t>Older adults that are food insecure are in poorer health when compared to food secure older adults</w:t>
      </w:r>
      <w:r w:rsidR="00D13833">
        <w:t xml:space="preserve">.  </w:t>
      </w:r>
      <w:r>
        <w:t>F</w:t>
      </w:r>
      <w:r w:rsidRPr="00B60C87">
        <w:t xml:space="preserve">ood insecure older adults are 65 percent more likely to be diabetic, 2.3 times more likely to suffer from depression, 57 percent more likely to have congestive heart failure, 66 </w:t>
      </w:r>
      <w:r>
        <w:t xml:space="preserve">percent </w:t>
      </w:r>
      <w:r w:rsidRPr="00B60C87">
        <w:t>more likely to have experienced a heart attack, twice as likely to report having gum disease, and 91 percent more likely to have asthma.</w:t>
      </w:r>
      <w:r w:rsidRPr="00B60C87">
        <w:rPr>
          <w:rStyle w:val="FootnoteReference"/>
        </w:rPr>
        <w:footnoteReference w:id="41"/>
      </w:r>
      <w:r w:rsidRPr="00B60C87">
        <w:t xml:space="preserve">  </w:t>
      </w:r>
    </w:p>
    <w:p w14:paraId="00176804" w14:textId="77777777" w:rsidR="00DC1EDA" w:rsidRPr="00B60C87" w:rsidRDefault="00DC1EDA" w:rsidP="00C451BE"/>
    <w:p w14:paraId="30B9982E" w14:textId="073A39C2" w:rsidR="00C451BE" w:rsidRPr="00AE5090" w:rsidRDefault="00C451BE" w:rsidP="00C451BE">
      <w:pPr>
        <w:contextualSpacing/>
        <w:jc w:val="both"/>
      </w:pPr>
      <w:r w:rsidRPr="00861B41">
        <w:t xml:space="preserve">Data from AoA’s </w:t>
      </w:r>
      <w:r w:rsidR="00C53781">
        <w:t xml:space="preserve">National Survey of Older Americans Act Participants </w:t>
      </w:r>
      <w:r w:rsidRPr="00861B41">
        <w:t xml:space="preserve">show that Nutrition Services are effectively helping older adults improve their nutritional intake and remain at home. For example, data indicate that </w:t>
      </w:r>
      <w:r w:rsidR="00C53781">
        <w:t>76</w:t>
      </w:r>
      <w:r w:rsidRPr="00861B41">
        <w:t xml:space="preserve"> percent of congregate and </w:t>
      </w:r>
      <w:r w:rsidR="00C53781">
        <w:t>81</w:t>
      </w:r>
      <w:r w:rsidRPr="00861B41">
        <w:t xml:space="preserve"> percent of home-delivered meal </w:t>
      </w:r>
      <w:r w:rsidRPr="00A36253">
        <w:t>participants say they eat healthier meals due to the programs, and 65 percent of congregate and 9</w:t>
      </w:r>
      <w:r w:rsidR="00C53781">
        <w:t>4</w:t>
      </w:r>
      <w:r w:rsidRPr="00A36253">
        <w:t xml:space="preserve"> percent of home-delivered meal recipients say that the meals enable them to continue living in their homes.</w:t>
      </w:r>
      <w:r w:rsidRPr="00A36253">
        <w:rPr>
          <w:rStyle w:val="FootnoteReference"/>
        </w:rPr>
        <w:footnoteReference w:id="42"/>
      </w:r>
      <w:r w:rsidRPr="00A36253">
        <w:t xml:space="preserve">  Independent research has found that states that invest more in delivering OAA home-delivered meals to older adults’ have lower rates of “low-care” older adults in nursing homes after adjusting for several other factors.</w:t>
      </w:r>
      <w:r w:rsidRPr="00A36253">
        <w:rPr>
          <w:rStyle w:val="FootnoteReference"/>
        </w:rPr>
        <w:footnoteReference w:id="43"/>
      </w:r>
      <w:r w:rsidRPr="00A36253">
        <w:t xml:space="preserve">  For every $25 per year per older adult that states spend on home-delivered meals, the state reduces their percentage of these lower needs nursing home residents by one percent when compared to the national average.</w:t>
      </w:r>
      <w:r w:rsidRPr="00A36253">
        <w:rPr>
          <w:rStyle w:val="FootnoteReference"/>
        </w:rPr>
        <w:footnoteReference w:id="44"/>
      </w:r>
      <w:r w:rsidRPr="00A36253">
        <w:t xml:space="preserve">  This evidence is a testimonial to the savings gained from this foundational home- and community-based service.</w:t>
      </w:r>
    </w:p>
    <w:p w14:paraId="5B0FF5F3" w14:textId="77777777" w:rsidR="00C451BE" w:rsidRPr="00AE5090" w:rsidRDefault="00C451BE" w:rsidP="00C451BE">
      <w:pPr>
        <w:contextualSpacing/>
        <w:jc w:val="both"/>
      </w:pPr>
    </w:p>
    <w:p w14:paraId="0E5B51EF" w14:textId="5FC674E2" w:rsidR="00C451BE" w:rsidRPr="00A36253" w:rsidRDefault="00C451BE" w:rsidP="00C451BE">
      <w:pPr>
        <w:contextualSpacing/>
        <w:jc w:val="both"/>
      </w:pPr>
      <w:r w:rsidRPr="00A36253">
        <w:t>AoA’s annual performance data further demonstrate that these programs are highly valued by older people who need assistance in order to remain healthy and indepe</w:t>
      </w:r>
      <w:r w:rsidR="005E2992">
        <w:t xml:space="preserve">ndent in their homes.  </w:t>
      </w:r>
      <w:r w:rsidRPr="00A36253">
        <w:t>Nearly 8</w:t>
      </w:r>
      <w:r w:rsidR="00C53781">
        <w:t>8</w:t>
      </w:r>
      <w:r w:rsidRPr="00A36253">
        <w:t xml:space="preserve"> percent of home-delivered meal clients and 90 percent of congregate participants rate the meal as good to excellent.</w:t>
      </w:r>
      <w:r w:rsidRPr="00A36253">
        <w:rPr>
          <w:rStyle w:val="FootnoteReference"/>
        </w:rPr>
        <w:footnoteReference w:id="45"/>
      </w:r>
      <w:r w:rsidRPr="00A36253">
        <w:t xml:space="preserve">  </w:t>
      </w:r>
      <w:r>
        <w:t>According to a recent evaluation, congregate NSP participant’s diets provided more nutrient dense foods and nutrients when compared to nonparticipants</w:t>
      </w:r>
      <w:r w:rsidR="005D5508">
        <w:t xml:space="preserve">.  </w:t>
      </w:r>
      <w:r>
        <w:t xml:space="preserve">Congregate NSP participants had significantly higher intake </w:t>
      </w:r>
      <w:r w:rsidR="00AD5F3F">
        <w:t xml:space="preserve">percentages </w:t>
      </w:r>
      <w:r>
        <w:t>of dairy (69 vs 72), total fruit (97 vs 72) and total vegetables 87 vs 60)</w:t>
      </w:r>
      <w:r w:rsidR="005D5508">
        <w:t xml:space="preserve">.  </w:t>
      </w:r>
      <w:r>
        <w:t xml:space="preserve">Home NSP participants consumed a significantly higher </w:t>
      </w:r>
      <w:r w:rsidR="00AD5F3F">
        <w:t xml:space="preserve">percentage </w:t>
      </w:r>
      <w:r>
        <w:t xml:space="preserve"> of dairy when compared</w:t>
      </w:r>
      <w:r w:rsidR="005D5508">
        <w:t xml:space="preserve"> to nonparticipants (72 vs 58).  </w:t>
      </w:r>
      <w:r w:rsidRPr="00A36253">
        <w:t>The most recent data on how these nutrition programs are helping older adults remain healthy and independent in their homes include:</w:t>
      </w:r>
      <w:r>
        <w:rPr>
          <w:rStyle w:val="FootnoteReference"/>
        </w:rPr>
        <w:footnoteReference w:id="46"/>
      </w:r>
    </w:p>
    <w:p w14:paraId="61B928D3" w14:textId="77777777" w:rsidR="00AC041E" w:rsidRPr="00A36253" w:rsidRDefault="00AC041E" w:rsidP="00AC041E">
      <w:pPr>
        <w:contextualSpacing/>
        <w:jc w:val="both"/>
      </w:pPr>
    </w:p>
    <w:p w14:paraId="176023C9" w14:textId="52AED529" w:rsidR="00AC041E" w:rsidRPr="00A36253" w:rsidRDefault="00AC041E" w:rsidP="000E0C66">
      <w:pPr>
        <w:contextualSpacing/>
        <w:jc w:val="both"/>
      </w:pPr>
      <w:r w:rsidRPr="00A36253">
        <w:rPr>
          <w:i/>
        </w:rPr>
        <w:t>Home-Delivered Nutrition Services</w:t>
      </w:r>
      <w:r w:rsidRPr="00A36253">
        <w:t xml:space="preserve"> provide</w:t>
      </w:r>
      <w:r w:rsidR="00466EC0" w:rsidRPr="00A36253">
        <w:t>d</w:t>
      </w:r>
      <w:r w:rsidR="005254B6" w:rsidRPr="00A36253">
        <w:t xml:space="preserve"> 14</w:t>
      </w:r>
      <w:r w:rsidR="00955D37">
        <w:t>4</w:t>
      </w:r>
      <w:r w:rsidR="006A7972" w:rsidRPr="00A36253">
        <w:t xml:space="preserve"> </w:t>
      </w:r>
      <w:r w:rsidR="00466EC0" w:rsidRPr="00A36253">
        <w:t xml:space="preserve">million meals to </w:t>
      </w:r>
      <w:r w:rsidR="006403D4" w:rsidRPr="00A36253">
        <w:t xml:space="preserve">over </w:t>
      </w:r>
      <w:r w:rsidR="006A7972" w:rsidRPr="00A36253">
        <w:t>8</w:t>
      </w:r>
      <w:r w:rsidR="003612C1" w:rsidRPr="00A36253">
        <w:t>6</w:t>
      </w:r>
      <w:r w:rsidR="00DF0E23">
        <w:t>0</w:t>
      </w:r>
      <w:r w:rsidR="006A7972" w:rsidRPr="00A36253">
        <w:t>,00</w:t>
      </w:r>
      <w:r w:rsidR="002D259F" w:rsidRPr="00A36253">
        <w:t>0</w:t>
      </w:r>
      <w:r w:rsidR="00466EC0" w:rsidRPr="00A36253">
        <w:t xml:space="preserve"> individuals in FY </w:t>
      </w:r>
      <w:r w:rsidR="006A7972" w:rsidRPr="00A36253">
        <w:t>201</w:t>
      </w:r>
      <w:r w:rsidR="00A14671">
        <w:t>7</w:t>
      </w:r>
      <w:r w:rsidR="003E613B" w:rsidRPr="00A36253">
        <w:t>.</w:t>
      </w:r>
      <w:r w:rsidR="00466EC0" w:rsidRPr="00A36253">
        <w:rPr>
          <w:rStyle w:val="FootnoteReference"/>
        </w:rPr>
        <w:footnoteReference w:id="47"/>
      </w:r>
    </w:p>
    <w:p w14:paraId="5E499688" w14:textId="77777777" w:rsidR="00FD5B4E" w:rsidRPr="00A36253" w:rsidRDefault="00FD5B4E" w:rsidP="000E0C66">
      <w:pPr>
        <w:contextualSpacing/>
        <w:jc w:val="both"/>
      </w:pPr>
    </w:p>
    <w:p w14:paraId="4820C84E" w14:textId="7C7722C9" w:rsidR="00AC041E" w:rsidRPr="00A36253" w:rsidRDefault="00AC041E" w:rsidP="000E0C66">
      <w:pPr>
        <w:contextualSpacing/>
        <w:jc w:val="both"/>
      </w:pPr>
      <w:r w:rsidRPr="00A36253">
        <w:rPr>
          <w:i/>
        </w:rPr>
        <w:t>Congregate Nutrition Services</w:t>
      </w:r>
      <w:r w:rsidR="00466EC0" w:rsidRPr="00A36253">
        <w:t xml:space="preserve"> provided </w:t>
      </w:r>
      <w:r w:rsidR="003612C1" w:rsidRPr="00A36253">
        <w:t>over</w:t>
      </w:r>
      <w:r w:rsidR="008558B3">
        <w:t xml:space="preserve"> </w:t>
      </w:r>
      <w:r w:rsidR="005254B6" w:rsidRPr="00A36253">
        <w:t>7</w:t>
      </w:r>
      <w:r w:rsidR="00A14671">
        <w:t>6</w:t>
      </w:r>
      <w:r w:rsidR="00DF0E23">
        <w:t>.</w:t>
      </w:r>
      <w:r w:rsidR="00DC1EDA">
        <w:t>2</w:t>
      </w:r>
      <w:r w:rsidR="006403D4" w:rsidRPr="00A36253">
        <w:t xml:space="preserve"> </w:t>
      </w:r>
      <w:r w:rsidRPr="00A36253">
        <w:t xml:space="preserve">million meals to </w:t>
      </w:r>
      <w:r w:rsidR="008558B3">
        <w:t xml:space="preserve">more than </w:t>
      </w:r>
      <w:r w:rsidR="003612C1" w:rsidRPr="00A36253">
        <w:t>1.5</w:t>
      </w:r>
      <w:r w:rsidRPr="00A36253">
        <w:t xml:space="preserve"> </w:t>
      </w:r>
      <w:r w:rsidR="00CE09FB">
        <w:t xml:space="preserve">million </w:t>
      </w:r>
      <w:r w:rsidR="008F26CF" w:rsidRPr="00A36253">
        <w:t>older adults</w:t>
      </w:r>
      <w:r w:rsidRPr="00A36253">
        <w:t xml:space="preserve"> in a variety of community settings in </w:t>
      </w:r>
      <w:r w:rsidR="00466EC0" w:rsidRPr="00A36253">
        <w:t xml:space="preserve">FY </w:t>
      </w:r>
      <w:r w:rsidR="006A7972" w:rsidRPr="00A36253">
        <w:t>201</w:t>
      </w:r>
      <w:r w:rsidR="00A14671">
        <w:t>7</w:t>
      </w:r>
      <w:r w:rsidR="003E613B" w:rsidRPr="00A36253">
        <w:t>.</w:t>
      </w:r>
      <w:r w:rsidR="00466EC0" w:rsidRPr="00A36253">
        <w:rPr>
          <w:rStyle w:val="FootnoteReference"/>
        </w:rPr>
        <w:footnoteReference w:id="48"/>
      </w:r>
    </w:p>
    <w:p w14:paraId="2CB13D91" w14:textId="77777777" w:rsidR="00AC041E" w:rsidRPr="00A36253" w:rsidRDefault="00AC041E" w:rsidP="00AC041E">
      <w:pPr>
        <w:contextualSpacing/>
        <w:jc w:val="both"/>
      </w:pPr>
    </w:p>
    <w:p w14:paraId="2693A65D" w14:textId="3686A471" w:rsidR="00AC041E" w:rsidRPr="00A36253" w:rsidRDefault="00AC041E" w:rsidP="00AC041E">
      <w:pPr>
        <w:contextualSpacing/>
        <w:jc w:val="both"/>
      </w:pPr>
      <w:r w:rsidRPr="00A36253">
        <w:t>Consistent with the OAA’s requirement to target services to those most in need to help them maintain their health an</w:t>
      </w:r>
      <w:r w:rsidR="00466EC0" w:rsidRPr="00A36253">
        <w:t xml:space="preserve">d independence, approximately </w:t>
      </w:r>
      <w:r w:rsidR="00D509E7">
        <w:t>67</w:t>
      </w:r>
      <w:r w:rsidR="006403D4" w:rsidRPr="00A36253">
        <w:t xml:space="preserve"> </w:t>
      </w:r>
      <w:r w:rsidRPr="00A36253">
        <w:t xml:space="preserve">percent of home-delivered meal </w:t>
      </w:r>
      <w:r w:rsidRPr="00A36253">
        <w:lastRenderedPageBreak/>
        <w:t>recipients have annual incomes at or below $20,000.</w:t>
      </w:r>
      <w:r w:rsidR="000C2425" w:rsidRPr="00A36253">
        <w:rPr>
          <w:rStyle w:val="FootnoteReference"/>
        </w:rPr>
        <w:footnoteReference w:id="49"/>
      </w:r>
      <w:r w:rsidR="00DD3807">
        <w:t xml:space="preserve">  </w:t>
      </w:r>
      <w:r w:rsidRPr="00A36253">
        <w:t>Meals are e</w:t>
      </w:r>
      <w:r w:rsidR="00466EC0" w:rsidRPr="00A36253">
        <w:t xml:space="preserve">specially critical for the </w:t>
      </w:r>
      <w:r w:rsidR="003612C1" w:rsidRPr="00A36253">
        <w:t>6</w:t>
      </w:r>
      <w:r w:rsidR="00D509E7">
        <w:t>6</w:t>
      </w:r>
      <w:r w:rsidR="009626E9" w:rsidRPr="00A36253">
        <w:t> </w:t>
      </w:r>
      <w:r w:rsidR="006403D4" w:rsidRPr="00A36253">
        <w:t>percent of ho</w:t>
      </w:r>
      <w:r w:rsidR="00C87372" w:rsidRPr="00A36253">
        <w:t>me-delivered and 5</w:t>
      </w:r>
      <w:r w:rsidR="00D509E7">
        <w:t>4</w:t>
      </w:r>
      <w:r w:rsidR="006403D4" w:rsidRPr="00A36253">
        <w:t xml:space="preserve"> </w:t>
      </w:r>
      <w:r w:rsidRPr="00A36253">
        <w:t xml:space="preserve">percent of </w:t>
      </w:r>
      <w:r w:rsidR="00AF1C7D" w:rsidRPr="00A36253">
        <w:t xml:space="preserve">congregate </w:t>
      </w:r>
      <w:r w:rsidRPr="00A36253">
        <w:t>recipients who report these meals provide half or more of their food intake for the day.</w:t>
      </w:r>
      <w:r w:rsidR="00533D54" w:rsidRPr="00A36253">
        <w:rPr>
          <w:rStyle w:val="FootnoteReference"/>
        </w:rPr>
        <w:footnoteReference w:id="50"/>
      </w:r>
      <w:r w:rsidRPr="00A36253">
        <w:t xml:space="preserve"> </w:t>
      </w:r>
    </w:p>
    <w:p w14:paraId="09620A97" w14:textId="77777777" w:rsidR="00AC041E" w:rsidRPr="00A36253" w:rsidRDefault="00AC041E" w:rsidP="00AC041E">
      <w:pPr>
        <w:contextualSpacing/>
        <w:jc w:val="both"/>
      </w:pPr>
    </w:p>
    <w:p w14:paraId="1F736733" w14:textId="26FF9986" w:rsidR="00C451BE" w:rsidRPr="00A36253" w:rsidRDefault="00C451BE" w:rsidP="00C451BE">
      <w:pPr>
        <w:contextualSpacing/>
        <w:jc w:val="both"/>
      </w:pPr>
      <w:r w:rsidRPr="00A36253">
        <w:t xml:space="preserve">Federal support for </w:t>
      </w:r>
      <w:r>
        <w:t xml:space="preserve">the </w:t>
      </w:r>
      <w:r w:rsidRPr="00A36253">
        <w:t xml:space="preserve">Nutrition Services </w:t>
      </w:r>
      <w:r>
        <w:t xml:space="preserve">Programs </w:t>
      </w:r>
      <w:r w:rsidRPr="00A36253">
        <w:t xml:space="preserve">is not expected to </w:t>
      </w:r>
      <w:r>
        <w:t>provide all needed funding for all participants, nor provide programming for</w:t>
      </w:r>
      <w:r w:rsidR="00DD3807">
        <w:t xml:space="preserve"> every older adult.  </w:t>
      </w:r>
      <w:r w:rsidRPr="00A36253">
        <w:t>These programs have strong partnerships with state and local governments, philanthropic organizations and private donations that contribute funding</w:t>
      </w:r>
      <w:r w:rsidR="00AA53F9">
        <w:t xml:space="preserve">.  </w:t>
      </w:r>
      <w:r w:rsidRPr="00A36253">
        <w:t>In FY 201</w:t>
      </w:r>
      <w:r w:rsidR="007A2D6D">
        <w:t>7</w:t>
      </w:r>
      <w:r w:rsidRPr="00A36253">
        <w:t>, state and local funding comprised two-thirds (6</w:t>
      </w:r>
      <w:r w:rsidR="007A2D6D">
        <w:t>6</w:t>
      </w:r>
      <w:r w:rsidRPr="00A36253">
        <w:t xml:space="preserve"> percent) of all the funding for home-delivered meals and nearly 5</w:t>
      </w:r>
      <w:r w:rsidR="007A2D6D">
        <w:t>4</w:t>
      </w:r>
      <w:r w:rsidRPr="00A36253">
        <w:t xml:space="preserve"> percent for congregate meals.</w:t>
      </w:r>
      <w:r w:rsidRPr="00A36253">
        <w:rPr>
          <w:rStyle w:val="FootnoteReference"/>
        </w:rPr>
        <w:footnoteReference w:id="51"/>
      </w:r>
      <w:r w:rsidR="00DD3807">
        <w:t xml:space="preserve">  </w:t>
      </w:r>
      <w:r w:rsidR="00DC1EDA">
        <w:t>Alt</w:t>
      </w:r>
      <w:r w:rsidRPr="00A36253">
        <w:t>hough all programs funded through the OAA rely on state and local funding in some part, funding for congregate and home-delivered meals leverages more state and local financial support than many other OAA services.</w:t>
      </w:r>
    </w:p>
    <w:p w14:paraId="6BCE4085" w14:textId="77777777" w:rsidR="00AC041E" w:rsidRPr="00A36253" w:rsidRDefault="00AC041E" w:rsidP="00AC041E">
      <w:pPr>
        <w:contextualSpacing/>
        <w:jc w:val="both"/>
      </w:pPr>
    </w:p>
    <w:p w14:paraId="628E2E71" w14:textId="77777777" w:rsidR="00AC041E" w:rsidRPr="004F1402" w:rsidRDefault="00AC041E" w:rsidP="00AC041E">
      <w:pPr>
        <w:contextualSpacing/>
        <w:jc w:val="both"/>
        <w:rPr>
          <w:i/>
        </w:rPr>
      </w:pPr>
      <w:r w:rsidRPr="00A36253">
        <w:rPr>
          <w:i/>
        </w:rPr>
        <w:t>State and Territory Flexibility</w:t>
      </w:r>
    </w:p>
    <w:p w14:paraId="6D51AF0A" w14:textId="77777777" w:rsidR="003568AA" w:rsidRDefault="003568AA" w:rsidP="00AC041E">
      <w:pPr>
        <w:contextualSpacing/>
        <w:jc w:val="both"/>
      </w:pPr>
    </w:p>
    <w:p w14:paraId="03989645" w14:textId="793A3296" w:rsidR="00AC041E" w:rsidRPr="004F1402" w:rsidRDefault="00AC041E" w:rsidP="00AC041E">
      <w:pPr>
        <w:contextualSpacing/>
        <w:jc w:val="both"/>
      </w:pPr>
      <w:r w:rsidRPr="004F1402">
        <w:t>Under the core state formula grant programs for Home and Community-Based Supportive Services</w:t>
      </w:r>
      <w:r w:rsidR="00CE09FB">
        <w:t xml:space="preserve"> (HCBSS)</w:t>
      </w:r>
      <w:r w:rsidRPr="004F1402">
        <w:t xml:space="preserve"> and Nutrition Services, states and territories have the flexibility to allocate resources to best meet local needs through intra-state funding formulas </w:t>
      </w:r>
      <w:r w:rsidR="00EA06EF">
        <w:t>that</w:t>
      </w:r>
      <w:r w:rsidR="00EA06EF" w:rsidRPr="004F1402">
        <w:t xml:space="preserve"> </w:t>
      </w:r>
      <w:r w:rsidRPr="004F1402">
        <w:t>distribute funds to area agencies on aging (AAA</w:t>
      </w:r>
      <w:r w:rsidR="002D259F">
        <w:t>s</w:t>
      </w:r>
      <w:r w:rsidR="00E6285E">
        <w:t>)</w:t>
      </w:r>
      <w:r w:rsidR="00AA53F9">
        <w:t xml:space="preserve">.  </w:t>
      </w:r>
      <w:r w:rsidRPr="004F1402">
        <w:t>These formulas vary by state and allow states to take into account their own local circumstances to best serve th</w:t>
      </w:r>
      <w:r w:rsidR="00E6285E">
        <w:t>eir population</w:t>
      </w:r>
      <w:r w:rsidR="00AA53F9">
        <w:t xml:space="preserve">.  </w:t>
      </w:r>
      <w:r w:rsidRPr="004F1402">
        <w:t>States are required to submit their formulas to AoA for approval and must take into account the geographic distribution of older persons and the distribution of older persons in greatest social and economic need</w:t>
      </w:r>
      <w:r w:rsidR="00AA53F9">
        <w:t xml:space="preserve">.  </w:t>
      </w:r>
      <w:r w:rsidRPr="004F1402">
        <w:t>AAAs a</w:t>
      </w:r>
      <w:r w:rsidR="00EE6D73">
        <w:t>d</w:t>
      </w:r>
      <w:r w:rsidRPr="004F1402">
        <w:t>minister these grants and provide grants or contracts to local service providers based on identified needs.</w:t>
      </w:r>
    </w:p>
    <w:p w14:paraId="0FC99A27" w14:textId="77777777" w:rsidR="00AC041E" w:rsidRPr="004F1402" w:rsidRDefault="00AC041E" w:rsidP="00AC041E">
      <w:pPr>
        <w:contextualSpacing/>
        <w:jc w:val="both"/>
      </w:pPr>
    </w:p>
    <w:p w14:paraId="442B8FC7" w14:textId="33490EEB" w:rsidR="00AC041E" w:rsidRPr="004F1402" w:rsidRDefault="00AC041E" w:rsidP="00AC041E">
      <w:pPr>
        <w:contextualSpacing/>
        <w:jc w:val="both"/>
      </w:pPr>
      <w:r w:rsidRPr="004F1402">
        <w:t>The OAA allows a state to transfer up to 40 percent of the funds between congregate and home-delivered meals for use as the state considers appropriate to meet the needs of the area served</w:t>
      </w:r>
      <w:r w:rsidR="001B2DC3">
        <w:t xml:space="preserve">. </w:t>
      </w:r>
      <w:r w:rsidRPr="004F1402">
        <w:t xml:space="preserve">Additionally, for any fiscal year in which the transferred funds are insufficient to satisfy the need for nutrition services, the </w:t>
      </w:r>
      <w:r w:rsidR="00FD2B2E">
        <w:t>A</w:t>
      </w:r>
      <w:r w:rsidRPr="004F1402">
        <w:t xml:space="preserve">ssistant </w:t>
      </w:r>
      <w:r w:rsidR="00FD2B2E">
        <w:t>S</w:t>
      </w:r>
      <w:r w:rsidRPr="004F1402">
        <w:t xml:space="preserve">ecretary for </w:t>
      </w:r>
      <w:r w:rsidR="00FD2B2E">
        <w:t>A</w:t>
      </w:r>
      <w:r w:rsidRPr="004F1402">
        <w:t>ging may grant a waiver that permits the state to transfer an additional 10 percent of</w:t>
      </w:r>
      <w:r w:rsidR="00E6285E">
        <w:t xml:space="preserve"> the funds to meet those needs</w:t>
      </w:r>
      <w:r w:rsidR="00AA53F9">
        <w:t xml:space="preserve">.  </w:t>
      </w:r>
      <w:r w:rsidRPr="004F1402">
        <w:t>The OAA provides further flexibility to states by allowing them to transfer up to 30 percent for any fiscal year between Supportive Services programs and Nutrition Services programs, for use as the state considers ap</w:t>
      </w:r>
      <w:r w:rsidR="00DC529C">
        <w:t>propriate</w:t>
      </w:r>
      <w:r w:rsidR="00AA53F9">
        <w:t xml:space="preserve">.  </w:t>
      </w:r>
      <w:r w:rsidRPr="004F1402">
        <w:t xml:space="preserve">These are options open </w:t>
      </w:r>
      <w:r w:rsidR="00DC529C">
        <w:t>only to states and territories</w:t>
      </w:r>
      <w:r w:rsidR="00AA53F9">
        <w:t xml:space="preserve">.  </w:t>
      </w:r>
      <w:r w:rsidRPr="004F1402">
        <w:t>A state agency may not delegate to an area agency on aging or any other entity the authority to make such transfers.</w:t>
      </w:r>
    </w:p>
    <w:p w14:paraId="56379551" w14:textId="1CBF191A" w:rsidR="00AC041E" w:rsidRDefault="00AC041E" w:rsidP="00B8144E">
      <w:pPr>
        <w:contextualSpacing/>
        <w:jc w:val="both"/>
      </w:pPr>
    </w:p>
    <w:p w14:paraId="6A32C479" w14:textId="7DDF289C" w:rsidR="005E2D65" w:rsidRDefault="005E2D65" w:rsidP="00B8144E">
      <w:pPr>
        <w:contextualSpacing/>
        <w:jc w:val="both"/>
      </w:pPr>
    </w:p>
    <w:p w14:paraId="7525D58A" w14:textId="24682C60" w:rsidR="005E2D65" w:rsidRDefault="005E2D65" w:rsidP="00B8144E">
      <w:pPr>
        <w:contextualSpacing/>
        <w:jc w:val="both"/>
      </w:pPr>
    </w:p>
    <w:p w14:paraId="4B7B180B" w14:textId="6C2C1805" w:rsidR="005E2D65" w:rsidRDefault="005E2D65" w:rsidP="00B8144E">
      <w:pPr>
        <w:contextualSpacing/>
        <w:jc w:val="both"/>
      </w:pPr>
    </w:p>
    <w:p w14:paraId="72A27159" w14:textId="7E164363" w:rsidR="005E2D65" w:rsidRDefault="005E2D65" w:rsidP="00B8144E">
      <w:pPr>
        <w:contextualSpacing/>
        <w:jc w:val="both"/>
      </w:pPr>
    </w:p>
    <w:p w14:paraId="37242F57" w14:textId="7A619110" w:rsidR="005E2D65" w:rsidRDefault="005E2D65" w:rsidP="00B8144E">
      <w:pPr>
        <w:contextualSpacing/>
        <w:jc w:val="both"/>
      </w:pPr>
    </w:p>
    <w:p w14:paraId="0C071DBC" w14:textId="732E84BA" w:rsidR="005E2D65" w:rsidRDefault="005E2D65" w:rsidP="00B8144E">
      <w:pPr>
        <w:contextualSpacing/>
        <w:jc w:val="both"/>
      </w:pPr>
    </w:p>
    <w:p w14:paraId="5AA6C037" w14:textId="34BBEB9B" w:rsidR="005E2D65" w:rsidRDefault="005E2D65" w:rsidP="00B8144E">
      <w:pPr>
        <w:contextualSpacing/>
        <w:jc w:val="both"/>
      </w:pPr>
    </w:p>
    <w:p w14:paraId="284A74E0" w14:textId="64571271" w:rsidR="005E2D65" w:rsidRDefault="005E2D65" w:rsidP="00B8144E">
      <w:pPr>
        <w:contextualSpacing/>
        <w:jc w:val="both"/>
      </w:pPr>
    </w:p>
    <w:p w14:paraId="7B6B6937" w14:textId="03179032" w:rsidR="005E2D65" w:rsidRDefault="005E2D65" w:rsidP="00B8144E">
      <w:pPr>
        <w:contextualSpacing/>
        <w:jc w:val="both"/>
      </w:pPr>
    </w:p>
    <w:p w14:paraId="3A0378E0" w14:textId="294FFF70" w:rsidR="005E2D65" w:rsidRDefault="005E2D65" w:rsidP="00B8144E">
      <w:pPr>
        <w:contextualSpacing/>
        <w:jc w:val="both"/>
      </w:pPr>
    </w:p>
    <w:p w14:paraId="7D072707" w14:textId="77777777" w:rsidR="005E2D65" w:rsidRPr="004F1402" w:rsidRDefault="005E2D65" w:rsidP="00B8144E">
      <w:pPr>
        <w:contextualSpacing/>
        <w:jc w:val="both"/>
      </w:pPr>
    </w:p>
    <w:p w14:paraId="2D681DF7" w14:textId="6E725612" w:rsidR="006065D1" w:rsidRPr="003568AA" w:rsidRDefault="006065D1" w:rsidP="006065D1">
      <w:pPr>
        <w:tabs>
          <w:tab w:val="left" w:pos="540"/>
        </w:tabs>
        <w:jc w:val="both"/>
        <w:rPr>
          <w:b/>
        </w:rPr>
      </w:pPr>
      <w:bookmarkStart w:id="19" w:name="_Toc294712677"/>
      <w:bookmarkStart w:id="20" w:name="_Toc316405568"/>
      <w:bookmarkEnd w:id="14"/>
      <w:bookmarkEnd w:id="15"/>
      <w:r w:rsidRPr="003568AA">
        <w:rPr>
          <w:b/>
        </w:rPr>
        <w:lastRenderedPageBreak/>
        <w:t>Table 1</w:t>
      </w:r>
      <w:r w:rsidR="001B2DC3">
        <w:rPr>
          <w:b/>
        </w:rPr>
        <w:t xml:space="preserve">. </w:t>
      </w:r>
      <w:r w:rsidRPr="003568AA">
        <w:rPr>
          <w:b/>
        </w:rPr>
        <w:t>FY 201</w:t>
      </w:r>
      <w:r w:rsidR="00C31FE1">
        <w:rPr>
          <w:b/>
        </w:rPr>
        <w:t>7</w:t>
      </w:r>
      <w:r w:rsidRPr="003568AA">
        <w:rPr>
          <w:b/>
        </w:rPr>
        <w:t xml:space="preserve"> Transfer of Federal funds within Title III of the OAA</w:t>
      </w:r>
    </w:p>
    <w:p w14:paraId="0E5268E5" w14:textId="77777777" w:rsidR="009913EA" w:rsidRPr="004F1402" w:rsidRDefault="009913EA" w:rsidP="006065D1">
      <w:pPr>
        <w:tabs>
          <w:tab w:val="left" w:pos="540"/>
        </w:tabs>
        <w:jc w:val="both"/>
      </w:pPr>
    </w:p>
    <w:tbl>
      <w:tblPr>
        <w:tblStyle w:val="TableGrid"/>
        <w:tblW w:w="0" w:type="auto"/>
        <w:tblLook w:val="01E0" w:firstRow="1" w:lastRow="1" w:firstColumn="1" w:lastColumn="1" w:noHBand="0" w:noVBand="0"/>
      </w:tblPr>
      <w:tblGrid>
        <w:gridCol w:w="2213"/>
        <w:gridCol w:w="2637"/>
        <w:gridCol w:w="2160"/>
        <w:gridCol w:w="2340"/>
      </w:tblGrid>
      <w:tr w:rsidR="006065D1" w:rsidRPr="004F1402" w14:paraId="406A49FA" w14:textId="77777777" w:rsidTr="001B4FF3">
        <w:tc>
          <w:tcPr>
            <w:tcW w:w="2214" w:type="dxa"/>
          </w:tcPr>
          <w:p w14:paraId="0A8EDCB5" w14:textId="77777777" w:rsidR="006065D1" w:rsidRPr="004F1402" w:rsidRDefault="006065D1" w:rsidP="002E119D">
            <w:pPr>
              <w:jc w:val="both"/>
            </w:pPr>
          </w:p>
        </w:tc>
        <w:tc>
          <w:tcPr>
            <w:tcW w:w="2638" w:type="dxa"/>
          </w:tcPr>
          <w:p w14:paraId="25B5B21E" w14:textId="77777777" w:rsidR="006065D1" w:rsidRPr="004F1402" w:rsidRDefault="006065D1" w:rsidP="002E119D">
            <w:pPr>
              <w:jc w:val="center"/>
              <w:rPr>
                <w:b/>
                <w:sz w:val="20"/>
              </w:rPr>
            </w:pPr>
            <w:r w:rsidRPr="004F1402">
              <w:rPr>
                <w:b/>
                <w:sz w:val="20"/>
              </w:rPr>
              <w:t>Part B –</w:t>
            </w:r>
          </w:p>
          <w:p w14:paraId="467F02BD" w14:textId="77777777" w:rsidR="006065D1" w:rsidRPr="004F1402" w:rsidRDefault="006065D1" w:rsidP="002E119D">
            <w:pPr>
              <w:jc w:val="center"/>
              <w:rPr>
                <w:b/>
                <w:sz w:val="20"/>
              </w:rPr>
            </w:pPr>
            <w:r w:rsidRPr="004F1402">
              <w:rPr>
                <w:b/>
                <w:sz w:val="20"/>
              </w:rPr>
              <w:t>Home and Community-Based Supportive Services</w:t>
            </w:r>
          </w:p>
        </w:tc>
        <w:tc>
          <w:tcPr>
            <w:tcW w:w="2160" w:type="dxa"/>
          </w:tcPr>
          <w:p w14:paraId="1198DE56" w14:textId="77777777" w:rsidR="006065D1" w:rsidRPr="004F1402" w:rsidRDefault="006065D1" w:rsidP="002E119D">
            <w:pPr>
              <w:jc w:val="center"/>
              <w:rPr>
                <w:b/>
                <w:sz w:val="20"/>
              </w:rPr>
            </w:pPr>
            <w:r w:rsidRPr="004F1402">
              <w:rPr>
                <w:b/>
                <w:sz w:val="20"/>
              </w:rPr>
              <w:t>Part C1 –</w:t>
            </w:r>
          </w:p>
          <w:p w14:paraId="30963C45" w14:textId="77777777" w:rsidR="006065D1" w:rsidRPr="004F1402" w:rsidRDefault="006065D1" w:rsidP="002E119D">
            <w:pPr>
              <w:jc w:val="center"/>
              <w:rPr>
                <w:b/>
                <w:sz w:val="20"/>
              </w:rPr>
            </w:pPr>
            <w:r w:rsidRPr="004F1402">
              <w:rPr>
                <w:b/>
                <w:sz w:val="20"/>
              </w:rPr>
              <w:t>Congregate Nutrition</w:t>
            </w:r>
          </w:p>
        </w:tc>
        <w:tc>
          <w:tcPr>
            <w:tcW w:w="2340" w:type="dxa"/>
          </w:tcPr>
          <w:p w14:paraId="0E92F14B" w14:textId="77777777" w:rsidR="006065D1" w:rsidRPr="004F1402" w:rsidRDefault="006065D1" w:rsidP="002E119D">
            <w:pPr>
              <w:jc w:val="center"/>
              <w:rPr>
                <w:b/>
                <w:sz w:val="20"/>
              </w:rPr>
            </w:pPr>
            <w:r w:rsidRPr="004F1402">
              <w:rPr>
                <w:b/>
                <w:sz w:val="20"/>
              </w:rPr>
              <w:t>Part C2 –</w:t>
            </w:r>
          </w:p>
          <w:p w14:paraId="363F9600" w14:textId="77777777" w:rsidR="006065D1" w:rsidRPr="004F1402" w:rsidRDefault="006065D1" w:rsidP="002E119D">
            <w:pPr>
              <w:jc w:val="center"/>
              <w:rPr>
                <w:b/>
                <w:sz w:val="20"/>
              </w:rPr>
            </w:pPr>
            <w:r w:rsidRPr="004F1402">
              <w:rPr>
                <w:b/>
                <w:sz w:val="20"/>
              </w:rPr>
              <w:t>Home-Delivered Meals</w:t>
            </w:r>
          </w:p>
        </w:tc>
      </w:tr>
      <w:tr w:rsidR="004A19FF" w:rsidRPr="004F1402" w14:paraId="118FB13B" w14:textId="77777777" w:rsidTr="001B4FF3">
        <w:trPr>
          <w:trHeight w:val="432"/>
        </w:trPr>
        <w:tc>
          <w:tcPr>
            <w:tcW w:w="2214" w:type="dxa"/>
          </w:tcPr>
          <w:p w14:paraId="48A4DCB4" w14:textId="77777777" w:rsidR="004A19FF" w:rsidRPr="004F1402" w:rsidRDefault="004A19FF" w:rsidP="002E119D">
            <w:pPr>
              <w:rPr>
                <w:sz w:val="20"/>
              </w:rPr>
            </w:pPr>
            <w:r w:rsidRPr="004F1402">
              <w:rPr>
                <w:sz w:val="20"/>
              </w:rPr>
              <w:t>Initial Allotment</w:t>
            </w:r>
          </w:p>
        </w:tc>
        <w:tc>
          <w:tcPr>
            <w:tcW w:w="2638" w:type="dxa"/>
          </w:tcPr>
          <w:p w14:paraId="77B3B9E8" w14:textId="2640A8C3" w:rsidR="004A19FF" w:rsidRPr="004F1402" w:rsidRDefault="00FA4B31" w:rsidP="009913EA">
            <w:pPr>
              <w:jc w:val="center"/>
              <w:rPr>
                <w:sz w:val="20"/>
              </w:rPr>
            </w:pPr>
            <w:r w:rsidRPr="00FA4B31">
              <w:rPr>
                <w:sz w:val="20"/>
              </w:rPr>
              <w:t>$34</w:t>
            </w:r>
            <w:r w:rsidR="000B3AA7">
              <w:rPr>
                <w:sz w:val="20"/>
              </w:rPr>
              <w:t>7,222,912</w:t>
            </w:r>
          </w:p>
        </w:tc>
        <w:tc>
          <w:tcPr>
            <w:tcW w:w="2160" w:type="dxa"/>
          </w:tcPr>
          <w:p w14:paraId="44EFF54A" w14:textId="199700FB" w:rsidR="004A19FF" w:rsidRPr="004F1402" w:rsidRDefault="00FA4B31" w:rsidP="009913EA">
            <w:pPr>
              <w:jc w:val="center"/>
              <w:rPr>
                <w:sz w:val="20"/>
              </w:rPr>
            </w:pPr>
            <w:r w:rsidRPr="00FA4B31">
              <w:rPr>
                <w:sz w:val="20"/>
              </w:rPr>
              <w:t>$4</w:t>
            </w:r>
            <w:r w:rsidR="002B5F83">
              <w:rPr>
                <w:sz w:val="20"/>
              </w:rPr>
              <w:t>45,</w:t>
            </w:r>
            <w:r w:rsidR="000B3AA7">
              <w:rPr>
                <w:sz w:val="20"/>
              </w:rPr>
              <w:t>817,602</w:t>
            </w:r>
          </w:p>
        </w:tc>
        <w:tc>
          <w:tcPr>
            <w:tcW w:w="2340" w:type="dxa"/>
          </w:tcPr>
          <w:p w14:paraId="44A1E309" w14:textId="510D633E" w:rsidR="004A19FF" w:rsidRPr="004F1402" w:rsidRDefault="00FA4B31" w:rsidP="009913EA">
            <w:pPr>
              <w:jc w:val="center"/>
              <w:rPr>
                <w:sz w:val="20"/>
              </w:rPr>
            </w:pPr>
            <w:r w:rsidRPr="00FA4B31">
              <w:rPr>
                <w:sz w:val="20"/>
              </w:rPr>
              <w:t>$2</w:t>
            </w:r>
            <w:r w:rsidR="002B5F83">
              <w:rPr>
                <w:sz w:val="20"/>
              </w:rPr>
              <w:t>2</w:t>
            </w:r>
            <w:r w:rsidR="000B3AA7">
              <w:rPr>
                <w:sz w:val="20"/>
              </w:rPr>
              <w:t>5,053,917</w:t>
            </w:r>
          </w:p>
        </w:tc>
      </w:tr>
      <w:tr w:rsidR="004A19FF" w:rsidRPr="004F1402" w14:paraId="3943D50A" w14:textId="77777777" w:rsidTr="001B4FF3">
        <w:trPr>
          <w:trHeight w:val="504"/>
        </w:trPr>
        <w:tc>
          <w:tcPr>
            <w:tcW w:w="2214" w:type="dxa"/>
          </w:tcPr>
          <w:p w14:paraId="508ED98F" w14:textId="77777777" w:rsidR="004A19FF" w:rsidRPr="004F1402" w:rsidRDefault="004A19FF" w:rsidP="002E119D">
            <w:pPr>
              <w:rPr>
                <w:sz w:val="20"/>
              </w:rPr>
            </w:pPr>
            <w:r w:rsidRPr="004F1402">
              <w:rPr>
                <w:sz w:val="20"/>
              </w:rPr>
              <w:t>Final Allotment after Transfers</w:t>
            </w:r>
          </w:p>
        </w:tc>
        <w:tc>
          <w:tcPr>
            <w:tcW w:w="2638" w:type="dxa"/>
          </w:tcPr>
          <w:p w14:paraId="133D1479" w14:textId="6BAC892F" w:rsidR="004A19FF" w:rsidRPr="004F1402" w:rsidRDefault="00FA4B31" w:rsidP="009913EA">
            <w:pPr>
              <w:jc w:val="center"/>
              <w:rPr>
                <w:sz w:val="20"/>
              </w:rPr>
            </w:pPr>
            <w:r w:rsidRPr="00FA4B31">
              <w:rPr>
                <w:sz w:val="20"/>
              </w:rPr>
              <w:t>$</w:t>
            </w:r>
            <w:r w:rsidR="009913EA">
              <w:rPr>
                <w:sz w:val="20"/>
              </w:rPr>
              <w:t>40</w:t>
            </w:r>
            <w:r w:rsidR="000B3AA7">
              <w:rPr>
                <w:sz w:val="20"/>
              </w:rPr>
              <w:t>0,935,612</w:t>
            </w:r>
          </w:p>
        </w:tc>
        <w:tc>
          <w:tcPr>
            <w:tcW w:w="2160" w:type="dxa"/>
          </w:tcPr>
          <w:p w14:paraId="29473169" w14:textId="5517CB2E" w:rsidR="004A19FF" w:rsidRPr="004F1402" w:rsidRDefault="00FA4B31" w:rsidP="009913EA">
            <w:pPr>
              <w:jc w:val="center"/>
              <w:rPr>
                <w:sz w:val="20"/>
              </w:rPr>
            </w:pPr>
            <w:r w:rsidRPr="00FA4B31">
              <w:rPr>
                <w:sz w:val="20"/>
              </w:rPr>
              <w:t>$3</w:t>
            </w:r>
            <w:r w:rsidR="000B3AA7">
              <w:rPr>
                <w:sz w:val="20"/>
              </w:rPr>
              <w:t>53,625,519</w:t>
            </w:r>
          </w:p>
        </w:tc>
        <w:tc>
          <w:tcPr>
            <w:tcW w:w="2340" w:type="dxa"/>
          </w:tcPr>
          <w:p w14:paraId="2B3F5F9D" w14:textId="0CDA8E56" w:rsidR="004A19FF" w:rsidRPr="004F1402" w:rsidRDefault="00FA4B31" w:rsidP="009913EA">
            <w:pPr>
              <w:jc w:val="center"/>
              <w:rPr>
                <w:sz w:val="20"/>
              </w:rPr>
            </w:pPr>
            <w:r w:rsidRPr="00FA4B31">
              <w:rPr>
                <w:sz w:val="20"/>
              </w:rPr>
              <w:t>$2</w:t>
            </w:r>
            <w:r w:rsidR="000B3AA7">
              <w:rPr>
                <w:sz w:val="20"/>
              </w:rPr>
              <w:t>63,533,300</w:t>
            </w:r>
          </w:p>
        </w:tc>
      </w:tr>
      <w:tr w:rsidR="004A19FF" w:rsidRPr="004F1402" w14:paraId="6DFD15CB" w14:textId="77777777" w:rsidTr="001B4FF3">
        <w:trPr>
          <w:trHeight w:val="432"/>
        </w:trPr>
        <w:tc>
          <w:tcPr>
            <w:tcW w:w="2214" w:type="dxa"/>
          </w:tcPr>
          <w:p w14:paraId="7A50B3A6" w14:textId="77777777" w:rsidR="004A19FF" w:rsidRPr="004F1402" w:rsidRDefault="004A19FF" w:rsidP="002E119D">
            <w:pPr>
              <w:rPr>
                <w:sz w:val="20"/>
              </w:rPr>
            </w:pPr>
            <w:r w:rsidRPr="004F1402">
              <w:rPr>
                <w:sz w:val="20"/>
              </w:rPr>
              <w:t>Net Transfer</w:t>
            </w:r>
          </w:p>
        </w:tc>
        <w:tc>
          <w:tcPr>
            <w:tcW w:w="2638" w:type="dxa"/>
          </w:tcPr>
          <w:p w14:paraId="0508F167" w14:textId="37933EED" w:rsidR="004A19FF" w:rsidRPr="004F1402" w:rsidRDefault="00FA4B31" w:rsidP="009913EA">
            <w:pPr>
              <w:jc w:val="center"/>
              <w:rPr>
                <w:sz w:val="20"/>
              </w:rPr>
            </w:pPr>
            <w:r w:rsidRPr="00FA4B31">
              <w:rPr>
                <w:sz w:val="20"/>
              </w:rPr>
              <w:t>$</w:t>
            </w:r>
            <w:r w:rsidR="00820F73">
              <w:rPr>
                <w:sz w:val="20"/>
              </w:rPr>
              <w:t>5</w:t>
            </w:r>
            <w:r w:rsidR="000B3AA7">
              <w:rPr>
                <w:sz w:val="20"/>
              </w:rPr>
              <w:t>3,712,700</w:t>
            </w:r>
          </w:p>
        </w:tc>
        <w:tc>
          <w:tcPr>
            <w:tcW w:w="2160" w:type="dxa"/>
          </w:tcPr>
          <w:p w14:paraId="4321A6E7" w14:textId="2CB93DFD" w:rsidR="004A19FF" w:rsidRPr="004F1402" w:rsidRDefault="004A19FF" w:rsidP="009913EA">
            <w:pPr>
              <w:rPr>
                <w:sz w:val="20"/>
              </w:rPr>
            </w:pPr>
            <w:r w:rsidRPr="004F1402">
              <w:rPr>
                <w:sz w:val="20"/>
              </w:rPr>
              <w:t xml:space="preserve">       </w:t>
            </w:r>
            <w:r w:rsidR="00FA4B31" w:rsidRPr="00FA4B31">
              <w:rPr>
                <w:sz w:val="20"/>
              </w:rPr>
              <w:t>(</w:t>
            </w:r>
            <w:r w:rsidR="00FA4B31">
              <w:rPr>
                <w:sz w:val="20"/>
              </w:rPr>
              <w:t>-</w:t>
            </w:r>
            <w:r w:rsidR="00FA4B31" w:rsidRPr="00FA4B31">
              <w:rPr>
                <w:sz w:val="20"/>
              </w:rPr>
              <w:t>$</w:t>
            </w:r>
            <w:r w:rsidR="002B5F83">
              <w:rPr>
                <w:sz w:val="20"/>
              </w:rPr>
              <w:t>96,787,424</w:t>
            </w:r>
            <w:r w:rsidR="00FA4B31" w:rsidRPr="00FA4B31">
              <w:rPr>
                <w:sz w:val="20"/>
              </w:rPr>
              <w:t>)</w:t>
            </w:r>
          </w:p>
        </w:tc>
        <w:tc>
          <w:tcPr>
            <w:tcW w:w="2340" w:type="dxa"/>
          </w:tcPr>
          <w:p w14:paraId="7D0CC561" w14:textId="26E1E117" w:rsidR="004A19FF" w:rsidRPr="004F1402" w:rsidRDefault="00FA4B31" w:rsidP="0013428D">
            <w:pPr>
              <w:jc w:val="center"/>
              <w:rPr>
                <w:sz w:val="20"/>
              </w:rPr>
            </w:pPr>
            <w:r w:rsidRPr="00FA4B31">
              <w:rPr>
                <w:sz w:val="20"/>
              </w:rPr>
              <w:t>$3</w:t>
            </w:r>
            <w:r w:rsidR="002B5F83">
              <w:rPr>
                <w:sz w:val="20"/>
              </w:rPr>
              <w:t>8,</w:t>
            </w:r>
            <w:r w:rsidR="000B3AA7">
              <w:rPr>
                <w:sz w:val="20"/>
              </w:rPr>
              <w:t>479,383</w:t>
            </w:r>
          </w:p>
        </w:tc>
      </w:tr>
      <w:tr w:rsidR="004A19FF" w:rsidRPr="004F1402" w14:paraId="3B0F5F11" w14:textId="77777777" w:rsidTr="001B4FF3">
        <w:trPr>
          <w:trHeight w:val="432"/>
        </w:trPr>
        <w:tc>
          <w:tcPr>
            <w:tcW w:w="2214" w:type="dxa"/>
          </w:tcPr>
          <w:p w14:paraId="2139FAD1" w14:textId="77777777" w:rsidR="004A19FF" w:rsidRPr="004F1402" w:rsidRDefault="004A19FF" w:rsidP="002E119D">
            <w:pPr>
              <w:rPr>
                <w:sz w:val="20"/>
              </w:rPr>
            </w:pPr>
            <w:r w:rsidRPr="004F1402">
              <w:rPr>
                <w:sz w:val="20"/>
              </w:rPr>
              <w:t>Net Percent Change</w:t>
            </w:r>
          </w:p>
        </w:tc>
        <w:tc>
          <w:tcPr>
            <w:tcW w:w="2638" w:type="dxa"/>
          </w:tcPr>
          <w:p w14:paraId="4857F752" w14:textId="428504C6" w:rsidR="004A19FF" w:rsidRPr="004F1402" w:rsidRDefault="000B3AA7" w:rsidP="009913EA">
            <w:pPr>
              <w:jc w:val="center"/>
              <w:rPr>
                <w:sz w:val="20"/>
              </w:rPr>
            </w:pPr>
            <w:r>
              <w:rPr>
                <w:sz w:val="20"/>
              </w:rPr>
              <w:t>15.47</w:t>
            </w:r>
          </w:p>
        </w:tc>
        <w:tc>
          <w:tcPr>
            <w:tcW w:w="2160" w:type="dxa"/>
          </w:tcPr>
          <w:p w14:paraId="71B7E4FF" w14:textId="0414FC78" w:rsidR="004A19FF" w:rsidRPr="004F1402" w:rsidRDefault="00FA4B31" w:rsidP="009913EA">
            <w:pPr>
              <w:jc w:val="center"/>
              <w:rPr>
                <w:sz w:val="20"/>
              </w:rPr>
            </w:pPr>
            <w:r w:rsidRPr="00FA4B31">
              <w:rPr>
                <w:sz w:val="20"/>
              </w:rPr>
              <w:t>(</w:t>
            </w:r>
            <w:r>
              <w:rPr>
                <w:sz w:val="20"/>
              </w:rPr>
              <w:t>-</w:t>
            </w:r>
            <w:r w:rsidR="009913EA">
              <w:rPr>
                <w:sz w:val="20"/>
              </w:rPr>
              <w:t>2</w:t>
            </w:r>
            <w:r w:rsidR="000B3AA7">
              <w:rPr>
                <w:sz w:val="20"/>
              </w:rPr>
              <w:t>0.68</w:t>
            </w:r>
            <w:r w:rsidRPr="00FA4B31">
              <w:rPr>
                <w:sz w:val="20"/>
              </w:rPr>
              <w:t>)</w:t>
            </w:r>
          </w:p>
        </w:tc>
        <w:tc>
          <w:tcPr>
            <w:tcW w:w="2340" w:type="dxa"/>
          </w:tcPr>
          <w:p w14:paraId="36D8ED2B" w14:textId="3B94FD9D" w:rsidR="004A19FF" w:rsidRPr="004F1402" w:rsidRDefault="00FA4B31" w:rsidP="0013428D">
            <w:pPr>
              <w:jc w:val="center"/>
              <w:rPr>
                <w:sz w:val="20"/>
              </w:rPr>
            </w:pPr>
            <w:r w:rsidRPr="00FA4B31">
              <w:rPr>
                <w:sz w:val="20"/>
              </w:rPr>
              <w:t>1</w:t>
            </w:r>
            <w:r w:rsidR="000B3AA7">
              <w:rPr>
                <w:sz w:val="20"/>
              </w:rPr>
              <w:t>7.10</w:t>
            </w:r>
          </w:p>
        </w:tc>
      </w:tr>
    </w:tbl>
    <w:p w14:paraId="57BEDDD9" w14:textId="77777777" w:rsidR="002A79C5" w:rsidRPr="004F1402" w:rsidRDefault="002A79C5" w:rsidP="002A79C5">
      <w:pPr>
        <w:sectPr w:rsidR="002A79C5" w:rsidRPr="004F1402" w:rsidSect="00E264D2">
          <w:footerReference w:type="default" r:id="rId13"/>
          <w:footerReference w:type="first" r:id="rId14"/>
          <w:pgSz w:w="12240" w:h="15840"/>
          <w:pgMar w:top="1152" w:right="1440" w:bottom="1152" w:left="1440" w:header="720" w:footer="720" w:gutter="0"/>
          <w:pgNumType w:start="0"/>
          <w:cols w:space="720"/>
          <w:titlePg/>
          <w:docGrid w:linePitch="360"/>
        </w:sectPr>
      </w:pPr>
      <w:bookmarkStart w:id="21" w:name="_Toc294712678"/>
      <w:bookmarkStart w:id="22" w:name="_Toc316405569"/>
      <w:bookmarkEnd w:id="19"/>
      <w:bookmarkEnd w:id="20"/>
    </w:p>
    <w:p w14:paraId="6BC1D34E" w14:textId="1E65CC6A" w:rsidR="00E873E7" w:rsidRPr="0004723E" w:rsidRDefault="00E873E7" w:rsidP="00916C9D">
      <w:pPr>
        <w:pStyle w:val="Heading2"/>
      </w:pPr>
      <w:bookmarkStart w:id="23" w:name="_Toc436738872"/>
      <w:bookmarkStart w:id="24" w:name="_Toc536443917"/>
      <w:bookmarkStart w:id="25" w:name="_Toc9929351"/>
      <w:r w:rsidRPr="00EE2A50">
        <w:lastRenderedPageBreak/>
        <w:t>Preventive Health Services</w:t>
      </w:r>
      <w:bookmarkEnd w:id="21"/>
      <w:bookmarkEnd w:id="22"/>
      <w:bookmarkEnd w:id="23"/>
      <w:bookmarkEnd w:id="24"/>
      <w:bookmarkEnd w:id="25"/>
    </w:p>
    <w:p w14:paraId="2805F60C" w14:textId="6DA3799D" w:rsidR="00C451BE" w:rsidRPr="00AD5B58" w:rsidRDefault="00C451BE" w:rsidP="00C451BE">
      <w:pPr>
        <w:contextualSpacing/>
        <w:jc w:val="center"/>
        <w:rPr>
          <w:b/>
          <w:i/>
        </w:rPr>
      </w:pPr>
      <w:r w:rsidRPr="00AD5B58">
        <w:rPr>
          <w:b/>
          <w:i/>
        </w:rPr>
        <w:t>(Title III-D of OAA; FY 201</w:t>
      </w:r>
      <w:r>
        <w:rPr>
          <w:b/>
          <w:i/>
        </w:rPr>
        <w:t>7</w:t>
      </w:r>
      <w:r w:rsidRPr="00AD5B58">
        <w:rPr>
          <w:b/>
          <w:i/>
        </w:rPr>
        <w:t>: $19,</w:t>
      </w:r>
      <w:r>
        <w:rPr>
          <w:b/>
          <w:i/>
        </w:rPr>
        <w:t>664</w:t>
      </w:r>
      <w:r w:rsidRPr="00AD5B58">
        <w:rPr>
          <w:b/>
          <w:i/>
        </w:rPr>
        <w:t>,</w:t>
      </w:r>
      <w:r>
        <w:rPr>
          <w:b/>
          <w:i/>
        </w:rPr>
        <w:t>225</w:t>
      </w:r>
      <w:r w:rsidRPr="00AD5B58">
        <w:rPr>
          <w:b/>
          <w:i/>
        </w:rPr>
        <w:t>)</w:t>
      </w:r>
    </w:p>
    <w:p w14:paraId="07BCEC73" w14:textId="77777777" w:rsidR="00C451BE" w:rsidRPr="0004723E" w:rsidRDefault="00C451BE" w:rsidP="00C451BE">
      <w:pPr>
        <w:contextualSpacing/>
        <w:jc w:val="both"/>
      </w:pPr>
    </w:p>
    <w:p w14:paraId="0D6E8C86" w14:textId="13FC037C" w:rsidR="00B55FC2" w:rsidRDefault="00B55FC2" w:rsidP="00B55FC2">
      <w:pPr>
        <w:contextualSpacing/>
        <w:jc w:val="both"/>
      </w:pPr>
      <w:r>
        <w:t>Preventive Health Services, established in 1987, provide formula grants to states and territories based on their share of the population age 60 and over to support evidence-based disease prevention</w:t>
      </w:r>
      <w:r w:rsidR="00133B5E">
        <w:t xml:space="preserve"> and health promotion programs</w:t>
      </w:r>
      <w:r w:rsidR="001B2DC3">
        <w:t xml:space="preserve">. </w:t>
      </w:r>
      <w:r>
        <w:t>Older Americans are disproportionately affected by chronic di</w:t>
      </w:r>
      <w:r w:rsidR="00133B5E">
        <w:t>sease and unintentional injury</w:t>
      </w:r>
      <w:r w:rsidR="0047793D">
        <w:t xml:space="preserve">.  </w:t>
      </w:r>
      <w:r>
        <w:t>There are many evidence-based health promotion programs that have been shown to be effective in reducing illness and injury, and improving older adult health</w:t>
      </w:r>
      <w:r w:rsidR="0047793D">
        <w:t xml:space="preserve">.  </w:t>
      </w:r>
      <w:r>
        <w:t>Preventive Health Services provide states and territories with the flexibility to allocate resources among the preventive health programs of their choice to best meet local needs</w:t>
      </w:r>
      <w:r w:rsidR="001B2DC3">
        <w:t xml:space="preserve">. </w:t>
      </w:r>
      <w:r>
        <w:t>Priority has been given to providing services to those elders living in medically underserved areas of the state or who have the greatest economic need</w:t>
      </w:r>
      <w:r w:rsidR="00761EBB">
        <w:t xml:space="preserve">. </w:t>
      </w:r>
    </w:p>
    <w:p w14:paraId="65119C83" w14:textId="77777777" w:rsidR="00B55FC2" w:rsidRPr="00BC76C1" w:rsidRDefault="00B55FC2" w:rsidP="00B55FC2">
      <w:pPr>
        <w:contextualSpacing/>
        <w:jc w:val="both"/>
      </w:pPr>
    </w:p>
    <w:p w14:paraId="6FAE3164" w14:textId="77E43CAE" w:rsidR="00B55FC2" w:rsidRDefault="00B55FC2" w:rsidP="00B55FC2">
      <w:pPr>
        <w:contextualSpacing/>
        <w:jc w:val="both"/>
      </w:pPr>
      <w:r w:rsidRPr="00BC76C1">
        <w:t xml:space="preserve">Evidence-based programs empower older adults to take control of their health by </w:t>
      </w:r>
      <w:r>
        <w:t>increasing knowledge, changing behavior, and improving self-efficacy and self-management techniques</w:t>
      </w:r>
      <w:r w:rsidR="001B2DC3">
        <w:t xml:space="preserve">. </w:t>
      </w:r>
      <w:r>
        <w:t>They</w:t>
      </w:r>
      <w:r w:rsidRPr="0004723E">
        <w:t xml:space="preserve"> are </w:t>
      </w:r>
      <w:r>
        <w:t xml:space="preserve">established activities, inputs, and resources for implementing health </w:t>
      </w:r>
      <w:r w:rsidRPr="0004723E">
        <w:t xml:space="preserve">interventions that have been tested </w:t>
      </w:r>
      <w:r>
        <w:t>in a controlled trial setting</w:t>
      </w:r>
      <w:r w:rsidRPr="0004723E">
        <w:t xml:space="preserve"> and have been shown to be effective at </w:t>
      </w:r>
      <w:r>
        <w:t>improving health and/or reduci</w:t>
      </w:r>
      <w:r w:rsidR="00133B5E">
        <w:t>ng disease, illness, or injury</w:t>
      </w:r>
      <w:r w:rsidR="001B2DC3">
        <w:t xml:space="preserve">. </w:t>
      </w:r>
      <w:r w:rsidRPr="0004723E">
        <w:t>Some examples are:</w:t>
      </w:r>
    </w:p>
    <w:p w14:paraId="08A9C770" w14:textId="77777777" w:rsidR="00B55FC2" w:rsidRDefault="00B55FC2" w:rsidP="00B55FC2">
      <w:pPr>
        <w:contextualSpacing/>
        <w:jc w:val="both"/>
      </w:pPr>
    </w:p>
    <w:p w14:paraId="7454BBC5" w14:textId="0C546F22" w:rsidR="00B55FC2" w:rsidRDefault="00B55FC2" w:rsidP="000B38B2">
      <w:pPr>
        <w:pStyle w:val="ListParagraph"/>
        <w:numPr>
          <w:ilvl w:val="0"/>
          <w:numId w:val="10"/>
        </w:numPr>
        <w:jc w:val="both"/>
      </w:pPr>
      <w:r w:rsidRPr="00DF0A1A">
        <w:rPr>
          <w:i/>
        </w:rPr>
        <w:t>Physical activity</w:t>
      </w:r>
      <w:r>
        <w:t>: Maintaining (or increasing) physical activity is a necessary component for staying health</w:t>
      </w:r>
      <w:r w:rsidR="00133B5E">
        <w:t>y</w:t>
      </w:r>
      <w:r w:rsidR="0047793D">
        <w:t xml:space="preserve">.  </w:t>
      </w:r>
      <w:r>
        <w:t>There are a number of evidence-based programs focused on empowering older adults to stay or become active through s</w:t>
      </w:r>
      <w:r w:rsidRPr="00197212">
        <w:t>trength training</w:t>
      </w:r>
      <w:r>
        <w:t>,</w:t>
      </w:r>
      <w:r w:rsidRPr="00197212">
        <w:t xml:space="preserve"> cardiovascular workout</w:t>
      </w:r>
      <w:r>
        <w:t>s,</w:t>
      </w:r>
      <w:r w:rsidRPr="00197212">
        <w:t xml:space="preserve"> balance exercises</w:t>
      </w:r>
      <w:r>
        <w:t>, and more.</w:t>
      </w:r>
    </w:p>
    <w:p w14:paraId="71B47B96" w14:textId="77777777" w:rsidR="00B55FC2" w:rsidRDefault="00B55FC2" w:rsidP="00B55FC2">
      <w:pPr>
        <w:keepNext/>
        <w:keepLines/>
        <w:pBdr>
          <w:top w:val="single" w:sz="6" w:space="0" w:color="FFFFFF"/>
          <w:left w:val="single" w:sz="6" w:space="1" w:color="FFFFFF"/>
          <w:bottom w:val="single" w:sz="6" w:space="0" w:color="FFFFFF"/>
          <w:right w:val="single" w:sz="6" w:space="0" w:color="FFFFFF"/>
        </w:pBdr>
        <w:jc w:val="both"/>
        <w:rPr>
          <w:i/>
        </w:rPr>
      </w:pPr>
    </w:p>
    <w:p w14:paraId="33F60F9F" w14:textId="0CCAEF27" w:rsidR="00B55FC2" w:rsidRDefault="00B55FC2" w:rsidP="000B38B2">
      <w:pPr>
        <w:pStyle w:val="ListParagraph"/>
        <w:keepNext/>
        <w:keepLines/>
        <w:numPr>
          <w:ilvl w:val="0"/>
          <w:numId w:val="10"/>
        </w:numPr>
        <w:pBdr>
          <w:top w:val="single" w:sz="6" w:space="0" w:color="FFFFFF"/>
          <w:left w:val="single" w:sz="6" w:space="1" w:color="FFFFFF"/>
          <w:bottom w:val="single" w:sz="6" w:space="0" w:color="FFFFFF"/>
          <w:right w:val="single" w:sz="6" w:space="0" w:color="FFFFFF"/>
        </w:pBdr>
        <w:jc w:val="both"/>
      </w:pPr>
      <w:r w:rsidRPr="00DF0A1A">
        <w:rPr>
          <w:i/>
        </w:rPr>
        <w:t>Falls prevention</w:t>
      </w:r>
      <w:r w:rsidRPr="00197212">
        <w:t xml:space="preserve">: Falls prevention programs help </w:t>
      </w:r>
      <w:r>
        <w:t xml:space="preserve">older adult </w:t>
      </w:r>
      <w:r w:rsidRPr="00197212">
        <w:t>participants</w:t>
      </w:r>
      <w:r>
        <w:t xml:space="preserve"> </w:t>
      </w:r>
      <w:r w:rsidRPr="00197212">
        <w:t xml:space="preserve">improve strength, balance, and mobility; provide education on how to avoid falls and reduce fall risk factors; </w:t>
      </w:r>
      <w:r>
        <w:t xml:space="preserve">and some </w:t>
      </w:r>
      <w:r w:rsidRPr="00197212">
        <w:t>involve medication reviews and provide home assessments of ways to reduce environmental hazards</w:t>
      </w:r>
      <w:r w:rsidR="00761EBB">
        <w:t xml:space="preserve">. </w:t>
      </w:r>
    </w:p>
    <w:p w14:paraId="01C2106C" w14:textId="77777777" w:rsidR="00B55FC2" w:rsidRPr="00D95BF6" w:rsidRDefault="00B55FC2" w:rsidP="00B55FC2">
      <w:pPr>
        <w:keepNext/>
        <w:keepLines/>
        <w:pBdr>
          <w:top w:val="single" w:sz="6" w:space="0" w:color="FFFFFF"/>
          <w:left w:val="single" w:sz="6" w:space="0" w:color="FFFFFF"/>
          <w:bottom w:val="single" w:sz="6" w:space="0" w:color="FFFFFF"/>
          <w:right w:val="single" w:sz="6" w:space="0" w:color="FFFFFF"/>
        </w:pBdr>
        <w:jc w:val="both"/>
      </w:pPr>
    </w:p>
    <w:p w14:paraId="0CFCA18E" w14:textId="0713F319" w:rsidR="00B55FC2" w:rsidRDefault="00B55FC2" w:rsidP="000B38B2">
      <w:pPr>
        <w:pStyle w:val="ListParagraph"/>
        <w:keepNext/>
        <w:keepLines/>
        <w:numPr>
          <w:ilvl w:val="0"/>
          <w:numId w:val="10"/>
        </w:numPr>
        <w:pBdr>
          <w:top w:val="single" w:sz="6" w:space="0" w:color="FFFFFF"/>
          <w:left w:val="single" w:sz="6" w:space="0" w:color="FFFFFF"/>
          <w:bottom w:val="single" w:sz="6" w:space="0" w:color="FFFFFF"/>
          <w:right w:val="single" w:sz="6" w:space="0" w:color="FFFFFF"/>
        </w:pBdr>
        <w:jc w:val="both"/>
      </w:pPr>
      <w:r w:rsidRPr="00D95BF6">
        <w:rPr>
          <w:i/>
        </w:rPr>
        <w:t>Medication</w:t>
      </w:r>
      <w:r w:rsidRPr="008F5998">
        <w:rPr>
          <w:i/>
        </w:rPr>
        <w:t xml:space="preserve"> management:</w:t>
      </w:r>
      <w:r w:rsidRPr="00A40272">
        <w:t xml:space="preserve"> Medication management programs focus on reviewing the multitude of medications that older adults are prescribed, focusing espec</w:t>
      </w:r>
      <w:r w:rsidR="00133B5E">
        <w:t>ially on high-risk medications</w:t>
      </w:r>
      <w:r w:rsidR="0047793D">
        <w:t xml:space="preserve">.  </w:t>
      </w:r>
      <w:r w:rsidRPr="00A40272">
        <w:t>Medication management programs have been shown to reduce unnecessary duplication of prescriptions and cardiovascular problems.</w:t>
      </w:r>
      <w:r>
        <w:rPr>
          <w:rStyle w:val="FootnoteReference"/>
        </w:rPr>
        <w:footnoteReference w:id="52"/>
      </w:r>
      <w:r w:rsidRPr="00A40272">
        <w:t xml:space="preserve"> </w:t>
      </w:r>
      <w:r w:rsidR="0047793D">
        <w:t xml:space="preserve">  </w:t>
      </w:r>
      <w:r w:rsidRPr="00A40272">
        <w:t>These programs have also been shown to improve medication usage rates and decrease medication errors among older adults.</w:t>
      </w:r>
      <w:r>
        <w:rPr>
          <w:rStyle w:val="FootnoteReference"/>
        </w:rPr>
        <w:footnoteReference w:id="53"/>
      </w:r>
    </w:p>
    <w:p w14:paraId="52CE7F68" w14:textId="77777777" w:rsidR="00B55FC2" w:rsidRPr="008F5998" w:rsidRDefault="00B55FC2" w:rsidP="00B55FC2">
      <w:pPr>
        <w:pStyle w:val="ListParagraph"/>
        <w:ind w:left="0"/>
      </w:pPr>
    </w:p>
    <w:p w14:paraId="56FA99CE" w14:textId="71BB1ED3" w:rsidR="00B55FC2" w:rsidRPr="00D95BF6" w:rsidRDefault="00B55FC2" w:rsidP="000B38B2">
      <w:pPr>
        <w:pStyle w:val="ListParagraph"/>
        <w:numPr>
          <w:ilvl w:val="0"/>
          <w:numId w:val="10"/>
        </w:numPr>
        <w:jc w:val="both"/>
      </w:pPr>
      <w:r w:rsidRPr="00D95BF6">
        <w:rPr>
          <w:i/>
          <w:iCs/>
        </w:rPr>
        <w:t>Depression Care Management:</w:t>
      </w:r>
      <w:r w:rsidRPr="00D95BF6">
        <w:t xml:space="preserve">  Depression is not a normal part of aging, yet it is a prevalent and disabling conditio</w:t>
      </w:r>
      <w:r>
        <w:t>n among older adults</w:t>
      </w:r>
      <w:r w:rsidR="00D10C91">
        <w:t>.</w:t>
      </w:r>
      <w:r w:rsidR="0047793D">
        <w:t xml:space="preserve">  </w:t>
      </w:r>
      <w:r w:rsidR="00463D8F">
        <w:t xml:space="preserve">In 2017, 15 percent of </w:t>
      </w:r>
      <w:r w:rsidR="005814A8">
        <w:t xml:space="preserve">Medicare Fee-for-Service </w:t>
      </w:r>
      <w:r w:rsidR="00463D8F">
        <w:t>Beneficiaries</w:t>
      </w:r>
      <w:r w:rsidR="005814A8">
        <w:t xml:space="preserve"> age 65 and older</w:t>
      </w:r>
      <w:r w:rsidR="00463D8F">
        <w:t xml:space="preserve"> had </w:t>
      </w:r>
      <w:r>
        <w:t>a depression diagnosis.</w:t>
      </w:r>
      <w:r w:rsidRPr="00D95BF6">
        <w:rPr>
          <w:rStyle w:val="FootnoteReference"/>
        </w:rPr>
        <w:footnoteReference w:id="54"/>
      </w:r>
      <w:r w:rsidRPr="00D95BF6">
        <w:rPr>
          <w:vertAlign w:val="superscript"/>
        </w:rPr>
        <w:t xml:space="preserve">  </w:t>
      </w:r>
      <w:r>
        <w:t>Depression in older adults has been associated with high direct medical costs (i.e., hospitalizations), as well as significant indirect costs (i.e., unpaid caregiving).</w:t>
      </w:r>
      <w:r>
        <w:rPr>
          <w:rStyle w:val="FootnoteReference"/>
        </w:rPr>
        <w:footnoteReference w:id="55"/>
      </w:r>
      <w:r w:rsidR="00D72724">
        <w:t xml:space="preserve">  </w:t>
      </w:r>
      <w:r w:rsidRPr="00D95BF6">
        <w:t xml:space="preserve">Cost-effective, evidence-based interventions, such as the Program to Encourage Rewarding Lives </w:t>
      </w:r>
      <w:r>
        <w:t>f</w:t>
      </w:r>
      <w:r w:rsidRPr="00D95BF6">
        <w:t xml:space="preserve">or Seniors (PEARLS), </w:t>
      </w:r>
      <w:r>
        <w:t>developed in CDC’s Prevention Research Centers</w:t>
      </w:r>
      <w:r w:rsidRPr="00D95BF6">
        <w:t>, have been shown to reduce depressive symptoms and improve quality of life in older adults.</w:t>
      </w:r>
      <w:r w:rsidRPr="00D95BF6">
        <w:rPr>
          <w:rStyle w:val="FootnoteReference"/>
        </w:rPr>
        <w:footnoteReference w:id="56"/>
      </w:r>
    </w:p>
    <w:p w14:paraId="66EB4701" w14:textId="77777777" w:rsidR="00B55FC2" w:rsidRDefault="00B55FC2" w:rsidP="00B55FC2"/>
    <w:p w14:paraId="6B0FE307" w14:textId="02A9138E" w:rsidR="00B55FC2" w:rsidRDefault="00B55FC2" w:rsidP="00B55FC2">
      <w:pPr>
        <w:jc w:val="both"/>
      </w:pPr>
      <w:r w:rsidRPr="00EC7382">
        <w:t>Starting in 2012 and continuing every year since, ACL’s appropriation</w:t>
      </w:r>
      <w:r>
        <w:t>s</w:t>
      </w:r>
      <w:r w:rsidR="00CE09FB">
        <w:t xml:space="preserve"> language has specified</w:t>
      </w:r>
      <w:r w:rsidRPr="00EC7382">
        <w:t xml:space="preserve"> that funds from OAA Title III-D can be used “only for disease prevention and health promotion programs and activities which have been demonstrated through rigorous evaluation to be </w:t>
      </w:r>
      <w:r w:rsidR="00252846">
        <w:t xml:space="preserve">evidence-based and effective.”  </w:t>
      </w:r>
      <w:r w:rsidRPr="00EC7382">
        <w:t xml:space="preserve">Even before this evidence-based requirement, states had already begun to shift their Preventive Health Services funding toward evidence-based approaches to achieve better results </w:t>
      </w:r>
      <w:r>
        <w:t>wi</w:t>
      </w:r>
      <w:r w:rsidR="00252846">
        <w:t>th limited funding</w:t>
      </w:r>
      <w:r w:rsidR="00D72724">
        <w:t xml:space="preserve">.  </w:t>
      </w:r>
      <w:r w:rsidRPr="00EC7382">
        <w:t>Since 2012, all Preventive Health Services funding has been used for evidence-based programs</w:t>
      </w:r>
      <w:r w:rsidR="00D72724">
        <w:t xml:space="preserve">.  </w:t>
      </w:r>
      <w:r w:rsidRPr="00EC7382">
        <w:t>States can continue funding other health services, such as</w:t>
      </w:r>
      <w:r>
        <w:t xml:space="preserve"> </w:t>
      </w:r>
      <w:r w:rsidRPr="00EC7382">
        <w:t>blood pressure screenings,</w:t>
      </w:r>
      <w:r>
        <w:t xml:space="preserve"> usin</w:t>
      </w:r>
      <w:r w:rsidRPr="00EC7382">
        <w:t>g OAA</w:t>
      </w:r>
      <w:r>
        <w:t xml:space="preserve"> </w:t>
      </w:r>
      <w:r w:rsidRPr="00EC7382">
        <w:t>funding for supportive services (Title III-B).</w:t>
      </w:r>
    </w:p>
    <w:p w14:paraId="298405EF" w14:textId="75E3082F" w:rsidR="00B55FC2" w:rsidRPr="00DD67F2" w:rsidRDefault="00B55FC2" w:rsidP="00DD67F2">
      <w:pPr>
        <w:rPr>
          <w:b/>
          <w:bCs/>
          <w:iCs/>
          <w:lang w:bidi="en-US"/>
        </w:rPr>
      </w:pPr>
      <w:r>
        <w:rPr>
          <w:b/>
          <w:bCs/>
          <w:iCs/>
          <w:lang w:bidi="en-US"/>
        </w:rPr>
        <w:br w:type="page"/>
      </w:r>
    </w:p>
    <w:p w14:paraId="280E02BE" w14:textId="77777777" w:rsidR="00EB7718" w:rsidRPr="00EB7718" w:rsidRDefault="00EB7718" w:rsidP="00916C9D">
      <w:pPr>
        <w:pStyle w:val="Heading2"/>
      </w:pPr>
      <w:bookmarkStart w:id="26" w:name="_Toc536443918"/>
      <w:bookmarkStart w:id="27" w:name="_Toc9929352"/>
      <w:bookmarkStart w:id="28" w:name="_Toc436738873"/>
      <w:bookmarkStart w:id="29" w:name="_Toc303606069"/>
      <w:bookmarkStart w:id="30" w:name="_Toc316405570"/>
      <w:bookmarkStart w:id="31" w:name="_Toc316405589"/>
      <w:r w:rsidRPr="00EB7718">
        <w:lastRenderedPageBreak/>
        <w:t>Chronic Disease Self-Management Education Programs</w:t>
      </w:r>
      <w:bookmarkEnd w:id="26"/>
      <w:bookmarkEnd w:id="27"/>
    </w:p>
    <w:p w14:paraId="010496E5" w14:textId="529A725D" w:rsidR="00C451BE" w:rsidRPr="00EB7718" w:rsidRDefault="00EB7718" w:rsidP="00C451BE">
      <w:pPr>
        <w:jc w:val="center"/>
        <w:rPr>
          <w:b/>
        </w:rPr>
      </w:pPr>
      <w:r w:rsidRPr="00EB7718">
        <w:rPr>
          <w:b/>
        </w:rPr>
        <w:t>(</w:t>
      </w:r>
      <w:r w:rsidR="00C451BE" w:rsidRPr="00EB7718">
        <w:rPr>
          <w:b/>
        </w:rPr>
        <w:t xml:space="preserve">(FY </w:t>
      </w:r>
      <w:r w:rsidR="00C451BE">
        <w:rPr>
          <w:b/>
        </w:rPr>
        <w:t>2017</w:t>
      </w:r>
      <w:r w:rsidR="00C451BE" w:rsidRPr="00EB7718">
        <w:rPr>
          <w:b/>
        </w:rPr>
        <w:t>: $8,000,000)</w:t>
      </w:r>
    </w:p>
    <w:p w14:paraId="63AE0DC4" w14:textId="767389AC" w:rsidR="00EB7718" w:rsidRPr="00EB7718" w:rsidRDefault="00EB7718" w:rsidP="00C451BE">
      <w:pPr>
        <w:jc w:val="center"/>
      </w:pPr>
    </w:p>
    <w:p w14:paraId="53780A78" w14:textId="72BE1113" w:rsidR="00C451BE" w:rsidRPr="00EB7718" w:rsidRDefault="00C451BE" w:rsidP="00C451BE">
      <w:pPr>
        <w:jc w:val="both"/>
      </w:pPr>
      <w:r w:rsidRPr="001157DD">
        <w:t>In the United States, approximately three out of four older adults have multiple (two or more) chronic conditions, such as diabetes, arthritis, heart disease, chronic pain, and depression.</w:t>
      </w:r>
      <w:r w:rsidRPr="00EB7718">
        <w:rPr>
          <w:vertAlign w:val="superscript"/>
        </w:rPr>
        <w:footnoteReference w:id="57"/>
      </w:r>
      <w:r w:rsidR="00FF7C9B">
        <w:t xml:space="preserve">  </w:t>
      </w:r>
      <w:r w:rsidRPr="00EB7718">
        <w:t>This burden places older adults at greater risk for premature death, poor functional status, unnecessary hospitalizations, adverse drug events, and nursing home placement</w:t>
      </w:r>
      <w:r>
        <w:t>.</w:t>
      </w:r>
      <w:r w:rsidRPr="00EB7718">
        <w:rPr>
          <w:vertAlign w:val="superscript"/>
        </w:rPr>
        <w:footnoteReference w:id="58"/>
      </w:r>
      <w:r w:rsidRPr="00EB7718">
        <w:rPr>
          <w:vertAlign w:val="superscript"/>
        </w:rPr>
        <w:t>,</w:t>
      </w:r>
      <w:r w:rsidRPr="00EB7718">
        <w:rPr>
          <w:vertAlign w:val="superscript"/>
        </w:rPr>
        <w:footnoteReference w:id="59"/>
      </w:r>
      <w:r w:rsidR="00FF7C9B">
        <w:rPr>
          <w:vertAlign w:val="superscript"/>
        </w:rPr>
        <w:t xml:space="preserve"> </w:t>
      </w:r>
      <w:r w:rsidR="00FF7C9B">
        <w:t xml:space="preserve"> </w:t>
      </w:r>
      <w:r w:rsidRPr="00EB7718">
        <w:t>Chronic conditions also influence health care costs: 95 percent of health care costs for older Americans can be attributed to chronic diseases.</w:t>
      </w:r>
      <w:r w:rsidRPr="00EB7718">
        <w:rPr>
          <w:vertAlign w:val="superscript"/>
        </w:rPr>
        <w:footnoteReference w:id="60"/>
      </w:r>
    </w:p>
    <w:p w14:paraId="3F368FA3" w14:textId="77777777" w:rsidR="00C451BE" w:rsidRPr="00EB7718" w:rsidRDefault="00C451BE" w:rsidP="00C451BE">
      <w:pPr>
        <w:jc w:val="both"/>
      </w:pPr>
    </w:p>
    <w:p w14:paraId="2B31253A" w14:textId="66D7E952" w:rsidR="00C451BE" w:rsidRDefault="00C451BE" w:rsidP="00C451BE">
      <w:pPr>
        <w:jc w:val="both"/>
      </w:pPr>
      <w:r w:rsidRPr="00EB7718">
        <w:t>Chronic Disease Self-Management Education (CDSME) programs, such as the</w:t>
      </w:r>
      <w:r>
        <w:t xml:space="preserve"> evidence-based Chronic Disease Self-Management Program (CDSMP) originally developed at Stanford University</w:t>
      </w:r>
      <w:r w:rsidRPr="00EB7718">
        <w:t>, are low-cost, evidence-based disease prevention models that use proven techniques</w:t>
      </w:r>
      <w:r>
        <w:t xml:space="preserve"> to improve health and quality of life.</w:t>
      </w:r>
      <w:r w:rsidR="00FF7C9B">
        <w:t xml:space="preserve">  </w:t>
      </w:r>
      <w:r>
        <w:t xml:space="preserve">These interventions </w:t>
      </w:r>
      <w:r w:rsidRPr="00EB7718">
        <w:t>allow peer leaders to help individuals with chronic disease address issues related to the management and treatment of their condition, improve their health status, and potentially reduce their need for more costly medical care.</w:t>
      </w:r>
      <w:r w:rsidRPr="00EB7718">
        <w:rPr>
          <w:vertAlign w:val="superscript"/>
        </w:rPr>
        <w:footnoteReference w:id="61"/>
      </w:r>
      <w:r w:rsidRPr="00EB7718">
        <w:t xml:space="preserve"> </w:t>
      </w:r>
      <w:r w:rsidR="00FF7C9B">
        <w:t xml:space="preserve"> </w:t>
      </w:r>
      <w:r w:rsidRPr="00EB7718">
        <w:t xml:space="preserve">In addition to the CDSMP, which is appropriate for any type of chronic condition, there are other proven CDSME programs, including Tomando Control de su Salud (Spanish CDSMP), the Diabetes Self-Management Program (DSMP), Programa de Manejo Personal de la Diabetes (Spanish DSMP), Chronic Pain Self-Management Program, Positive Self-Management Program for HIV, </w:t>
      </w:r>
      <w:r>
        <w:t xml:space="preserve">Cancer: Thriving and Surviving, </w:t>
      </w:r>
      <w:r w:rsidRPr="00EB7718">
        <w:t>and online versions of many programs.</w:t>
      </w:r>
      <w:r>
        <w:t xml:space="preserve"> </w:t>
      </w:r>
    </w:p>
    <w:p w14:paraId="176DE0B7" w14:textId="77777777" w:rsidR="00C451BE" w:rsidRDefault="00C451BE" w:rsidP="00C451BE">
      <w:pPr>
        <w:jc w:val="both"/>
      </w:pPr>
    </w:p>
    <w:p w14:paraId="6D527A42" w14:textId="0B783718" w:rsidR="00C451BE" w:rsidRPr="00EB7718" w:rsidRDefault="00C451BE" w:rsidP="00C451BE">
      <w:pPr>
        <w:jc w:val="both"/>
      </w:pPr>
      <w:r>
        <w:t xml:space="preserve">Additionally, ACL supports the implementation of self-management support programs, which are </w:t>
      </w:r>
      <w:r w:rsidRPr="0063075E">
        <w:t>community-based, behavioral change intervention</w:t>
      </w:r>
      <w:r>
        <w:t>s that are</w:t>
      </w:r>
      <w:r w:rsidRPr="0063075E">
        <w:t xml:space="preserve"> proven to increase one or more skills or behaviors relevant to chronic disease self-management such as physical activity and medication management.</w:t>
      </w:r>
      <w:r>
        <w:t xml:space="preserve"> </w:t>
      </w:r>
      <w:r w:rsidR="00FF7C9B">
        <w:t xml:space="preserve"> </w:t>
      </w:r>
      <w:r>
        <w:t>Examples of these programs include EnhanceFitness, Healthy IDEAS, Home Meds, PEARLS, and Walk With Ease.</w:t>
      </w:r>
    </w:p>
    <w:p w14:paraId="10293582" w14:textId="77777777" w:rsidR="00C451BE" w:rsidRPr="00EB7718" w:rsidRDefault="00C451BE" w:rsidP="00C451BE">
      <w:pPr>
        <w:contextualSpacing/>
        <w:jc w:val="both"/>
      </w:pPr>
    </w:p>
    <w:p w14:paraId="17F675B3" w14:textId="36B57623" w:rsidR="00C451BE" w:rsidRPr="00EB7718" w:rsidRDefault="00C451BE" w:rsidP="00C451BE">
      <w:pPr>
        <w:contextualSpacing/>
        <w:jc w:val="both"/>
      </w:pPr>
      <w:r w:rsidRPr="00EB7718">
        <w:t>CDSME programs have been shown repeatedly, through multiple studies (including randomized control trials with both English and Spanish speaking populations) to be effective at helping participants adopt healthy behaviors and improve their psychological and physical health status.</w:t>
      </w:r>
      <w:r w:rsidRPr="00EB7718">
        <w:rPr>
          <w:vertAlign w:val="superscript"/>
        </w:rPr>
        <w:footnoteReference w:id="62"/>
      </w:r>
      <w:r w:rsidRPr="00EB7718">
        <w:t xml:space="preserve"> A national study with over 1,100 CDSMP participants in 17 states documented many significant improvements relevant to CMS’s goals to promote better care, healthier communities, and wiser spending of health care dollars. Participants demonstrated improved communication with physicians, medication compliance, health literacy, self-reported health, less depression, and better quality of life, as well as reduced emergency room visits and hospitalizations and an estimat</w:t>
      </w:r>
      <w:r w:rsidR="001122CD">
        <w:t xml:space="preserve">ed $360 per person net savings.  </w:t>
      </w:r>
      <w:r w:rsidRPr="00EB7718">
        <w:t>The research team projected a national savings of $3.3 billion if CDSMP workshops were delivered to 5 percent of adults with multiple chronic conditions.</w:t>
      </w:r>
      <w:r w:rsidRPr="00EB7718">
        <w:rPr>
          <w:vertAlign w:val="superscript"/>
        </w:rPr>
        <w:footnoteReference w:id="63"/>
      </w:r>
    </w:p>
    <w:p w14:paraId="650E13B7" w14:textId="77777777" w:rsidR="00C451BE" w:rsidRPr="00EB7718" w:rsidRDefault="00C451BE" w:rsidP="00C451BE">
      <w:pPr>
        <w:contextualSpacing/>
        <w:jc w:val="both"/>
      </w:pPr>
    </w:p>
    <w:p w14:paraId="68173C74" w14:textId="3CC45CE1" w:rsidR="00C451BE" w:rsidRPr="00EB7718" w:rsidRDefault="00C451BE" w:rsidP="00C451BE">
      <w:pPr>
        <w:contextualSpacing/>
        <w:jc w:val="both"/>
      </w:pPr>
      <w:r w:rsidRPr="00EB7718">
        <w:lastRenderedPageBreak/>
        <w:t>CDSMEs emphasize an individual’s role in managing his/her chronic condition(s)</w:t>
      </w:r>
      <w:r w:rsidR="001122CD">
        <w:t xml:space="preserve">.  </w:t>
      </w:r>
      <w:r w:rsidRPr="00EB7718">
        <w:t>For example, the  CDSMP in-person programs consist of a series of sessions that are conducted once a week for two and a half hours over six weeks in community settings such as</w:t>
      </w:r>
      <w:r>
        <w:t xml:space="preserve"> </w:t>
      </w:r>
      <w:r w:rsidRPr="00EB7718">
        <w:t>senior centers, faith-based organizations, health care organizations, libraries, residential facilities, and tribal centers. CDSME workshops are facilitated by two trained leaders, and people with varying chronic conditions parti</w:t>
      </w:r>
      <w:r w:rsidR="001122CD">
        <w:t xml:space="preserve">cipate together.  </w:t>
      </w:r>
      <w:r w:rsidRPr="00EB7718">
        <w:t>One or both of the leaders are non-health professionals who</w:t>
      </w:r>
      <w:r w:rsidR="001122CD">
        <w:t xml:space="preserve"> also have a chronic condition.  </w:t>
      </w:r>
      <w:r>
        <w:t>Workshop t</w:t>
      </w:r>
      <w:r w:rsidRPr="00EB7718">
        <w:t xml:space="preserve">opics include: 1) techniques to deal with problems such as </w:t>
      </w:r>
      <w:r>
        <w:t xml:space="preserve">frustration, </w:t>
      </w:r>
      <w:r w:rsidRPr="00EB7718">
        <w:t>fatigue, pain, and isolation; 2) appropriate exercise for maintaining and improving strength, flexibility, and endurance; 3) appropriate use of medications; 4) communicating effectively with health professionals and family/friends; and 5) nutrition</w:t>
      </w:r>
      <w:r w:rsidR="001B2DC3">
        <w:t xml:space="preserve">. </w:t>
      </w:r>
    </w:p>
    <w:p w14:paraId="5E771A56" w14:textId="77777777" w:rsidR="00C451BE" w:rsidRPr="00EB7718" w:rsidRDefault="00C451BE" w:rsidP="00C451BE">
      <w:pPr>
        <w:contextualSpacing/>
        <w:jc w:val="both"/>
      </w:pPr>
    </w:p>
    <w:p w14:paraId="1A3A3A2C" w14:textId="635605BE" w:rsidR="00C451BE" w:rsidRPr="00EB7718" w:rsidRDefault="00C451BE" w:rsidP="00C451BE">
      <w:pPr>
        <w:contextualSpacing/>
        <w:jc w:val="both"/>
      </w:pPr>
      <w:r w:rsidRPr="00EB7718">
        <w:t xml:space="preserve">AoA funds CDSME through competitive grants awarded to domestic public </w:t>
      </w:r>
      <w:r w:rsidR="001122CD">
        <w:t xml:space="preserve">or private nonprofit entities.  </w:t>
      </w:r>
      <w:r>
        <w:t>An expert peer review panel evaluates</w:t>
      </w:r>
      <w:r w:rsidRPr="00EB7718">
        <w:t xml:space="preserve"> project proposals</w:t>
      </w:r>
      <w:r w:rsidR="001122CD">
        <w:t xml:space="preserve">.  </w:t>
      </w:r>
      <w:r>
        <w:t>AoA awarded 12 forward-funded grants for a two-year project period beginning August 1, 2016, as well as eight forward-funded grants for a three-year project period begi</w:t>
      </w:r>
      <w:r w:rsidR="001122CD">
        <w:t xml:space="preserve">nning August 1, 2017.  </w:t>
      </w:r>
      <w:r>
        <w:t>Additionally, a cooperative agreement for a National Chronic Disease Self-Management Education Resource Center was awarded for a five-year pr</w:t>
      </w:r>
      <w:r w:rsidR="001122CD">
        <w:t xml:space="preserve">oject period on August 1, 2016.  </w:t>
      </w:r>
      <w:r>
        <w:t>The Resource Center assists states, the aging, disability and public health networks, and their partners to increase access to and sustain evidence-based prevention programs, particularly CDSME programs that improve the health and quality of life of older adult</w:t>
      </w:r>
      <w:r w:rsidR="001122CD">
        <w:t xml:space="preserve">s and adults with disabilities.  </w:t>
      </w:r>
      <w:r>
        <w:t>The Center also serves as a national clearinghouse of tools and information on CDSME.</w:t>
      </w:r>
      <w:r w:rsidRPr="00EB7718">
        <w:t xml:space="preserve"> </w:t>
      </w:r>
    </w:p>
    <w:p w14:paraId="46D67729" w14:textId="77777777" w:rsidR="00C451BE" w:rsidRPr="00EB7718" w:rsidRDefault="00C451BE" w:rsidP="00C451BE">
      <w:pPr>
        <w:contextualSpacing/>
        <w:jc w:val="both"/>
      </w:pPr>
    </w:p>
    <w:p w14:paraId="2CA63D2F" w14:textId="18B33B03" w:rsidR="00C451BE" w:rsidRPr="00EB7718" w:rsidRDefault="00C451BE" w:rsidP="00C451BE">
      <w:pPr>
        <w:contextualSpacing/>
        <w:jc w:val="both"/>
      </w:pPr>
      <w:r>
        <w:t xml:space="preserve">By </w:t>
      </w:r>
      <w:r w:rsidRPr="009761AD">
        <w:t>September 30, 2017, grantees and various pa</w:t>
      </w:r>
      <w:r>
        <w:t>rtners had reached more than</w:t>
      </w:r>
      <w:r w:rsidRPr="009761AD">
        <w:t xml:space="preserve"> </w:t>
      </w:r>
      <w:r>
        <w:t>320,700</w:t>
      </w:r>
      <w:r w:rsidRPr="009761AD">
        <w:t xml:space="preserve"> participants</w:t>
      </w:r>
      <w:r>
        <w:t xml:space="preserve"> (2006-2017)</w:t>
      </w:r>
      <w:r w:rsidRPr="009761AD">
        <w:t>. During FY 2017, there were over 34,820 participants and over 22,895 “completers” (i.e., who attended at least four out of six classes, a retention rate of 74 percent [retention rate is specific to only those interventions with standard start/end dates, not ongoing interventions]). Grantees were successful in reaching their targeted underserved populations: of those participants reporting relevant data, 66 percent were age 60 or older, 65 percent reported having multiple chronic conditions, 37 percent reported a disability, and 30 percent were racial/ethnic minorities</w:t>
      </w:r>
      <w:r w:rsidRPr="00EB7718">
        <w:t>.</w:t>
      </w:r>
      <w:r w:rsidRPr="00EB7718">
        <w:rPr>
          <w:vertAlign w:val="superscript"/>
        </w:rPr>
        <w:footnoteReference w:id="64"/>
      </w:r>
    </w:p>
    <w:p w14:paraId="65710750" w14:textId="2F206448" w:rsidR="00AA01A8" w:rsidRPr="00EB7718" w:rsidRDefault="00AA01A8" w:rsidP="00EB7718">
      <w:pPr>
        <w:contextualSpacing/>
        <w:jc w:val="both"/>
      </w:pPr>
    </w:p>
    <w:p w14:paraId="3B72B6A5" w14:textId="77777777" w:rsidR="001837D4" w:rsidRDefault="001837D4" w:rsidP="00916C9D">
      <w:pPr>
        <w:pStyle w:val="Heading2"/>
      </w:pPr>
      <w:bookmarkStart w:id="32" w:name="_Toc536443919"/>
      <w:bookmarkStart w:id="33" w:name="_Toc9929353"/>
      <w:bookmarkStart w:id="34" w:name="_Toc436738874"/>
      <w:bookmarkEnd w:id="28"/>
      <w:r w:rsidRPr="00813B40">
        <w:t>Behavioral Health</w:t>
      </w:r>
      <w:bookmarkEnd w:id="32"/>
      <w:bookmarkEnd w:id="33"/>
    </w:p>
    <w:p w14:paraId="3AD5B7DA" w14:textId="77777777" w:rsidR="001837D4" w:rsidRDefault="001837D4" w:rsidP="001837D4">
      <w:pPr>
        <w:autoSpaceDE w:val="0"/>
        <w:autoSpaceDN w:val="0"/>
        <w:adjustRightInd w:val="0"/>
        <w:jc w:val="both"/>
        <w:rPr>
          <w:color w:val="000000"/>
        </w:rPr>
      </w:pPr>
    </w:p>
    <w:p w14:paraId="30AC2345" w14:textId="6EE97A5F" w:rsidR="0035270C" w:rsidRPr="00331FF0" w:rsidRDefault="0035270C" w:rsidP="0035270C">
      <w:pPr>
        <w:autoSpaceDE w:val="0"/>
        <w:autoSpaceDN w:val="0"/>
        <w:adjustRightInd w:val="0"/>
        <w:jc w:val="both"/>
        <w:rPr>
          <w:color w:val="000000"/>
        </w:rPr>
      </w:pPr>
      <w:r>
        <w:rPr>
          <w:color w:val="000000"/>
        </w:rPr>
        <w:t>B</w:t>
      </w:r>
      <w:r w:rsidRPr="00331FF0">
        <w:rPr>
          <w:color w:val="000000"/>
        </w:rPr>
        <w:t xml:space="preserve">ehavioral health </w:t>
      </w:r>
      <w:r w:rsidR="001122CD">
        <w:rPr>
          <w:color w:val="000000"/>
        </w:rPr>
        <w:t xml:space="preserve">is essential to overall health.  </w:t>
      </w:r>
      <w:r>
        <w:rPr>
          <w:color w:val="000000"/>
        </w:rPr>
        <w:t>B</w:t>
      </w:r>
      <w:r w:rsidRPr="00331FF0">
        <w:rPr>
          <w:color w:val="000000"/>
        </w:rPr>
        <w:t>ehavioral health issues, such as depression, anxiety, substance misuse, and suicidal thoughts or actions, are not a normal part of aging – yet one in four persons aged 55 and over have experienced a</w:t>
      </w:r>
      <w:r>
        <w:rPr>
          <w:color w:val="000000"/>
        </w:rPr>
        <w:t xml:space="preserve"> behavioral health disorder</w:t>
      </w:r>
      <w:r w:rsidRPr="00331FF0">
        <w:rPr>
          <w:color w:val="000000"/>
        </w:rPr>
        <w:t>.</w:t>
      </w:r>
      <w:r>
        <w:rPr>
          <w:rStyle w:val="FootnoteReference"/>
          <w:color w:val="000000"/>
        </w:rPr>
        <w:footnoteReference w:id="65"/>
      </w:r>
      <w:r>
        <w:rPr>
          <w:color w:val="000000"/>
        </w:rPr>
        <w:t xml:space="preserve"> </w:t>
      </w:r>
      <w:r w:rsidRPr="00331FF0">
        <w:rPr>
          <w:color w:val="000000"/>
        </w:rPr>
        <w:t>Behavioral health issues can greatly impact the independence, health, and well-being of older adul</w:t>
      </w:r>
      <w:r w:rsidR="001122CD">
        <w:rPr>
          <w:color w:val="000000"/>
        </w:rPr>
        <w:t xml:space="preserve">ts and their family caregivers.  </w:t>
      </w:r>
      <w:r w:rsidRPr="00331FF0">
        <w:rPr>
          <w:color w:val="000000"/>
        </w:rPr>
        <w:t>Untreated behavioral health disorders can exacerbate health conditions, decrease life expectancy, and</w:t>
      </w:r>
      <w:r>
        <w:rPr>
          <w:color w:val="000000"/>
        </w:rPr>
        <w:t xml:space="preserve"> </w:t>
      </w:r>
      <w:r w:rsidRPr="00331FF0">
        <w:rPr>
          <w:color w:val="000000"/>
        </w:rPr>
        <w:t>increase overall healthcare costs.</w:t>
      </w:r>
      <w:r>
        <w:rPr>
          <w:rStyle w:val="FootnoteReference"/>
          <w:color w:val="000000"/>
        </w:rPr>
        <w:footnoteReference w:id="66"/>
      </w:r>
      <w:r w:rsidR="001122CD">
        <w:rPr>
          <w:color w:val="000000"/>
        </w:rPr>
        <w:t xml:space="preserve">  </w:t>
      </w:r>
      <w:r w:rsidRPr="00331FF0">
        <w:rPr>
          <w:color w:val="000000"/>
        </w:rPr>
        <w:t>Distinctive barriers to the treatment of behavioral health disorders among the older adult population exist, such as discrimination, under-diagnosis, and inappropriate treatment.</w:t>
      </w:r>
    </w:p>
    <w:p w14:paraId="56D1CDD4" w14:textId="77777777" w:rsidR="0035270C" w:rsidRPr="00331FF0" w:rsidRDefault="0035270C" w:rsidP="0035270C">
      <w:pPr>
        <w:autoSpaceDE w:val="0"/>
        <w:autoSpaceDN w:val="0"/>
        <w:adjustRightInd w:val="0"/>
        <w:jc w:val="both"/>
        <w:rPr>
          <w:color w:val="000000"/>
        </w:rPr>
      </w:pPr>
    </w:p>
    <w:p w14:paraId="49D22DF5" w14:textId="028EDE1C" w:rsidR="0035270C" w:rsidRPr="00331FF0" w:rsidRDefault="0035270C" w:rsidP="0035270C">
      <w:pPr>
        <w:autoSpaceDE w:val="0"/>
        <w:autoSpaceDN w:val="0"/>
        <w:adjustRightInd w:val="0"/>
        <w:jc w:val="both"/>
        <w:rPr>
          <w:color w:val="000000"/>
        </w:rPr>
      </w:pPr>
      <w:r w:rsidRPr="00331FF0">
        <w:rPr>
          <w:color w:val="000000"/>
        </w:rPr>
        <w:t xml:space="preserve">The good news is that prevention, brief intervention, self-directed treatment, and recovery from behavioral health </w:t>
      </w:r>
      <w:r>
        <w:rPr>
          <w:color w:val="000000"/>
        </w:rPr>
        <w:t>conditions</w:t>
      </w:r>
      <w:r w:rsidRPr="00331FF0">
        <w:rPr>
          <w:color w:val="000000"/>
        </w:rPr>
        <w:t xml:space="preserve"> are possible for individuals of al</w:t>
      </w:r>
      <w:r w:rsidR="00EC0BC1">
        <w:rPr>
          <w:color w:val="000000"/>
        </w:rPr>
        <w:t xml:space="preserve">l ages, including older adults.  </w:t>
      </w:r>
      <w:r w:rsidRPr="00331FF0">
        <w:rPr>
          <w:color w:val="000000"/>
        </w:rPr>
        <w:t xml:space="preserve">While the </w:t>
      </w:r>
      <w:r>
        <w:rPr>
          <w:color w:val="000000"/>
        </w:rPr>
        <w:t>most recent</w:t>
      </w:r>
      <w:r w:rsidRPr="00331FF0">
        <w:rPr>
          <w:color w:val="000000"/>
        </w:rPr>
        <w:t xml:space="preserve"> reauthorization of the OAA include</w:t>
      </w:r>
      <w:r>
        <w:rPr>
          <w:color w:val="000000"/>
        </w:rPr>
        <w:t>s</w:t>
      </w:r>
      <w:r w:rsidRPr="00331FF0">
        <w:rPr>
          <w:color w:val="000000"/>
        </w:rPr>
        <w:t xml:space="preserve"> provisions focused on the prevention and treatment </w:t>
      </w:r>
      <w:r>
        <w:rPr>
          <w:color w:val="000000"/>
        </w:rPr>
        <w:t>of behavioral health conditions, ther</w:t>
      </w:r>
      <w:r w:rsidRPr="00331FF0">
        <w:rPr>
          <w:color w:val="000000"/>
        </w:rPr>
        <w:t xml:space="preserve">e is </w:t>
      </w:r>
      <w:r w:rsidRPr="00331FF0">
        <w:rPr>
          <w:color w:val="000000"/>
        </w:rPr>
        <w:lastRenderedPageBreak/>
        <w:t>no funding in the OAA specifically designated for prevention, interv</w:t>
      </w:r>
      <w:r w:rsidR="00EC0BC1">
        <w:rPr>
          <w:color w:val="000000"/>
        </w:rPr>
        <w:t xml:space="preserve">ention, and treatment services.  </w:t>
      </w:r>
      <w:r w:rsidRPr="00331FF0">
        <w:rPr>
          <w:color w:val="000000"/>
        </w:rPr>
        <w:t>States and communities have had to be creative in how they suppo</w:t>
      </w:r>
      <w:r w:rsidR="00EC0BC1">
        <w:rPr>
          <w:color w:val="000000"/>
        </w:rPr>
        <w:t xml:space="preserve">rt these programs and services.  </w:t>
      </w:r>
      <w:r w:rsidRPr="00331FF0">
        <w:rPr>
          <w:color w:val="000000"/>
        </w:rPr>
        <w:t xml:space="preserve">Many aging network providers are working closely with behavioral health, primary care, and other partners to connect older adults with behavioral health </w:t>
      </w:r>
      <w:r>
        <w:rPr>
          <w:color w:val="000000"/>
        </w:rPr>
        <w:t xml:space="preserve">screening and intervention </w:t>
      </w:r>
      <w:r w:rsidR="00EC0BC1">
        <w:rPr>
          <w:color w:val="000000"/>
        </w:rPr>
        <w:t xml:space="preserve">resources.  </w:t>
      </w:r>
      <w:r w:rsidRPr="00331FF0">
        <w:rPr>
          <w:color w:val="000000"/>
        </w:rPr>
        <w:t xml:space="preserve">In addition, some providers are delivering evidence-based community interventions, such as the Program to Encourage Rewarding Lives for Seniors (PEARLS), using a braided funding approach </w:t>
      </w:r>
      <w:r>
        <w:rPr>
          <w:color w:val="000000"/>
        </w:rPr>
        <w:t>(</w:t>
      </w:r>
      <w:r w:rsidRPr="00331FF0">
        <w:rPr>
          <w:color w:val="000000"/>
        </w:rPr>
        <w:t>i.e., us</w:t>
      </w:r>
      <w:r>
        <w:rPr>
          <w:color w:val="000000"/>
        </w:rPr>
        <w:t>ing</w:t>
      </w:r>
      <w:r w:rsidRPr="00331FF0">
        <w:rPr>
          <w:color w:val="000000"/>
        </w:rPr>
        <w:t xml:space="preserve"> a combination of funds, such as those from the OAA, Substance Abuse and Mental Health </w:t>
      </w:r>
      <w:r>
        <w:rPr>
          <w:color w:val="000000"/>
        </w:rPr>
        <w:t xml:space="preserve">Services </w:t>
      </w:r>
      <w:r w:rsidRPr="00331FF0">
        <w:rPr>
          <w:color w:val="000000"/>
        </w:rPr>
        <w:t xml:space="preserve">Administration </w:t>
      </w:r>
      <w:r>
        <w:rPr>
          <w:color w:val="000000"/>
        </w:rPr>
        <w:t xml:space="preserve">(SAMHSA) </w:t>
      </w:r>
      <w:r w:rsidRPr="00331FF0">
        <w:rPr>
          <w:color w:val="000000"/>
        </w:rPr>
        <w:t>block grants, private foundations, etc.</w:t>
      </w:r>
      <w:r>
        <w:rPr>
          <w:color w:val="000000"/>
        </w:rPr>
        <w:t>)</w:t>
      </w:r>
      <w:r w:rsidRPr="00331FF0">
        <w:rPr>
          <w:color w:val="000000"/>
        </w:rPr>
        <w:t>.</w:t>
      </w:r>
    </w:p>
    <w:p w14:paraId="1F39F815" w14:textId="77777777" w:rsidR="0035270C" w:rsidRPr="00331FF0" w:rsidRDefault="0035270C" w:rsidP="0035270C">
      <w:pPr>
        <w:autoSpaceDE w:val="0"/>
        <w:autoSpaceDN w:val="0"/>
        <w:adjustRightInd w:val="0"/>
        <w:jc w:val="both"/>
        <w:rPr>
          <w:color w:val="000000"/>
        </w:rPr>
      </w:pPr>
    </w:p>
    <w:p w14:paraId="0DEEFC92" w14:textId="23DA3EB4" w:rsidR="0035270C" w:rsidRPr="00331FF0" w:rsidRDefault="0035270C" w:rsidP="0035270C">
      <w:pPr>
        <w:autoSpaceDE w:val="0"/>
        <w:autoSpaceDN w:val="0"/>
        <w:adjustRightInd w:val="0"/>
        <w:jc w:val="both"/>
        <w:rPr>
          <w:color w:val="000000"/>
        </w:rPr>
      </w:pPr>
      <w:r>
        <w:rPr>
          <w:color w:val="000000"/>
        </w:rPr>
        <w:t>In FY 2017, ACL</w:t>
      </w:r>
      <w:r w:rsidRPr="00331FF0">
        <w:rPr>
          <w:color w:val="000000"/>
        </w:rPr>
        <w:t xml:space="preserve"> and SAMHSA </w:t>
      </w:r>
      <w:r>
        <w:rPr>
          <w:color w:val="000000"/>
        </w:rPr>
        <w:t>continued their</w:t>
      </w:r>
      <w:r w:rsidRPr="00331FF0">
        <w:rPr>
          <w:color w:val="000000"/>
        </w:rPr>
        <w:t xml:space="preserve"> partner</w:t>
      </w:r>
      <w:r>
        <w:rPr>
          <w:color w:val="000000"/>
        </w:rPr>
        <w:t>ship</w:t>
      </w:r>
      <w:r w:rsidRPr="00331FF0">
        <w:rPr>
          <w:color w:val="000000"/>
        </w:rPr>
        <w:t xml:space="preserve"> to provide technical assistance aimed at increasing states’ capacities for reaching older adults who are</w:t>
      </w:r>
      <w:r>
        <w:rPr>
          <w:color w:val="000000"/>
        </w:rPr>
        <w:t xml:space="preserve"> experiencing or are</w:t>
      </w:r>
      <w:r w:rsidRPr="00331FF0">
        <w:rPr>
          <w:color w:val="000000"/>
        </w:rPr>
        <w:t xml:space="preserve"> at-risk f</w:t>
      </w:r>
      <w:r w:rsidR="00EC0BC1">
        <w:rPr>
          <w:color w:val="000000"/>
        </w:rPr>
        <w:t xml:space="preserve">or behavioral health disorders.  </w:t>
      </w:r>
      <w:r>
        <w:rPr>
          <w:color w:val="000000"/>
        </w:rPr>
        <w:t xml:space="preserve">Most recently, they worked together to </w:t>
      </w:r>
      <w:r w:rsidRPr="00331FF0">
        <w:rPr>
          <w:color w:val="000000"/>
        </w:rPr>
        <w:t xml:space="preserve">support the development of a variety of tangible materials, such as epidemiological profiles, </w:t>
      </w:r>
      <w:r>
        <w:rPr>
          <w:color w:val="000000"/>
        </w:rPr>
        <w:t xml:space="preserve">toolkits, </w:t>
      </w:r>
      <w:r w:rsidRPr="00331FF0">
        <w:rPr>
          <w:color w:val="000000"/>
        </w:rPr>
        <w:t xml:space="preserve">issue briefs, </w:t>
      </w:r>
      <w:r>
        <w:rPr>
          <w:color w:val="000000"/>
        </w:rPr>
        <w:t xml:space="preserve">and other learning opportunities, such as </w:t>
      </w:r>
      <w:r w:rsidRPr="00331FF0">
        <w:rPr>
          <w:color w:val="000000"/>
        </w:rPr>
        <w:t>webinars</w:t>
      </w:r>
      <w:r w:rsidR="00EC0BC1">
        <w:rPr>
          <w:color w:val="000000"/>
        </w:rPr>
        <w:t xml:space="preserve">.  </w:t>
      </w:r>
      <w:r w:rsidRPr="00331FF0">
        <w:rPr>
          <w:color w:val="000000"/>
        </w:rPr>
        <w:t xml:space="preserve">The materials developed through this partnership have been successful in helping many states enhance their efforts to reach older adults who are </w:t>
      </w:r>
      <w:r>
        <w:rPr>
          <w:color w:val="000000"/>
        </w:rPr>
        <w:t xml:space="preserve">experiencing or are </w:t>
      </w:r>
      <w:r w:rsidRPr="00331FF0">
        <w:rPr>
          <w:color w:val="000000"/>
        </w:rPr>
        <w:t xml:space="preserve">at-risk for behavioral health </w:t>
      </w:r>
      <w:r>
        <w:rPr>
          <w:color w:val="000000"/>
        </w:rPr>
        <w:t>conditions</w:t>
      </w:r>
      <w:r w:rsidRPr="00331FF0">
        <w:rPr>
          <w:color w:val="000000"/>
        </w:rPr>
        <w:t xml:space="preserve">. </w:t>
      </w:r>
    </w:p>
    <w:p w14:paraId="399CB14A" w14:textId="77777777" w:rsidR="001837D4" w:rsidRDefault="001837D4" w:rsidP="001837D4">
      <w:pPr>
        <w:autoSpaceDE w:val="0"/>
        <w:autoSpaceDN w:val="0"/>
        <w:adjustRightInd w:val="0"/>
        <w:jc w:val="both"/>
        <w:rPr>
          <w:color w:val="000000"/>
        </w:rPr>
      </w:pPr>
    </w:p>
    <w:p w14:paraId="4B4A3195" w14:textId="77777777" w:rsidR="001837D4" w:rsidRPr="00CB39A0" w:rsidRDefault="001837D4" w:rsidP="00916C9D">
      <w:pPr>
        <w:pStyle w:val="Heading2"/>
      </w:pPr>
      <w:bookmarkStart w:id="35" w:name="_Toc536443920"/>
      <w:bookmarkStart w:id="36" w:name="_Toc9929354"/>
      <w:r w:rsidRPr="00CB39A0">
        <w:t>Falls Prevention Programs</w:t>
      </w:r>
      <w:bookmarkEnd w:id="35"/>
      <w:bookmarkEnd w:id="36"/>
    </w:p>
    <w:p w14:paraId="785D08D4" w14:textId="7D85975C" w:rsidR="001837D4" w:rsidRPr="00002098" w:rsidRDefault="0035270C" w:rsidP="001837D4">
      <w:pPr>
        <w:autoSpaceDE w:val="0"/>
        <w:autoSpaceDN w:val="0"/>
        <w:adjustRightInd w:val="0"/>
        <w:jc w:val="center"/>
        <w:rPr>
          <w:b/>
          <w:i/>
          <w:color w:val="000000"/>
        </w:rPr>
      </w:pPr>
      <w:r>
        <w:rPr>
          <w:b/>
          <w:i/>
          <w:color w:val="000000"/>
        </w:rPr>
        <w:t>(</w:t>
      </w:r>
      <w:r w:rsidRPr="00002098">
        <w:rPr>
          <w:b/>
          <w:i/>
          <w:color w:val="000000"/>
        </w:rPr>
        <w:t>FY 201</w:t>
      </w:r>
      <w:r>
        <w:rPr>
          <w:b/>
          <w:i/>
          <w:color w:val="000000"/>
        </w:rPr>
        <w:t>7</w:t>
      </w:r>
      <w:r w:rsidRPr="00002098">
        <w:rPr>
          <w:b/>
          <w:i/>
          <w:color w:val="000000"/>
        </w:rPr>
        <w:t>: $5,000,000)</w:t>
      </w:r>
    </w:p>
    <w:p w14:paraId="242895D8" w14:textId="77777777" w:rsidR="001837D4" w:rsidRPr="00CB39A0" w:rsidRDefault="001837D4" w:rsidP="001837D4">
      <w:pPr>
        <w:autoSpaceDE w:val="0"/>
        <w:autoSpaceDN w:val="0"/>
        <w:adjustRightInd w:val="0"/>
        <w:jc w:val="both"/>
        <w:rPr>
          <w:color w:val="000000"/>
        </w:rPr>
      </w:pPr>
    </w:p>
    <w:p w14:paraId="44093771" w14:textId="08C37DFE" w:rsidR="001837D4" w:rsidRPr="00CB39A0" w:rsidRDefault="001837D4" w:rsidP="001837D4">
      <w:pPr>
        <w:autoSpaceDE w:val="0"/>
        <w:autoSpaceDN w:val="0"/>
        <w:adjustRightInd w:val="0"/>
        <w:jc w:val="both"/>
        <w:rPr>
          <w:color w:val="000000"/>
        </w:rPr>
      </w:pPr>
      <w:r w:rsidRPr="00CB39A0">
        <w:rPr>
          <w:color w:val="000000"/>
        </w:rPr>
        <w:t xml:space="preserve">Falls can have a widespread and significant impact on health, can be deadly, </w:t>
      </w:r>
      <w:r w:rsidR="00EC35ED">
        <w:rPr>
          <w:color w:val="000000"/>
        </w:rPr>
        <w:t>and often result in high costs</w:t>
      </w:r>
      <w:r w:rsidR="000E1C67">
        <w:rPr>
          <w:color w:val="000000"/>
        </w:rPr>
        <w:t xml:space="preserve">.  </w:t>
      </w:r>
      <w:r w:rsidRPr="00CB39A0">
        <w:rPr>
          <w:color w:val="000000"/>
        </w:rPr>
        <w:t xml:space="preserve">One out of </w:t>
      </w:r>
      <w:r>
        <w:rPr>
          <w:color w:val="000000"/>
        </w:rPr>
        <w:t>four</w:t>
      </w:r>
      <w:r w:rsidRPr="00CB39A0">
        <w:rPr>
          <w:color w:val="000000"/>
        </w:rPr>
        <w:t xml:space="preserve"> older adults (those aged 65 or older) fall each year</w:t>
      </w:r>
      <w:r>
        <w:rPr>
          <w:color w:val="000000"/>
        </w:rPr>
        <w:t>,</w:t>
      </w:r>
      <w:r>
        <w:rPr>
          <w:rStyle w:val="FootnoteReference"/>
          <w:color w:val="000000"/>
        </w:rPr>
        <w:footnoteReference w:id="67"/>
      </w:r>
      <w:r w:rsidRPr="00CB39A0">
        <w:rPr>
          <w:color w:val="000000"/>
        </w:rPr>
        <w:t xml:space="preserve"> but </w:t>
      </w:r>
      <w:r w:rsidR="005529A3">
        <w:rPr>
          <w:color w:val="000000"/>
        </w:rPr>
        <w:t>fewer</w:t>
      </w:r>
      <w:r w:rsidR="005529A3" w:rsidRPr="00CB39A0">
        <w:rPr>
          <w:color w:val="000000"/>
        </w:rPr>
        <w:t xml:space="preserve"> </w:t>
      </w:r>
      <w:r w:rsidRPr="00CB39A0">
        <w:rPr>
          <w:color w:val="000000"/>
        </w:rPr>
        <w:t xml:space="preserve">than half </w:t>
      </w:r>
      <w:r w:rsidR="00B54F31">
        <w:rPr>
          <w:color w:val="000000"/>
        </w:rPr>
        <w:t xml:space="preserve">of those </w:t>
      </w:r>
      <w:r w:rsidR="00427382">
        <w:rPr>
          <w:color w:val="000000"/>
        </w:rPr>
        <w:t>who</w:t>
      </w:r>
      <w:r w:rsidR="00B54F31">
        <w:rPr>
          <w:color w:val="000000"/>
        </w:rPr>
        <w:t xml:space="preserve"> have suffered a fall </w:t>
      </w:r>
      <w:r w:rsidRPr="00CB39A0">
        <w:rPr>
          <w:color w:val="000000"/>
        </w:rPr>
        <w:t>talk to their healthcare providers about it.</w:t>
      </w:r>
      <w:r>
        <w:rPr>
          <w:rStyle w:val="FootnoteReference"/>
          <w:color w:val="000000"/>
        </w:rPr>
        <w:footnoteReference w:id="68"/>
      </w:r>
      <w:r w:rsidRPr="00CB39A0">
        <w:rPr>
          <w:color w:val="000000"/>
        </w:rPr>
        <w:t xml:space="preserve"> </w:t>
      </w:r>
      <w:r w:rsidR="000E1C67">
        <w:rPr>
          <w:color w:val="000000"/>
        </w:rPr>
        <w:t xml:space="preserve"> </w:t>
      </w:r>
      <w:r w:rsidRPr="00CB39A0">
        <w:rPr>
          <w:color w:val="000000"/>
        </w:rPr>
        <w:t>In 201</w:t>
      </w:r>
      <w:r w:rsidR="00E81404">
        <w:rPr>
          <w:color w:val="000000"/>
        </w:rPr>
        <w:t>7</w:t>
      </w:r>
      <w:r w:rsidRPr="00CB39A0">
        <w:rPr>
          <w:color w:val="000000"/>
        </w:rPr>
        <w:t xml:space="preserve">, </w:t>
      </w:r>
      <w:r w:rsidR="00E81404">
        <w:rPr>
          <w:color w:val="000000"/>
        </w:rPr>
        <w:t>nearly 3</w:t>
      </w:r>
      <w:r w:rsidRPr="00CB39A0">
        <w:rPr>
          <w:color w:val="000000"/>
        </w:rPr>
        <w:t xml:space="preserve"> million nonfatal falls among older adults were treated in emergency departments</w:t>
      </w:r>
      <w:r w:rsidR="00E81404">
        <w:rPr>
          <w:color w:val="000000"/>
        </w:rPr>
        <w:t>. Among these</w:t>
      </w:r>
      <w:r w:rsidRPr="00CB39A0">
        <w:rPr>
          <w:color w:val="000000"/>
        </w:rPr>
        <w:t xml:space="preserve"> more than </w:t>
      </w:r>
      <w:r w:rsidR="00E81404">
        <w:rPr>
          <w:color w:val="000000"/>
        </w:rPr>
        <w:t>9</w:t>
      </w:r>
      <w:r>
        <w:rPr>
          <w:color w:val="000000"/>
        </w:rPr>
        <w:t>00,000</w:t>
      </w:r>
      <w:r w:rsidRPr="00CB39A0">
        <w:rPr>
          <w:color w:val="000000"/>
        </w:rPr>
        <w:t xml:space="preserve"> patients were hospitalized.</w:t>
      </w:r>
      <w:r>
        <w:rPr>
          <w:rStyle w:val="FootnoteReference"/>
          <w:color w:val="000000"/>
        </w:rPr>
        <w:footnoteReference w:id="69"/>
      </w:r>
      <w:r w:rsidRPr="00CB39A0">
        <w:rPr>
          <w:color w:val="000000"/>
        </w:rPr>
        <w:t xml:space="preserve"> </w:t>
      </w:r>
      <w:r w:rsidR="00E01E86">
        <w:rPr>
          <w:color w:val="000000"/>
        </w:rPr>
        <w:t xml:space="preserve"> </w:t>
      </w:r>
      <w:r w:rsidR="00E81404">
        <w:rPr>
          <w:color w:val="000000"/>
        </w:rPr>
        <w:t>Each year approximately $50 billion is spent on healthcare related expenditures for falls</w:t>
      </w:r>
      <w:r w:rsidRPr="00CB39A0">
        <w:rPr>
          <w:color w:val="000000"/>
        </w:rPr>
        <w:t>.</w:t>
      </w:r>
      <w:r>
        <w:rPr>
          <w:rStyle w:val="FootnoteReference"/>
          <w:color w:val="000000"/>
        </w:rPr>
        <w:footnoteReference w:id="70"/>
      </w:r>
    </w:p>
    <w:p w14:paraId="30A0B7D4" w14:textId="77777777" w:rsidR="001837D4" w:rsidRPr="00CB39A0" w:rsidRDefault="001837D4" w:rsidP="001837D4">
      <w:pPr>
        <w:autoSpaceDE w:val="0"/>
        <w:autoSpaceDN w:val="0"/>
        <w:adjustRightInd w:val="0"/>
        <w:jc w:val="both"/>
        <w:rPr>
          <w:color w:val="000000"/>
        </w:rPr>
      </w:pPr>
    </w:p>
    <w:p w14:paraId="20B90853" w14:textId="4AE16D38" w:rsidR="001837D4" w:rsidRPr="00CB39A0" w:rsidRDefault="001837D4" w:rsidP="001837D4">
      <w:pPr>
        <w:autoSpaceDE w:val="0"/>
        <w:autoSpaceDN w:val="0"/>
        <w:adjustRightInd w:val="0"/>
        <w:jc w:val="both"/>
        <w:rPr>
          <w:color w:val="000000"/>
        </w:rPr>
      </w:pPr>
      <w:r w:rsidRPr="00CB39A0">
        <w:rPr>
          <w:color w:val="000000"/>
        </w:rPr>
        <w:t>Research has shown that falls</w:t>
      </w:r>
      <w:r w:rsidR="0075003B">
        <w:rPr>
          <w:color w:val="000000"/>
        </w:rPr>
        <w:t>,</w:t>
      </w:r>
      <w:r w:rsidRPr="00CB39A0">
        <w:rPr>
          <w:color w:val="000000"/>
        </w:rPr>
        <w:t xml:space="preserve"> and </w:t>
      </w:r>
      <w:r w:rsidR="0075003B">
        <w:rPr>
          <w:color w:val="000000"/>
        </w:rPr>
        <w:t xml:space="preserve">the </w:t>
      </w:r>
      <w:r w:rsidRPr="00CB39A0">
        <w:rPr>
          <w:color w:val="000000"/>
        </w:rPr>
        <w:t>risk</w:t>
      </w:r>
      <w:r w:rsidR="0075003B">
        <w:rPr>
          <w:color w:val="000000"/>
        </w:rPr>
        <w:t xml:space="preserve"> of falls,</w:t>
      </w:r>
      <w:r w:rsidRPr="00CB39A0">
        <w:rPr>
          <w:color w:val="000000"/>
        </w:rPr>
        <w:t xml:space="preserve"> can be reduced through systematic risk identification and targeted intervention, including a combination of clinical and community-based interventions</w:t>
      </w:r>
      <w:r>
        <w:rPr>
          <w:color w:val="000000"/>
        </w:rPr>
        <w:t>.</w:t>
      </w:r>
      <w:r>
        <w:rPr>
          <w:rStyle w:val="FootnoteReference"/>
          <w:color w:val="000000"/>
        </w:rPr>
        <w:footnoteReference w:id="71"/>
      </w:r>
      <w:r w:rsidR="00492AC6">
        <w:rPr>
          <w:color w:val="000000"/>
        </w:rPr>
        <w:t xml:space="preserve">  </w:t>
      </w:r>
      <w:r w:rsidR="00860847" w:rsidRPr="00860847">
        <w:rPr>
          <w:color w:val="000000"/>
        </w:rPr>
        <w:t>Community-based falls prevention programs are low-cost, proven interventions that help reduce falls and/or address fall risk factors in older adults, and potentially reduce their need for more costly medical care.</w:t>
      </w:r>
      <w:r w:rsidR="00860847">
        <w:rPr>
          <w:color w:val="000000"/>
        </w:rPr>
        <w:t xml:space="preserve"> </w:t>
      </w:r>
      <w:r w:rsidRPr="00CB39A0">
        <w:rPr>
          <w:color w:val="000000"/>
        </w:rPr>
        <w:t>Examples of these programs include</w:t>
      </w:r>
      <w:r>
        <w:rPr>
          <w:color w:val="000000"/>
        </w:rPr>
        <w:t>:</w:t>
      </w:r>
      <w:r w:rsidRPr="00CB39A0">
        <w:rPr>
          <w:color w:val="000000"/>
        </w:rPr>
        <w:t xml:space="preserve"> A Matter of Balance (MOB)</w:t>
      </w:r>
      <w:r>
        <w:rPr>
          <w:color w:val="000000"/>
        </w:rPr>
        <w:t>;</w:t>
      </w:r>
      <w:r w:rsidRPr="00CB39A0">
        <w:rPr>
          <w:color w:val="000000"/>
        </w:rPr>
        <w:t xml:space="preserve"> Tai Chi: Moving for Better Balance (Tai Chi: MBB)</w:t>
      </w:r>
      <w:r>
        <w:rPr>
          <w:color w:val="000000"/>
        </w:rPr>
        <w:t>;</w:t>
      </w:r>
      <w:r w:rsidRPr="00CB39A0">
        <w:rPr>
          <w:color w:val="000000"/>
        </w:rPr>
        <w:t xml:space="preserve"> Otago</w:t>
      </w:r>
      <w:r>
        <w:rPr>
          <w:color w:val="000000"/>
        </w:rPr>
        <w:t>;</w:t>
      </w:r>
      <w:r w:rsidRPr="00CB39A0">
        <w:rPr>
          <w:color w:val="000000"/>
        </w:rPr>
        <w:t xml:space="preserve"> and Stepping On</w:t>
      </w:r>
      <w:r w:rsidR="001B2DC3">
        <w:rPr>
          <w:color w:val="000000"/>
        </w:rPr>
        <w:t xml:space="preserve">. </w:t>
      </w:r>
      <w:r w:rsidRPr="00CB39A0">
        <w:rPr>
          <w:color w:val="000000"/>
        </w:rPr>
        <w:t xml:space="preserve">A recent </w:t>
      </w:r>
      <w:r>
        <w:rPr>
          <w:color w:val="000000"/>
        </w:rPr>
        <w:t xml:space="preserve">CMS </w:t>
      </w:r>
      <w:r w:rsidRPr="00CB39A0">
        <w:rPr>
          <w:color w:val="000000"/>
        </w:rPr>
        <w:t>report to Congress indicated that MOB is associated with medical cost savings,</w:t>
      </w:r>
      <w:r>
        <w:rPr>
          <w:rStyle w:val="FootnoteReference"/>
          <w:color w:val="000000"/>
        </w:rPr>
        <w:footnoteReference w:id="72"/>
      </w:r>
      <w:r w:rsidRPr="00CB39A0">
        <w:rPr>
          <w:color w:val="000000"/>
        </w:rPr>
        <w:t xml:space="preserve"> and a recent study showed a positive return on investment for the implementation of Tai Chi: MBB, Stepping On, and Otago</w:t>
      </w:r>
      <w:r>
        <w:rPr>
          <w:color w:val="000000"/>
        </w:rPr>
        <w:t>.</w:t>
      </w:r>
      <w:r>
        <w:rPr>
          <w:rStyle w:val="FootnoteReference"/>
          <w:color w:val="000000"/>
        </w:rPr>
        <w:footnoteReference w:id="73"/>
      </w:r>
      <w:r w:rsidR="00492AC6">
        <w:rPr>
          <w:color w:val="000000"/>
        </w:rPr>
        <w:t xml:space="preserve">  </w:t>
      </w:r>
      <w:r w:rsidR="006D7BB8">
        <w:rPr>
          <w:color w:val="000000"/>
        </w:rPr>
        <w:t xml:space="preserve">ACL continues to collaborate with our partners at CDC’s </w:t>
      </w:r>
      <w:r w:rsidR="007F019B">
        <w:rPr>
          <w:color w:val="000000"/>
        </w:rPr>
        <w:t xml:space="preserve">National Center for </w:t>
      </w:r>
      <w:r w:rsidR="006D7BB8">
        <w:rPr>
          <w:color w:val="000000"/>
        </w:rPr>
        <w:t xml:space="preserve">Injury Prevention </w:t>
      </w:r>
      <w:r w:rsidR="007F019B">
        <w:rPr>
          <w:color w:val="000000"/>
        </w:rPr>
        <w:t>and Control</w:t>
      </w:r>
      <w:r w:rsidR="006D7BB8">
        <w:rPr>
          <w:color w:val="000000"/>
        </w:rPr>
        <w:t xml:space="preserve"> to leverage their research, surveillance, and clinical provider education efforts.</w:t>
      </w:r>
    </w:p>
    <w:p w14:paraId="7581167D" w14:textId="77777777" w:rsidR="001837D4" w:rsidRPr="00CB39A0" w:rsidRDefault="001837D4" w:rsidP="001837D4">
      <w:pPr>
        <w:autoSpaceDE w:val="0"/>
        <w:autoSpaceDN w:val="0"/>
        <w:adjustRightInd w:val="0"/>
        <w:jc w:val="both"/>
        <w:rPr>
          <w:color w:val="000000"/>
        </w:rPr>
      </w:pPr>
    </w:p>
    <w:p w14:paraId="51EC6FB4" w14:textId="7B5E2AB7" w:rsidR="0035270C" w:rsidRPr="00CB39A0" w:rsidRDefault="0035270C" w:rsidP="0035270C">
      <w:pPr>
        <w:autoSpaceDE w:val="0"/>
        <w:autoSpaceDN w:val="0"/>
        <w:adjustRightInd w:val="0"/>
        <w:jc w:val="both"/>
        <w:rPr>
          <w:color w:val="000000"/>
        </w:rPr>
      </w:pPr>
      <w:bookmarkStart w:id="37" w:name="_Toc436738876"/>
      <w:bookmarkStart w:id="38" w:name="_Toc536443921"/>
      <w:bookmarkEnd w:id="34"/>
      <w:r w:rsidRPr="00CB39A0">
        <w:rPr>
          <w:color w:val="000000"/>
        </w:rPr>
        <w:lastRenderedPageBreak/>
        <w:t>ACL received dedicated funding for falls prevention programs through the Prevention and Public Health Fund (PPHF) in FY</w:t>
      </w:r>
      <w:r>
        <w:rPr>
          <w:color w:val="000000"/>
        </w:rPr>
        <w:t xml:space="preserve"> </w:t>
      </w:r>
      <w:r w:rsidRPr="00CB39A0">
        <w:rPr>
          <w:color w:val="000000"/>
        </w:rPr>
        <w:t>201</w:t>
      </w:r>
      <w:r>
        <w:rPr>
          <w:color w:val="000000"/>
        </w:rPr>
        <w:t>7, as has been the case every year since 2014</w:t>
      </w:r>
      <w:r w:rsidR="00492AC6">
        <w:rPr>
          <w:color w:val="000000"/>
        </w:rPr>
        <w:t xml:space="preserve">.  </w:t>
      </w:r>
      <w:r>
        <w:rPr>
          <w:color w:val="000000"/>
        </w:rPr>
        <w:t>ACL published a</w:t>
      </w:r>
      <w:r w:rsidRPr="00CB39A0">
        <w:rPr>
          <w:color w:val="000000"/>
        </w:rPr>
        <w:t xml:space="preserve"> competitive funding announcement, and </w:t>
      </w:r>
      <w:r>
        <w:rPr>
          <w:color w:val="000000"/>
        </w:rPr>
        <w:t xml:space="preserve">external experts reviewed </w:t>
      </w:r>
      <w:r w:rsidRPr="00CB39A0">
        <w:rPr>
          <w:color w:val="000000"/>
        </w:rPr>
        <w:t>app</w:t>
      </w:r>
      <w:r w:rsidR="00492AC6">
        <w:rPr>
          <w:color w:val="000000"/>
        </w:rPr>
        <w:t xml:space="preserve">lications for this opportunity.  </w:t>
      </w:r>
      <w:r>
        <w:rPr>
          <w:color w:val="000000"/>
        </w:rPr>
        <w:t>ACL awarded a</w:t>
      </w:r>
      <w:r w:rsidRPr="00CB39A0">
        <w:rPr>
          <w:color w:val="000000"/>
        </w:rPr>
        <w:t xml:space="preserve"> total of </w:t>
      </w:r>
      <w:r>
        <w:rPr>
          <w:color w:val="000000"/>
        </w:rPr>
        <w:t>seven</w:t>
      </w:r>
      <w:r w:rsidRPr="00CB39A0">
        <w:rPr>
          <w:color w:val="000000"/>
        </w:rPr>
        <w:t xml:space="preserve"> grants to domestic public and private nonprofit entities</w:t>
      </w:r>
      <w:r>
        <w:rPr>
          <w:color w:val="000000"/>
        </w:rPr>
        <w:t xml:space="preserve"> in 2017</w:t>
      </w:r>
      <w:r w:rsidRPr="00CB39A0">
        <w:rPr>
          <w:color w:val="000000"/>
        </w:rPr>
        <w:t>, including state agencies</w:t>
      </w:r>
      <w:r>
        <w:rPr>
          <w:color w:val="000000"/>
        </w:rPr>
        <w:t>, universities, and</w:t>
      </w:r>
      <w:r w:rsidR="00492AC6">
        <w:rPr>
          <w:color w:val="000000"/>
        </w:rPr>
        <w:t xml:space="preserve"> community organizations.  </w:t>
      </w:r>
      <w:r w:rsidRPr="00CB39A0">
        <w:rPr>
          <w:color w:val="000000"/>
        </w:rPr>
        <w:t>These two-year grants are intended to increase the number of older adults and adults with disabilities who participate in evidence-based community programs to reduce falls</w:t>
      </w:r>
      <w:r>
        <w:rPr>
          <w:color w:val="000000"/>
        </w:rPr>
        <w:t>,</w:t>
      </w:r>
      <w:r w:rsidRPr="00CB39A0">
        <w:rPr>
          <w:color w:val="000000"/>
        </w:rPr>
        <w:t xml:space="preserve"> fall risks</w:t>
      </w:r>
      <w:r>
        <w:rPr>
          <w:color w:val="000000"/>
        </w:rPr>
        <w:t xml:space="preserve">, and fear of falling. </w:t>
      </w:r>
      <w:r w:rsidRPr="00CB39A0">
        <w:rPr>
          <w:color w:val="000000"/>
        </w:rPr>
        <w:t>All of the grantees identified underserved target populations and partnering organizations to reach these populations, such as those living in rural areas, and organizations serving ethnically-diverse and/or limite</w:t>
      </w:r>
      <w:r w:rsidR="00492AC6">
        <w:rPr>
          <w:color w:val="000000"/>
        </w:rPr>
        <w:t xml:space="preserve">d English speaking populations.  </w:t>
      </w:r>
      <w:r w:rsidRPr="00CB39A0">
        <w:rPr>
          <w:color w:val="000000"/>
        </w:rPr>
        <w:t xml:space="preserve">The funding is also fostering the development of innovative funding arrangements to support these falls prevention programs, while embedding the programs into an integrated, sustainable evidence-based prevention program network. </w:t>
      </w:r>
    </w:p>
    <w:p w14:paraId="768634C3" w14:textId="77777777" w:rsidR="0035270C" w:rsidRPr="00CB39A0" w:rsidRDefault="0035270C" w:rsidP="0035270C">
      <w:pPr>
        <w:autoSpaceDE w:val="0"/>
        <w:autoSpaceDN w:val="0"/>
        <w:adjustRightInd w:val="0"/>
        <w:jc w:val="both"/>
        <w:rPr>
          <w:color w:val="000000"/>
        </w:rPr>
      </w:pPr>
    </w:p>
    <w:p w14:paraId="15A31E05" w14:textId="37ACD53D" w:rsidR="0035270C" w:rsidRPr="00747A84" w:rsidRDefault="0035270C" w:rsidP="0035270C">
      <w:pPr>
        <w:autoSpaceDE w:val="0"/>
        <w:autoSpaceDN w:val="0"/>
        <w:adjustRightInd w:val="0"/>
        <w:jc w:val="both"/>
        <w:rPr>
          <w:color w:val="000000"/>
        </w:rPr>
      </w:pPr>
      <w:r>
        <w:rPr>
          <w:color w:val="000000"/>
        </w:rPr>
        <w:t>ACL/</w:t>
      </w:r>
      <w:r w:rsidRPr="00CB39A0">
        <w:rPr>
          <w:color w:val="000000"/>
        </w:rPr>
        <w:t xml:space="preserve">AoA also funded </w:t>
      </w:r>
      <w:r>
        <w:rPr>
          <w:color w:val="000000"/>
        </w:rPr>
        <w:t>the</w:t>
      </w:r>
      <w:r w:rsidRPr="00CB39A0">
        <w:rPr>
          <w:color w:val="000000"/>
        </w:rPr>
        <w:t xml:space="preserve"> National Falls Prevention Resource Center to work collaboratively – on behalf of the public, aging services network, and other stakeholders – to increase public education about the risks of falls and how to prevent them, as well as to support and stimulate the implementation and dissemination of evidence-based community programs and strategies that have been proven to reduce the incidence of falls among seniors. </w:t>
      </w:r>
      <w:r>
        <w:br w:type="page"/>
      </w:r>
    </w:p>
    <w:p w14:paraId="1638B8AE" w14:textId="77777777" w:rsidR="007E5B60" w:rsidRDefault="007E5B60" w:rsidP="00916C9D">
      <w:pPr>
        <w:pStyle w:val="Heading2"/>
      </w:pPr>
      <w:bookmarkStart w:id="39" w:name="_Toc9929355"/>
      <w:r>
        <w:lastRenderedPageBreak/>
        <w:t>Caregiver Services</w:t>
      </w:r>
      <w:bookmarkEnd w:id="37"/>
      <w:bookmarkEnd w:id="38"/>
      <w:bookmarkEnd w:id="39"/>
    </w:p>
    <w:p w14:paraId="1911B086" w14:textId="77777777" w:rsidR="007E5B60" w:rsidRDefault="007E5B60" w:rsidP="007E5B60">
      <w:pPr>
        <w:autoSpaceDE w:val="0"/>
        <w:autoSpaceDN w:val="0"/>
        <w:adjustRightInd w:val="0"/>
        <w:jc w:val="both"/>
        <w:rPr>
          <w:color w:val="000000"/>
        </w:rPr>
      </w:pPr>
    </w:p>
    <w:p w14:paraId="56ADB8D4" w14:textId="3703CCDB" w:rsidR="007E5B60" w:rsidRDefault="007E5B60" w:rsidP="007E5B60">
      <w:pPr>
        <w:autoSpaceDE w:val="0"/>
        <w:autoSpaceDN w:val="0"/>
        <w:adjustRightInd w:val="0"/>
        <w:jc w:val="both"/>
      </w:pPr>
      <w:r>
        <w:rPr>
          <w:color w:val="000000"/>
        </w:rPr>
        <w:t>Families are the nation’s primary providers of care, but a number of factors including financial constraints, work and family demands, and the many challenges of</w:t>
      </w:r>
      <w:bookmarkStart w:id="40" w:name="_Toc303606072"/>
      <w:bookmarkStart w:id="41" w:name="_Toc316405573"/>
      <w:bookmarkEnd w:id="29"/>
      <w:bookmarkEnd w:id="30"/>
      <w:bookmarkEnd w:id="31"/>
      <w:r w:rsidR="00B42FC8" w:rsidRPr="007E5B60">
        <w:rPr>
          <w:b/>
        </w:rPr>
        <w:t xml:space="preserve"> </w:t>
      </w:r>
      <w:r w:rsidR="00B42FC8" w:rsidRPr="007E5B60">
        <w:t>providing care place great pressure on family caregivers</w:t>
      </w:r>
      <w:r w:rsidR="00D91CA1">
        <w:t xml:space="preserve">.  </w:t>
      </w:r>
      <w:r w:rsidR="00B42FC8" w:rsidRPr="007E5B60">
        <w:t>Caregiving responsibilities demand time and money from families who often are strapped for both</w:t>
      </w:r>
      <w:r w:rsidR="00D91CA1">
        <w:t xml:space="preserve">.  </w:t>
      </w:r>
      <w:r w:rsidR="00B42FC8" w:rsidRPr="007E5B60">
        <w:t>AoA’s caregiver programs provide services that address the needs of informal caregivers, allowing many of them to continue to work while providing critically needed care</w:t>
      </w:r>
      <w:r w:rsidR="00761EBB">
        <w:t xml:space="preserve">. </w:t>
      </w:r>
    </w:p>
    <w:p w14:paraId="6198870A" w14:textId="77777777" w:rsidR="007E5B60" w:rsidRDefault="007E5B60" w:rsidP="007E5B60">
      <w:pPr>
        <w:autoSpaceDE w:val="0"/>
        <w:autoSpaceDN w:val="0"/>
        <w:adjustRightInd w:val="0"/>
        <w:jc w:val="both"/>
      </w:pPr>
    </w:p>
    <w:p w14:paraId="3381654C" w14:textId="2ADB5879" w:rsidR="00EE2A50" w:rsidRDefault="00504046" w:rsidP="00EE2A50">
      <w:pPr>
        <w:autoSpaceDE w:val="0"/>
        <w:autoSpaceDN w:val="0"/>
        <w:adjustRightInd w:val="0"/>
        <w:jc w:val="both"/>
      </w:pPr>
      <w:r w:rsidRPr="007E5B60">
        <w:t xml:space="preserve">Better support for informal caregivers is critical because often it is their availability </w:t>
      </w:r>
      <w:r w:rsidR="0031784D">
        <w:t>–</w:t>
      </w:r>
      <w:r w:rsidRPr="007E5B60">
        <w:t xml:space="preserve"> whether they are informal family caregivers or unrelated friends</w:t>
      </w:r>
      <w:r w:rsidR="00526576">
        <w:t>,</w:t>
      </w:r>
      <w:r w:rsidRPr="007E5B60">
        <w:t xml:space="preserve"> neighbors</w:t>
      </w:r>
      <w:r w:rsidR="00526576">
        <w:t xml:space="preserve">, and others who have a significant </w:t>
      </w:r>
      <w:r w:rsidR="00656FC5">
        <w:t>relationship</w:t>
      </w:r>
      <w:r w:rsidR="00526576">
        <w:t xml:space="preserve"> with the person</w:t>
      </w:r>
      <w:r w:rsidRPr="007E5B60">
        <w:t xml:space="preserve"> who volunteer</w:t>
      </w:r>
      <w:r w:rsidR="00526576">
        <w:t>s</w:t>
      </w:r>
      <w:r w:rsidRPr="007E5B60">
        <w:t xml:space="preserve"> their time </w:t>
      </w:r>
      <w:r w:rsidR="0031784D">
        <w:t>–</w:t>
      </w:r>
      <w:r w:rsidRPr="007E5B60">
        <w:t xml:space="preserve"> that determines whether an older person can remain in his or her home</w:t>
      </w:r>
      <w:r w:rsidR="00D91CA1">
        <w:t xml:space="preserve">.  </w:t>
      </w:r>
      <w:r w:rsidRPr="007E5B60">
        <w:t xml:space="preserve">In </w:t>
      </w:r>
      <w:r w:rsidR="009E3999">
        <w:t>2014</w:t>
      </w:r>
      <w:r w:rsidRPr="007E5B60">
        <w:t xml:space="preserve">, approximately </w:t>
      </w:r>
      <w:r w:rsidR="009E3999">
        <w:t>34.2</w:t>
      </w:r>
      <w:r w:rsidRPr="007E5B60">
        <w:t xml:space="preserve"> million adult caregivers provided uncompensated care to those 50 years of age and older.</w:t>
      </w:r>
      <w:r w:rsidR="003755C1">
        <w:rPr>
          <w:rStyle w:val="FootnoteReference"/>
        </w:rPr>
        <w:footnoteReference w:id="74"/>
      </w:r>
      <w:r w:rsidR="00D91CA1">
        <w:t xml:space="preserve">  </w:t>
      </w:r>
      <w:r w:rsidRPr="007E5B60">
        <w:t xml:space="preserve">In other words, approximately </w:t>
      </w:r>
      <w:r w:rsidR="009E3999">
        <w:t>14.3</w:t>
      </w:r>
      <w:r w:rsidR="009E3999" w:rsidRPr="007E5B60">
        <w:t xml:space="preserve"> </w:t>
      </w:r>
      <w:r w:rsidRPr="007E5B60">
        <w:t>percent of all adults provided care to someone age 50 years and older.</w:t>
      </w:r>
      <w:r w:rsidRPr="007E5B60">
        <w:rPr>
          <w:rStyle w:val="FootnoteReference"/>
        </w:rPr>
        <w:footnoteReference w:id="75"/>
      </w:r>
      <w:r w:rsidR="00D91CA1">
        <w:t xml:space="preserve">  </w:t>
      </w:r>
      <w:r w:rsidRPr="007E5B60">
        <w:t>AARP estimated the economic cost of replacing unpaid caregiving in 20</w:t>
      </w:r>
      <w:r w:rsidR="00A85351">
        <w:t>13</w:t>
      </w:r>
      <w:r w:rsidRPr="007E5B60">
        <w:t xml:space="preserve"> to be about $4</w:t>
      </w:r>
      <w:r w:rsidR="00A85351">
        <w:t>7</w:t>
      </w:r>
      <w:r w:rsidRPr="007E5B60">
        <w:t>0 billion, an increase from $</w:t>
      </w:r>
      <w:r w:rsidR="007B3F93">
        <w:t>450</w:t>
      </w:r>
      <w:r w:rsidRPr="007E5B60">
        <w:t xml:space="preserve"> billion in 200</w:t>
      </w:r>
      <w:r w:rsidR="007B3F93">
        <w:t>9</w:t>
      </w:r>
      <w:r w:rsidRPr="007E5B60">
        <w:t xml:space="preserve"> (cost if that care had to be replaced with paid services).</w:t>
      </w:r>
      <w:r w:rsidR="00423D0D" w:rsidRPr="007E5B60">
        <w:rPr>
          <w:rStyle w:val="FootnoteReference"/>
        </w:rPr>
        <w:footnoteReference w:id="76"/>
      </w:r>
      <w:r w:rsidR="00D91CA1">
        <w:t xml:space="preserve">  </w:t>
      </w:r>
      <w:r w:rsidR="00C45556">
        <w:t>Another recent</w:t>
      </w:r>
      <w:r w:rsidR="002D0BD1">
        <w:t xml:space="preserve"> study by the </w:t>
      </w:r>
      <w:r w:rsidR="002D0BD1" w:rsidRPr="009E443F">
        <w:t>Rand Corporation estimated the economic cost of replacing unpaid caregiving to be about $522 billion annually.</w:t>
      </w:r>
      <w:r w:rsidR="002D0BD1">
        <w:rPr>
          <w:rStyle w:val="FootnoteReference"/>
        </w:rPr>
        <w:footnoteReference w:id="77"/>
      </w:r>
      <w:r w:rsidR="00D91CA1">
        <w:t xml:space="preserve">  </w:t>
      </w:r>
      <w:r w:rsidR="002D0BD1">
        <w:t>The cost to replace that care with unskilled paid care at minimum wage was estimated at $221 billion, while replacing it with skilled nursing care could cost $642 billion annually</w:t>
      </w:r>
      <w:r w:rsidR="00D91CA1">
        <w:t xml:space="preserve">.  </w:t>
      </w:r>
      <w:r w:rsidR="007B3F93" w:rsidRPr="007B3F93">
        <w:t>These estimates differ because of differences in methodology and definitions rather than contradictory data.</w:t>
      </w:r>
    </w:p>
    <w:p w14:paraId="0617E636" w14:textId="77777777" w:rsidR="00EE2A50" w:rsidRDefault="00EE2A50" w:rsidP="00EE2A50">
      <w:pPr>
        <w:jc w:val="both"/>
      </w:pPr>
    </w:p>
    <w:p w14:paraId="5DE751AC" w14:textId="39C398DC" w:rsidR="00504046" w:rsidRPr="00EE2A50" w:rsidRDefault="00504046" w:rsidP="00EE2A50">
      <w:pPr>
        <w:jc w:val="both"/>
      </w:pPr>
      <w:r w:rsidRPr="00AD5B58">
        <w:t>The demands of caregiving can be considerable</w:t>
      </w:r>
      <w:r w:rsidR="00E30168">
        <w:t xml:space="preserve">.  </w:t>
      </w:r>
      <w:r w:rsidRPr="00AD5B58">
        <w:t>Recent research has demonstrated that caregiving tasks can, and do, go well beyond providing regular assistance with activities of daily living (ADLs) and instrumental activities of daily living (IADLs)</w:t>
      </w:r>
      <w:r w:rsidR="00E30168">
        <w:t xml:space="preserve">.  </w:t>
      </w:r>
      <w:r w:rsidRPr="00AD5B58">
        <w:t>A 2012 study by AARP and United Hospital Fund revealed that, while family caregivers continue to perform the traditional ADL/IADL supports, their roles are expanding dramatically to include performing medical/nursing tasks of the type and complexity typically seen only in hospitals and other acute care settings.</w:t>
      </w:r>
      <w:r w:rsidR="00423D0D" w:rsidRPr="009F7665">
        <w:rPr>
          <w:rStyle w:val="FootnoteReference"/>
        </w:rPr>
        <w:footnoteReference w:id="78"/>
      </w:r>
      <w:r w:rsidRPr="009F7665">
        <w:t xml:space="preserve"> </w:t>
      </w:r>
      <w:r w:rsidRPr="00AD5B58">
        <w:t xml:space="preserve">  </w:t>
      </w:r>
    </w:p>
    <w:p w14:paraId="0E352C32" w14:textId="77777777" w:rsidR="004F32F4" w:rsidRPr="00AD5B58" w:rsidRDefault="004F32F4" w:rsidP="00EE2A50">
      <w:pPr>
        <w:jc w:val="both"/>
      </w:pPr>
    </w:p>
    <w:p w14:paraId="28ED458B" w14:textId="25694591" w:rsidR="00EE2A50" w:rsidRPr="00A36253" w:rsidRDefault="00504046" w:rsidP="00EE2A50">
      <w:pPr>
        <w:jc w:val="both"/>
      </w:pPr>
      <w:r w:rsidRPr="00AD5B58">
        <w:t>Such demands on family caregivers can lead to a breakdown of their health</w:t>
      </w:r>
      <w:r w:rsidR="009F7665">
        <w:t xml:space="preserve"> a</w:t>
      </w:r>
      <w:r w:rsidRPr="00AD5B58">
        <w:t>nd can increase the</w:t>
      </w:r>
      <w:r w:rsidR="004F32F4" w:rsidRPr="00AD5B58">
        <w:t xml:space="preserve"> </w:t>
      </w:r>
      <w:r w:rsidRPr="00AD5B58">
        <w:t>risk for institutionalization of the care recipient</w:t>
      </w:r>
      <w:r w:rsidR="00E30168">
        <w:t xml:space="preserve">.  </w:t>
      </w:r>
      <w:r w:rsidR="00707F46" w:rsidRPr="00085F3A">
        <w:t>While research is mixed on the exact physical health impacts of family caregiving, several recent studies show that caregivers reporting mental and emotional strain as a result of their caregiving role are at higher risk for</w:t>
      </w:r>
      <w:r w:rsidR="00B54F31">
        <w:t xml:space="preserve"> earlier</w:t>
      </w:r>
      <w:r w:rsidR="00707F46" w:rsidRPr="00085F3A">
        <w:t xml:space="preserve"> mortality</w:t>
      </w:r>
      <w:r w:rsidRPr="00707F46">
        <w:t>.</w:t>
      </w:r>
      <w:r w:rsidR="00423D0D" w:rsidRPr="00707F46">
        <w:rPr>
          <w:rStyle w:val="FootnoteReference"/>
        </w:rPr>
        <w:footnoteReference w:id="79"/>
      </w:r>
      <w:r w:rsidR="00707F46" w:rsidRPr="00707F46">
        <w:rPr>
          <w:vertAlign w:val="superscript"/>
        </w:rPr>
        <w:t>,</w:t>
      </w:r>
      <w:r w:rsidR="00707F46" w:rsidRPr="00707F46">
        <w:rPr>
          <w:rStyle w:val="FootnoteReference"/>
        </w:rPr>
        <w:footnoteReference w:id="80"/>
      </w:r>
      <w:r w:rsidR="00707F46">
        <w:rPr>
          <w:vertAlign w:val="superscript"/>
        </w:rPr>
        <w:t>,</w:t>
      </w:r>
      <w:r w:rsidR="00707F46">
        <w:rPr>
          <w:rStyle w:val="FootnoteReference"/>
        </w:rPr>
        <w:footnoteReference w:id="81"/>
      </w:r>
      <w:r w:rsidRPr="00AD5B58">
        <w:t xml:space="preserve"> </w:t>
      </w:r>
      <w:r w:rsidR="009F7665" w:rsidRPr="00A36253">
        <w:t>P</w:t>
      </w:r>
      <w:r w:rsidRPr="00A36253">
        <w:t xml:space="preserve">roviding support that makes caregiving easier for family caregivers, such as information, counseling and training, respite care, or supplemental services, is critical </w:t>
      </w:r>
      <w:r w:rsidRPr="00A36253">
        <w:lastRenderedPageBreak/>
        <w:t>to sustaining caregivers’ ability to continue in that role</w:t>
      </w:r>
      <w:r w:rsidR="00E30168">
        <w:t xml:space="preserve">.  </w:t>
      </w:r>
      <w:r w:rsidR="000E3FAE" w:rsidRPr="00A36253">
        <w:t xml:space="preserve">Seventy seven </w:t>
      </w:r>
      <w:r w:rsidRPr="00A36253">
        <w:t>percent of the caregivers served by OAA programs report that these services allow them to provide care longer than they otherwise could.</w:t>
      </w:r>
      <w:r w:rsidR="00423D0D" w:rsidRPr="00A36253">
        <w:rPr>
          <w:vertAlign w:val="superscript"/>
        </w:rPr>
        <w:footnoteReference w:id="82"/>
      </w:r>
      <w:r w:rsidRPr="00A36253">
        <w:rPr>
          <w:vertAlign w:val="superscript"/>
        </w:rPr>
        <w:t xml:space="preserve"> </w:t>
      </w:r>
      <w:r w:rsidRPr="00A36253">
        <w:t xml:space="preserve">    </w:t>
      </w:r>
    </w:p>
    <w:p w14:paraId="3191B4FF" w14:textId="77777777" w:rsidR="00EE2A50" w:rsidRPr="00A36253" w:rsidRDefault="00EE2A50" w:rsidP="00EE2A50">
      <w:pPr>
        <w:jc w:val="both"/>
      </w:pPr>
    </w:p>
    <w:p w14:paraId="3DD969C3" w14:textId="2943974B" w:rsidR="00504046" w:rsidRPr="00A36253" w:rsidRDefault="00504046" w:rsidP="00EE2A50">
      <w:pPr>
        <w:jc w:val="both"/>
      </w:pPr>
      <w:r w:rsidRPr="00A36253">
        <w:t>At the same time, AoA recognizes that it must also address the growing need for more caregivers every day</w:t>
      </w:r>
      <w:r w:rsidR="00E30168">
        <w:t xml:space="preserve">.  </w:t>
      </w:r>
      <w:r w:rsidRPr="00A36253">
        <w:t>By 2020, it is p</w:t>
      </w:r>
      <w:r w:rsidR="00C6150D" w:rsidRPr="00A36253">
        <w:t xml:space="preserve">rojected that there will be </w:t>
      </w:r>
      <w:r w:rsidR="00EB461B" w:rsidRPr="00A36253">
        <w:t>1</w:t>
      </w:r>
      <w:r w:rsidR="00135D15">
        <w:t>5.6</w:t>
      </w:r>
      <w:r w:rsidR="00EB461B" w:rsidRPr="00A36253">
        <w:t xml:space="preserve"> </w:t>
      </w:r>
      <w:r w:rsidRPr="00A36253">
        <w:t xml:space="preserve">million </w:t>
      </w:r>
      <w:r w:rsidR="00526576" w:rsidRPr="00A36253">
        <w:t>older adults living in the community</w:t>
      </w:r>
      <w:r w:rsidR="00C6150D" w:rsidRPr="00A36253">
        <w:t xml:space="preserve"> age 65 and over with one or more</w:t>
      </w:r>
      <w:r w:rsidRPr="00A36253">
        <w:t xml:space="preserve"> ADL </w:t>
      </w:r>
      <w:r w:rsidR="00C6150D" w:rsidRPr="00A36253">
        <w:t>limitations</w:t>
      </w:r>
      <w:r w:rsidRPr="00A36253">
        <w:t xml:space="preserve">, an increase of </w:t>
      </w:r>
      <w:r w:rsidR="00135D15">
        <w:t>1.4</w:t>
      </w:r>
      <w:r w:rsidR="005303FD" w:rsidRPr="00A36253">
        <w:t xml:space="preserve"> </w:t>
      </w:r>
      <w:r w:rsidR="006367F7">
        <w:t xml:space="preserve">million </w:t>
      </w:r>
      <w:r w:rsidRPr="00A36253">
        <w:t xml:space="preserve">seniors (or a </w:t>
      </w:r>
      <w:r w:rsidR="005303FD" w:rsidRPr="00A36253">
        <w:t>1</w:t>
      </w:r>
      <w:r w:rsidR="00135D15">
        <w:t>0</w:t>
      </w:r>
      <w:r w:rsidR="000C2CCF" w:rsidRPr="00A36253">
        <w:t> </w:t>
      </w:r>
      <w:r w:rsidRPr="00A36253">
        <w:t>percent</w:t>
      </w:r>
      <w:r w:rsidR="00E54EEA" w:rsidRPr="00A36253">
        <w:t xml:space="preserve"> increase</w:t>
      </w:r>
      <w:r w:rsidRPr="00A36253">
        <w:t xml:space="preserve"> between </w:t>
      </w:r>
      <w:r w:rsidR="00907A1E" w:rsidRPr="00A36253">
        <w:t>201</w:t>
      </w:r>
      <w:r w:rsidR="00135D15">
        <w:t>7</w:t>
      </w:r>
      <w:r w:rsidRPr="00A36253">
        <w:t xml:space="preserve"> and 2020) needing caregiver assistance.</w:t>
      </w:r>
      <w:r w:rsidR="00423D0D" w:rsidRPr="00A36253">
        <w:rPr>
          <w:vertAlign w:val="superscript"/>
        </w:rPr>
        <w:footnoteReference w:id="83"/>
      </w:r>
      <w:r w:rsidRPr="00A36253">
        <w:rPr>
          <w:vertAlign w:val="superscript"/>
        </w:rPr>
        <w:t xml:space="preserve">  </w:t>
      </w:r>
    </w:p>
    <w:bookmarkEnd w:id="40"/>
    <w:bookmarkEnd w:id="41"/>
    <w:p w14:paraId="18252C8C" w14:textId="1F35F267" w:rsidR="008733D0" w:rsidRPr="00A36253" w:rsidRDefault="008733D0" w:rsidP="003B25D9">
      <w:pPr>
        <w:rPr>
          <w:szCs w:val="28"/>
        </w:rPr>
      </w:pPr>
    </w:p>
    <w:p w14:paraId="203FEC4D" w14:textId="77777777" w:rsidR="004B1A60" w:rsidRPr="00A36253" w:rsidRDefault="004B1A60" w:rsidP="00916C9D">
      <w:pPr>
        <w:pStyle w:val="Heading2"/>
      </w:pPr>
      <w:bookmarkStart w:id="42" w:name="_Toc436738877"/>
      <w:bookmarkStart w:id="43" w:name="_Toc536443922"/>
      <w:bookmarkStart w:id="44" w:name="_Toc9929356"/>
      <w:r w:rsidRPr="00A36253">
        <w:t>National Family Caregiver Support Program</w:t>
      </w:r>
      <w:bookmarkEnd w:id="42"/>
      <w:bookmarkEnd w:id="43"/>
      <w:bookmarkEnd w:id="44"/>
    </w:p>
    <w:p w14:paraId="4F5904FD" w14:textId="773E3341" w:rsidR="004B1A60" w:rsidRPr="00AD5B58" w:rsidRDefault="00E54EEA" w:rsidP="00EE2A50">
      <w:pPr>
        <w:keepNext/>
        <w:pBdr>
          <w:top w:val="single" w:sz="6" w:space="0" w:color="FFFFFF"/>
          <w:left w:val="single" w:sz="6" w:space="0" w:color="FFFFFF"/>
          <w:bottom w:val="single" w:sz="6" w:space="0" w:color="FFFFFF"/>
          <w:right w:val="single" w:sz="6" w:space="0" w:color="FFFFFF"/>
        </w:pBdr>
        <w:jc w:val="center"/>
        <w:rPr>
          <w:b/>
          <w:i/>
        </w:rPr>
      </w:pPr>
      <w:r w:rsidRPr="00A36253">
        <w:rPr>
          <w:b/>
          <w:i/>
        </w:rPr>
        <w:t>(Title III-E of OAA; FY 201</w:t>
      </w:r>
      <w:r w:rsidR="0060183E">
        <w:rPr>
          <w:b/>
          <w:i/>
        </w:rPr>
        <w:t>7</w:t>
      </w:r>
      <w:r w:rsidRPr="00A36253">
        <w:rPr>
          <w:b/>
          <w:i/>
        </w:rPr>
        <w:t>: $1</w:t>
      </w:r>
      <w:r w:rsidR="00D51575" w:rsidRPr="00A36253">
        <w:rPr>
          <w:b/>
          <w:i/>
        </w:rPr>
        <w:t>50</w:t>
      </w:r>
      <w:r w:rsidRPr="00A36253">
        <w:rPr>
          <w:b/>
          <w:i/>
        </w:rPr>
        <w:t>,586,000)</w:t>
      </w:r>
    </w:p>
    <w:p w14:paraId="25212E89" w14:textId="77777777" w:rsidR="00E54EEA" w:rsidRPr="00E54EEA" w:rsidRDefault="00E54EEA" w:rsidP="00E54EEA">
      <w:pPr>
        <w:pBdr>
          <w:top w:val="single" w:sz="6" w:space="0" w:color="FFFFFF"/>
          <w:left w:val="single" w:sz="6" w:space="0" w:color="FFFFFF"/>
          <w:bottom w:val="single" w:sz="6" w:space="0" w:color="FFFFFF"/>
          <w:right w:val="single" w:sz="6" w:space="0" w:color="FFFFFF"/>
        </w:pBdr>
        <w:jc w:val="center"/>
        <w:rPr>
          <w:b/>
        </w:rPr>
      </w:pPr>
    </w:p>
    <w:p w14:paraId="05030255" w14:textId="23466A82" w:rsidR="004B1A60" w:rsidRPr="00A36253" w:rsidRDefault="004B1A60" w:rsidP="004B1A60">
      <w:pPr>
        <w:pBdr>
          <w:top w:val="single" w:sz="6" w:space="0" w:color="FFFFFF"/>
          <w:left w:val="single" w:sz="6" w:space="0" w:color="FFFFFF"/>
          <w:bottom w:val="single" w:sz="6" w:space="0" w:color="FFFFFF"/>
          <w:right w:val="single" w:sz="6" w:space="0" w:color="FFFFFF"/>
        </w:pBdr>
        <w:jc w:val="both"/>
      </w:pPr>
      <w:r w:rsidRPr="00A36253">
        <w:t xml:space="preserve">The National Family Caregiver Support Program (NFCSP) </w:t>
      </w:r>
      <w:r w:rsidRPr="00A36253">
        <w:rPr>
          <w:iCs/>
        </w:rPr>
        <w:t>provides</w:t>
      </w:r>
      <w:r w:rsidRPr="00A36253">
        <w:t xml:space="preserve"> grants to states and territories, based on their share of the population age 70 and over, to fund a range of supports that assist family and informal caregivers to care for their </w:t>
      </w:r>
      <w:r w:rsidR="00526576" w:rsidRPr="00A36253">
        <w:t>family member</w:t>
      </w:r>
      <w:r w:rsidRPr="00A36253">
        <w:t xml:space="preserve"> at home for as long as possible</w:t>
      </w:r>
      <w:r w:rsidR="00E30168">
        <w:t xml:space="preserve">.  </w:t>
      </w:r>
      <w:r w:rsidRPr="00A36253">
        <w:t xml:space="preserve">The </w:t>
      </w:r>
      <w:r w:rsidR="00D915B6" w:rsidRPr="00A36253">
        <w:t>NFCSP</w:t>
      </w:r>
      <w:r w:rsidRPr="00A36253">
        <w:t xml:space="preserve"> includes five basic system components: information</w:t>
      </w:r>
      <w:r w:rsidR="000C2CCF" w:rsidRPr="00A36253">
        <w:t xml:space="preserve">, </w:t>
      </w:r>
      <w:r w:rsidRPr="00A36253">
        <w:t>access assistance</w:t>
      </w:r>
      <w:r w:rsidR="000C2CCF" w:rsidRPr="00A36253">
        <w:t xml:space="preserve">, </w:t>
      </w:r>
      <w:r w:rsidRPr="00A36253">
        <w:t>counseling and training</w:t>
      </w:r>
      <w:r w:rsidR="000C2CCF" w:rsidRPr="00A36253">
        <w:t xml:space="preserve">, </w:t>
      </w:r>
      <w:r w:rsidRPr="00A36253">
        <w:t>respite care</w:t>
      </w:r>
      <w:r w:rsidR="000C2CCF" w:rsidRPr="00A36253">
        <w:t xml:space="preserve">, </w:t>
      </w:r>
      <w:r w:rsidR="002377AF">
        <w:t>and supplemental services</w:t>
      </w:r>
      <w:r w:rsidR="00E30168">
        <w:t xml:space="preserve">.  </w:t>
      </w:r>
      <w:r w:rsidRPr="00A36253">
        <w:t xml:space="preserve">These services work in conjunction with other OAA services </w:t>
      </w:r>
      <w:r w:rsidR="000C2CCF" w:rsidRPr="00A36253">
        <w:t>–</w:t>
      </w:r>
      <w:r w:rsidRPr="00A36253">
        <w:t xml:space="preserve"> including transportation services, homemaker services, home-delivered meals, and adult day care </w:t>
      </w:r>
      <w:r w:rsidR="000C2CCF" w:rsidRPr="00A36253">
        <w:t>–</w:t>
      </w:r>
      <w:r w:rsidRPr="00A36253">
        <w:t xml:space="preserve"> to provide a coordinated set of supports for </w:t>
      </w:r>
      <w:r w:rsidR="00BF44D3" w:rsidRPr="00A36253">
        <w:t>older individuals</w:t>
      </w:r>
      <w:r w:rsidRPr="00A36253">
        <w:t xml:space="preserve"> </w:t>
      </w:r>
      <w:r w:rsidR="00EA06EF">
        <w:t>that</w:t>
      </w:r>
      <w:r w:rsidR="00EA06EF" w:rsidRPr="00A36253">
        <w:t xml:space="preserve"> </w:t>
      </w:r>
      <w:r w:rsidRPr="00A36253">
        <w:t>caregivers can access on their behalf.</w:t>
      </w:r>
    </w:p>
    <w:p w14:paraId="5F7D3212" w14:textId="77777777" w:rsidR="004B1A60" w:rsidRPr="00A36253" w:rsidRDefault="004B1A60" w:rsidP="004B1A60">
      <w:pPr>
        <w:pBdr>
          <w:top w:val="single" w:sz="6" w:space="0" w:color="FFFFFF"/>
          <w:left w:val="single" w:sz="6" w:space="0" w:color="FFFFFF"/>
          <w:bottom w:val="single" w:sz="6" w:space="0" w:color="FFFFFF"/>
          <w:right w:val="single" w:sz="6" w:space="0" w:color="FFFFFF"/>
        </w:pBdr>
        <w:jc w:val="both"/>
      </w:pPr>
    </w:p>
    <w:p w14:paraId="60F6C968" w14:textId="1662D75D" w:rsidR="004B1A60" w:rsidRPr="00A36253" w:rsidRDefault="004B1A60" w:rsidP="004B1A60">
      <w:pPr>
        <w:jc w:val="both"/>
      </w:pPr>
      <w:r w:rsidRPr="00A36253">
        <w:t>The NFCSP provides a variety of supports to f</w:t>
      </w:r>
      <w:r w:rsidR="007303CB" w:rsidRPr="00A36253">
        <w:t xml:space="preserve">amily and informal </w:t>
      </w:r>
      <w:r w:rsidR="002377AF">
        <w:t>caregivers</w:t>
      </w:r>
      <w:r w:rsidR="00E30168">
        <w:t xml:space="preserve">.  </w:t>
      </w:r>
      <w:r w:rsidRPr="00A36253">
        <w:t xml:space="preserve">In </w:t>
      </w:r>
      <w:r w:rsidR="00535B95" w:rsidRPr="00A36253">
        <w:t xml:space="preserve">FY </w:t>
      </w:r>
      <w:r w:rsidR="005D352A" w:rsidRPr="00A36253">
        <w:t>201</w:t>
      </w:r>
      <w:r w:rsidR="0060183E">
        <w:t>7</w:t>
      </w:r>
      <w:r w:rsidRPr="00A36253">
        <w:t>, services provided included:</w:t>
      </w:r>
      <w:r w:rsidR="00535B95" w:rsidRPr="00A36253">
        <w:rPr>
          <w:rStyle w:val="FootnoteReference"/>
        </w:rPr>
        <w:footnoteReference w:id="84"/>
      </w:r>
      <w:r w:rsidRPr="00A36253">
        <w:t xml:space="preserve"> </w:t>
      </w:r>
    </w:p>
    <w:p w14:paraId="7699980F" w14:textId="77777777" w:rsidR="004B1A60" w:rsidRPr="00A36253" w:rsidRDefault="004B1A60" w:rsidP="004B1A60">
      <w:pPr>
        <w:jc w:val="both"/>
      </w:pPr>
    </w:p>
    <w:p w14:paraId="7D6B6C42" w14:textId="65B03103" w:rsidR="00BF44D3" w:rsidRPr="00A36253" w:rsidRDefault="004B1A60" w:rsidP="000B38B2">
      <w:pPr>
        <w:pStyle w:val="ListParagraph"/>
        <w:numPr>
          <w:ilvl w:val="0"/>
          <w:numId w:val="12"/>
        </w:numPr>
        <w:jc w:val="both"/>
      </w:pPr>
      <w:r w:rsidRPr="00A36253">
        <w:rPr>
          <w:i/>
        </w:rPr>
        <w:t>Access Assistance Services</w:t>
      </w:r>
      <w:r w:rsidR="00B11832" w:rsidRPr="00A36253">
        <w:t>, which</w:t>
      </w:r>
      <w:r w:rsidRPr="00A36253">
        <w:t xml:space="preserve"> provided </w:t>
      </w:r>
      <w:r w:rsidR="00A57692" w:rsidRPr="00A36253">
        <w:t xml:space="preserve">over </w:t>
      </w:r>
      <w:r w:rsidR="000E3FAE" w:rsidRPr="00A36253">
        <w:t>1.2</w:t>
      </w:r>
      <w:r w:rsidRPr="00A36253">
        <w:t xml:space="preserve"> million contacts to caregivers assisting them in locating services from a variety of public and private agencies.</w:t>
      </w:r>
    </w:p>
    <w:p w14:paraId="1D252713" w14:textId="77777777" w:rsidR="00BF44D3" w:rsidRPr="00A36253" w:rsidRDefault="00BF44D3" w:rsidP="00BF44D3">
      <w:pPr>
        <w:jc w:val="both"/>
      </w:pPr>
    </w:p>
    <w:p w14:paraId="3558CA90" w14:textId="578112AC" w:rsidR="00BF44D3" w:rsidRPr="00A36253" w:rsidRDefault="004B1A60" w:rsidP="000B38B2">
      <w:pPr>
        <w:pStyle w:val="ListParagraph"/>
        <w:numPr>
          <w:ilvl w:val="0"/>
          <w:numId w:val="12"/>
        </w:numPr>
        <w:pBdr>
          <w:top w:val="single" w:sz="6" w:space="0" w:color="FFFFFF"/>
          <w:left w:val="single" w:sz="6" w:space="0" w:color="FFFFFF"/>
          <w:bottom w:val="single" w:sz="6" w:space="0" w:color="FFFFFF"/>
          <w:right w:val="single" w:sz="6" w:space="0" w:color="FFFFFF"/>
        </w:pBdr>
        <w:jc w:val="both"/>
      </w:pPr>
      <w:r w:rsidRPr="00A36253">
        <w:rPr>
          <w:i/>
        </w:rPr>
        <w:t>Counseling and Training Services</w:t>
      </w:r>
      <w:r w:rsidR="00B11832" w:rsidRPr="00A36253">
        <w:t>, which</w:t>
      </w:r>
      <w:r w:rsidRPr="00A36253">
        <w:t xml:space="preserve"> provided </w:t>
      </w:r>
      <w:r w:rsidR="00C45556" w:rsidRPr="00A36253">
        <w:t xml:space="preserve">over </w:t>
      </w:r>
      <w:r w:rsidR="000E3FAE" w:rsidRPr="00A36253">
        <w:t>1</w:t>
      </w:r>
      <w:r w:rsidR="00DF339E">
        <w:t>0</w:t>
      </w:r>
      <w:r w:rsidR="00DC1EDA">
        <w:t>8</w:t>
      </w:r>
      <w:r w:rsidR="000E3FAE" w:rsidRPr="00A36253">
        <w:t>,000</w:t>
      </w:r>
      <w:r w:rsidR="00BF44D3" w:rsidRPr="00A36253">
        <w:t xml:space="preserve"> </w:t>
      </w:r>
      <w:r w:rsidRPr="00A36253">
        <w:t>caregivers with counseling, peer support groups, and training to help them better cope with the stresses of caregiving.</w:t>
      </w:r>
    </w:p>
    <w:p w14:paraId="2A5FB4CE" w14:textId="77777777" w:rsidR="00BF44D3" w:rsidRPr="00A36253" w:rsidRDefault="00BF44D3" w:rsidP="00BF44D3">
      <w:pPr>
        <w:pStyle w:val="ListParagraph"/>
        <w:ind w:left="0"/>
        <w:rPr>
          <w:i/>
        </w:rPr>
      </w:pPr>
    </w:p>
    <w:p w14:paraId="34A8090B" w14:textId="0BBAAE49" w:rsidR="004B1A60" w:rsidRPr="00A36253" w:rsidRDefault="004B1A60" w:rsidP="000B38B2">
      <w:pPr>
        <w:pStyle w:val="ListParagraph"/>
        <w:numPr>
          <w:ilvl w:val="0"/>
          <w:numId w:val="12"/>
        </w:numPr>
        <w:pBdr>
          <w:top w:val="single" w:sz="6" w:space="0" w:color="FFFFFF"/>
          <w:left w:val="single" w:sz="6" w:space="0" w:color="FFFFFF"/>
          <w:bottom w:val="single" w:sz="6" w:space="0" w:color="FFFFFF"/>
          <w:right w:val="single" w:sz="6" w:space="0" w:color="FFFFFF"/>
        </w:pBdr>
        <w:jc w:val="both"/>
      </w:pPr>
      <w:r w:rsidRPr="00A36253">
        <w:rPr>
          <w:i/>
        </w:rPr>
        <w:t xml:space="preserve">Respite Care </w:t>
      </w:r>
      <w:r w:rsidRPr="00A36253">
        <w:t>Service</w:t>
      </w:r>
      <w:r w:rsidR="00B11832" w:rsidRPr="00A36253">
        <w:t>, which</w:t>
      </w:r>
      <w:r w:rsidRPr="00A36253">
        <w:t xml:space="preserve"> provided </w:t>
      </w:r>
      <w:r w:rsidR="00DC1EDA">
        <w:t>almost</w:t>
      </w:r>
      <w:r w:rsidR="00BC3A8C" w:rsidRPr="00A36253">
        <w:t xml:space="preserve"> </w:t>
      </w:r>
      <w:r w:rsidR="00DF339E">
        <w:t>5</w:t>
      </w:r>
      <w:r w:rsidR="00DC1EDA">
        <w:t>9</w:t>
      </w:r>
      <w:r w:rsidR="000E3FAE" w:rsidRPr="00A36253">
        <w:t>,000</w:t>
      </w:r>
      <w:r w:rsidRPr="00A36253">
        <w:t xml:space="preserve"> caregivers with </w:t>
      </w:r>
      <w:r w:rsidR="00DC1EDA">
        <w:t>more than</w:t>
      </w:r>
      <w:r w:rsidR="00C45556" w:rsidRPr="00A36253">
        <w:t xml:space="preserve"> </w:t>
      </w:r>
      <w:r w:rsidR="000E3FAE" w:rsidRPr="00A36253">
        <w:t>6</w:t>
      </w:r>
      <w:r w:rsidRPr="00A36253">
        <w:t xml:space="preserve"> million hours of temporary relief </w:t>
      </w:r>
      <w:r w:rsidR="000C2CCF" w:rsidRPr="00A36253">
        <w:t>–</w:t>
      </w:r>
      <w:r w:rsidRPr="00A36253">
        <w:t xml:space="preserve"> at home or in an adult day care or nursing home setting </w:t>
      </w:r>
      <w:r w:rsidR="000C2CCF" w:rsidRPr="00A36253">
        <w:t>–</w:t>
      </w:r>
      <w:r w:rsidRPr="00A36253">
        <w:t xml:space="preserve"> from their caregiving responsibilities</w:t>
      </w:r>
      <w:r w:rsidR="00761EBB">
        <w:t xml:space="preserve">. </w:t>
      </w:r>
    </w:p>
    <w:p w14:paraId="2D6FCC68" w14:textId="77777777" w:rsidR="00F1615A" w:rsidRPr="00A36253" w:rsidRDefault="00F1615A" w:rsidP="004B1A60">
      <w:pPr>
        <w:jc w:val="both"/>
      </w:pPr>
    </w:p>
    <w:p w14:paraId="131902DA" w14:textId="45A80C2B" w:rsidR="00E4726D" w:rsidRPr="00E4726D" w:rsidRDefault="00ED4181" w:rsidP="004B1A60">
      <w:pPr>
        <w:jc w:val="both"/>
        <w:rPr>
          <w:b/>
          <w:i/>
        </w:rPr>
      </w:pPr>
      <w:r>
        <w:rPr>
          <w:b/>
          <w:i/>
        </w:rPr>
        <w:t xml:space="preserve">The </w:t>
      </w:r>
      <w:r w:rsidR="00E4726D" w:rsidRPr="00E4726D">
        <w:rPr>
          <w:b/>
          <w:i/>
        </w:rPr>
        <w:t xml:space="preserve">NFCSP </w:t>
      </w:r>
      <w:r w:rsidR="00E4726D">
        <w:rPr>
          <w:b/>
          <w:i/>
        </w:rPr>
        <w:t xml:space="preserve">Outcome </w:t>
      </w:r>
      <w:r w:rsidR="00E4726D" w:rsidRPr="00E4726D">
        <w:rPr>
          <w:b/>
          <w:i/>
        </w:rPr>
        <w:t>Evaluation</w:t>
      </w:r>
    </w:p>
    <w:p w14:paraId="5769B176" w14:textId="3BB5D2CE" w:rsidR="005D4F3B" w:rsidRDefault="005D4F3B" w:rsidP="004B1A60">
      <w:pPr>
        <w:jc w:val="both"/>
      </w:pPr>
    </w:p>
    <w:p w14:paraId="25509949" w14:textId="6236130C" w:rsidR="005D4F3B" w:rsidRDefault="00E4726D" w:rsidP="005D4F3B">
      <w:pPr>
        <w:jc w:val="both"/>
      </w:pPr>
      <w:r>
        <w:t xml:space="preserve">Following the completion of the Process Evaluation in March 2016, </w:t>
      </w:r>
      <w:r w:rsidR="0026470D">
        <w:t xml:space="preserve">throughout 2017 </w:t>
      </w:r>
      <w:r w:rsidR="005D4F3B">
        <w:t>ACL undertook the second part of the national evaluation of the NFCP by la</w:t>
      </w:r>
      <w:r w:rsidR="00BE7726">
        <w:t xml:space="preserve">unching the Outcome Evaluation.  </w:t>
      </w:r>
      <w:r w:rsidR="0026470D">
        <w:t xml:space="preserve">The </w:t>
      </w:r>
      <w:r w:rsidR="005D4F3B">
        <w:t>outcome evaluation will draw on information obtained from comprehensive telephone-based surveys of NFCSP client caregivers and a comparison group of caregivers who were not clients of NFCSP</w:t>
      </w:r>
      <w:r w:rsidR="00BE7726">
        <w:t xml:space="preserve">.  </w:t>
      </w:r>
      <w:r w:rsidR="005D4F3B">
        <w:t>The surveys will be administered to random samples of participants, based on probability samples of AAAs that will be surveyed as part of the ACL’s 11th National Survey of Older Ameri</w:t>
      </w:r>
      <w:r w:rsidR="00BE7726">
        <w:t xml:space="preserve">cans Act Participants (NSOAAP).  </w:t>
      </w:r>
      <w:r w:rsidR="005D4F3B">
        <w:t>The nonparticipant comparison group will be</w:t>
      </w:r>
      <w:r w:rsidR="00721E23">
        <w:t xml:space="preserve"> </w:t>
      </w:r>
      <w:r w:rsidR="005D4F3B">
        <w:lastRenderedPageBreak/>
        <w:t>formed by identifying clients of Older Americans Act services who indicated during the NSOAAP that they had someone who assisted them with activities of daily living (ADLs) and who were not recipien</w:t>
      </w:r>
      <w:r w:rsidR="00BE7726">
        <w:t xml:space="preserve">ts of NFCSP caregiver services.  </w:t>
      </w:r>
      <w:r w:rsidR="005D4F3B">
        <w:t xml:space="preserve">These clients were called and asked </w:t>
      </w:r>
      <w:r w:rsidR="00BE7726">
        <w:t xml:space="preserve">if they had a family caregiver.  </w:t>
      </w:r>
      <w:r w:rsidR="005D4F3B">
        <w:t>The evaluation team will complete phone interviews with each caregiver three times: (1) baseline in Winter 2016, (2) 6-month follow-up in Summer 2017, and (3) 12-</w:t>
      </w:r>
      <w:r w:rsidR="00BE7726">
        <w:t xml:space="preserve">month follow-up in Winter 2017.  </w:t>
      </w:r>
      <w:r w:rsidR="005D4F3B">
        <w:t>ACL anticipates releasing the results of the Outcome Evaluation later in 2018</w:t>
      </w:r>
      <w:r w:rsidR="00721E23">
        <w:t xml:space="preserve"> and is available </w:t>
      </w:r>
      <w:hyperlink r:id="rId15" w:history="1">
        <w:r w:rsidR="00721E23" w:rsidRPr="00AD5F3F">
          <w:rPr>
            <w:rStyle w:val="Hyperlink"/>
          </w:rPr>
          <w:t>here</w:t>
        </w:r>
      </w:hyperlink>
      <w:r w:rsidR="00AD5F3F">
        <w:t>.</w:t>
      </w:r>
      <w:r w:rsidR="00721E23">
        <w:t xml:space="preserve"> </w:t>
      </w:r>
      <w:r w:rsidR="00AD5F3F" w:rsidDel="00AD5F3F">
        <w:t xml:space="preserve"> </w:t>
      </w:r>
    </w:p>
    <w:p w14:paraId="47A1B8C5" w14:textId="77777777" w:rsidR="005D4F3B" w:rsidRDefault="005D4F3B" w:rsidP="005D4F3B">
      <w:pPr>
        <w:jc w:val="both"/>
      </w:pPr>
    </w:p>
    <w:p w14:paraId="5A5C890E" w14:textId="316B6848" w:rsidR="005D4F3B" w:rsidRDefault="005D4F3B" w:rsidP="005D4F3B">
      <w:pPr>
        <w:jc w:val="both"/>
      </w:pPr>
      <w:r>
        <w:t>The objectives of the outcome evaluation are to:</w:t>
      </w:r>
    </w:p>
    <w:p w14:paraId="008C6661" w14:textId="77777777" w:rsidR="003256DB" w:rsidRDefault="003256DB" w:rsidP="005D4F3B">
      <w:pPr>
        <w:jc w:val="both"/>
      </w:pPr>
    </w:p>
    <w:p w14:paraId="24311B6F" w14:textId="7B3BA83A" w:rsidR="005D4F3B" w:rsidRDefault="005D4F3B" w:rsidP="005D4F3B">
      <w:pPr>
        <w:jc w:val="both"/>
      </w:pPr>
      <w:r>
        <w:t xml:space="preserve">• Help ACL understand which kinds of services are </w:t>
      </w:r>
      <w:r w:rsidR="001473AB">
        <w:t xml:space="preserve">most helpful for caregivers and </w:t>
      </w:r>
      <w:r>
        <w:t>identify any unmet needs of caregivers and gaps in the support for them;</w:t>
      </w:r>
    </w:p>
    <w:p w14:paraId="07F166FB" w14:textId="4F859AFC" w:rsidR="005D4F3B" w:rsidRDefault="005D4F3B" w:rsidP="005D4F3B">
      <w:pPr>
        <w:jc w:val="both"/>
      </w:pPr>
      <w:r>
        <w:t>• Identify any NFCSP resources, organizational char</w:t>
      </w:r>
      <w:r w:rsidR="001473AB">
        <w:t xml:space="preserve">acteristics, and implementation </w:t>
      </w:r>
      <w:r>
        <w:t>practices that appear to contribute to positive outcomes for caregivers receiving the key</w:t>
      </w:r>
      <w:r w:rsidR="00721E23">
        <w:t xml:space="preserve"> </w:t>
      </w:r>
      <w:r>
        <w:t>NFCSP caregiver services of respite care and/or</w:t>
      </w:r>
      <w:r w:rsidR="001473AB">
        <w:t xml:space="preserve"> education/training, individual </w:t>
      </w:r>
      <w:r>
        <w:t>counseling, and support groups;</w:t>
      </w:r>
    </w:p>
    <w:p w14:paraId="0640A5D8" w14:textId="2CF7EAD3" w:rsidR="005D4F3B" w:rsidRDefault="005D4F3B" w:rsidP="005D4F3B">
      <w:pPr>
        <w:jc w:val="both"/>
      </w:pPr>
      <w:r>
        <w:t xml:space="preserve">• Assess the impact of services on the ability of caregivers to continue </w:t>
      </w:r>
      <w:r w:rsidR="001473AB">
        <w:t xml:space="preserve">providing homebased </w:t>
      </w:r>
      <w:r>
        <w:t>caregiving as needed; for example, by examining the relationship between self-</w:t>
      </w:r>
      <w:r w:rsidR="001473AB">
        <w:t xml:space="preserve">reported </w:t>
      </w:r>
      <w:r>
        <w:t>caregiver measures of mental health, physica</w:t>
      </w:r>
      <w:r w:rsidR="001473AB">
        <w:t xml:space="preserve">l health and well-being and the </w:t>
      </w:r>
      <w:r>
        <w:t>amount of caregiver services received; and</w:t>
      </w:r>
    </w:p>
    <w:p w14:paraId="505280F0" w14:textId="499C3AF3" w:rsidR="005D4F3B" w:rsidRDefault="005D4F3B" w:rsidP="005D4F3B">
      <w:pPr>
        <w:jc w:val="both"/>
      </w:pPr>
      <w:r>
        <w:t>• Examine the relationship between NFCSP client</w:t>
      </w:r>
      <w:r w:rsidR="001473AB">
        <w:t xml:space="preserve"> outcomes and key processes and c</w:t>
      </w:r>
      <w:r>
        <w:t>haracteristics of the AAAs managing and/or providing NFCSP services.</w:t>
      </w:r>
    </w:p>
    <w:p w14:paraId="63FB13AD" w14:textId="77777777" w:rsidR="00785B6E" w:rsidRDefault="00785B6E" w:rsidP="004B1A60">
      <w:pPr>
        <w:jc w:val="both"/>
      </w:pPr>
    </w:p>
    <w:p w14:paraId="322EBCAC" w14:textId="04CB0C67" w:rsidR="004B1A60" w:rsidRPr="00A36253" w:rsidRDefault="004B1A60" w:rsidP="004B1A60">
      <w:pPr>
        <w:jc w:val="both"/>
      </w:pPr>
      <w:r w:rsidRPr="00A36253">
        <w:t>Family and other informal caregivers are the backbone of America’s long-term care system</w:t>
      </w:r>
      <w:r w:rsidR="001B2DC3">
        <w:t xml:space="preserve">. </w:t>
      </w:r>
      <w:r w:rsidRPr="00A36253">
        <w:t>On a daily basis, these individuals</w:t>
      </w:r>
      <w:r w:rsidR="00F170FC" w:rsidRPr="00A36253">
        <w:t>, the majority of whom are women,</w:t>
      </w:r>
      <w:r w:rsidRPr="00A36253">
        <w:t xml:space="preserve"> assist relatives and other loved ones with tasks ranging from personal care and homemaking to </w:t>
      </w:r>
      <w:r w:rsidR="00AD5B58" w:rsidRPr="00A36253">
        <w:t xml:space="preserve">more </w:t>
      </w:r>
      <w:r w:rsidRPr="00A36253">
        <w:t>complex health-related interventions like medication administration and wound care</w:t>
      </w:r>
      <w:r w:rsidR="00BE7726">
        <w:t xml:space="preserve">.  </w:t>
      </w:r>
      <w:r w:rsidR="007B7698" w:rsidRPr="00A36253">
        <w:t xml:space="preserve">Data from </w:t>
      </w:r>
      <w:r w:rsidRPr="00A36253">
        <w:t xml:space="preserve">AoA’s </w:t>
      </w:r>
      <w:r w:rsidR="000E3FAE" w:rsidRPr="00A36253">
        <w:t>201</w:t>
      </w:r>
      <w:r w:rsidR="00BF7DB6">
        <w:t>8</w:t>
      </w:r>
      <w:r w:rsidR="000E3FAE" w:rsidRPr="00A36253">
        <w:t xml:space="preserve"> </w:t>
      </w:r>
      <w:r w:rsidRPr="00A36253">
        <w:t>Nationa</w:t>
      </w:r>
      <w:r w:rsidR="00F835E3" w:rsidRPr="00A36253">
        <w:t>l Survey of OAA Participants</w:t>
      </w:r>
      <w:r w:rsidR="007B7698" w:rsidRPr="00A36253">
        <w:t xml:space="preserve"> show that</w:t>
      </w:r>
      <w:r w:rsidR="00C34C6C" w:rsidRPr="00A36253">
        <w:t xml:space="preserve"> </w:t>
      </w:r>
      <w:r w:rsidR="00A02B11">
        <w:t>22</w:t>
      </w:r>
      <w:r w:rsidR="00401ECC" w:rsidRPr="00A36253">
        <w:t> </w:t>
      </w:r>
      <w:r w:rsidRPr="00A36253">
        <w:t>percent of caregivers are ass</w:t>
      </w:r>
      <w:r w:rsidR="009B2483">
        <w:t>isting two or more individuals</w:t>
      </w:r>
      <w:r w:rsidR="00BE7726">
        <w:t xml:space="preserve">.  </w:t>
      </w:r>
      <w:r w:rsidR="00A02B11">
        <w:t>Seventy-three</w:t>
      </w:r>
      <w:r w:rsidR="00C07071" w:rsidRPr="00A36253">
        <w:t xml:space="preserve"> </w:t>
      </w:r>
      <w:r w:rsidRPr="00A36253">
        <w:t>percent of Title III caregivers are 60 or older, making them more vulnerable to a decline in their own health</w:t>
      </w:r>
      <w:r w:rsidR="005A659E" w:rsidRPr="00A36253">
        <w:t xml:space="preserve">, and </w:t>
      </w:r>
      <w:r w:rsidR="00A02B11">
        <w:t>31</w:t>
      </w:r>
      <w:r w:rsidR="00CA41B0" w:rsidRPr="00A36253">
        <w:t xml:space="preserve"> </w:t>
      </w:r>
      <w:r w:rsidRPr="00A36253">
        <w:t>percent describe their own health as fair to poor.</w:t>
      </w:r>
      <w:r w:rsidRPr="00A36253">
        <w:rPr>
          <w:rStyle w:val="FootnoteReference"/>
        </w:rPr>
        <w:footnoteReference w:id="85"/>
      </w:r>
      <w:r w:rsidRPr="00A36253">
        <w:t xml:space="preserve"> </w:t>
      </w:r>
      <w:r w:rsidR="00BE7726">
        <w:t xml:space="preserve"> </w:t>
      </w:r>
      <w:r w:rsidRPr="00A36253">
        <w:t>The demands of caregiving can lead to a breakdown of the caregiver’s health</w:t>
      </w:r>
      <w:r w:rsidR="001B2DC3">
        <w:t xml:space="preserve">. </w:t>
      </w:r>
      <w:r w:rsidR="00BE7726">
        <w:t xml:space="preserve"> </w:t>
      </w:r>
      <w:r w:rsidR="00773AAA" w:rsidRPr="00A36253">
        <w:t>Nationally, approximately 11 percent of caregivers report that caregiving has caused their physical health to decline.</w:t>
      </w:r>
      <w:r w:rsidR="00773AAA" w:rsidRPr="00A36253">
        <w:rPr>
          <w:rStyle w:val="FootnoteReference"/>
        </w:rPr>
        <w:footnoteReference w:id="86"/>
      </w:r>
      <w:r w:rsidRPr="00A36253">
        <w:t xml:space="preserve"> </w:t>
      </w:r>
      <w:r w:rsidR="00BE7726">
        <w:t xml:space="preserve"> </w:t>
      </w:r>
      <w:r w:rsidR="00AD5B58" w:rsidRPr="00A36253">
        <w:t>C</w:t>
      </w:r>
      <w:r w:rsidRPr="00A36253">
        <w:t>aregivers often experience conflicts between work and caregiving</w:t>
      </w:r>
      <w:r w:rsidR="001B2DC3">
        <w:t xml:space="preserve">. </w:t>
      </w:r>
      <w:r w:rsidR="00BE7726">
        <w:t xml:space="preserve"> </w:t>
      </w:r>
      <w:r w:rsidR="00773AAA" w:rsidRPr="00A36253">
        <w:t xml:space="preserve">Among working caregivers caring for a family member or friend, </w:t>
      </w:r>
      <w:r w:rsidR="00432B8D" w:rsidRPr="00A36253">
        <w:t xml:space="preserve">60 </w:t>
      </w:r>
      <w:r w:rsidR="00773AAA" w:rsidRPr="00A36253">
        <w:t xml:space="preserve">percent report </w:t>
      </w:r>
      <w:r w:rsidR="00432B8D" w:rsidRPr="00A36253">
        <w:t xml:space="preserve">work impacts due to caregiving such as </w:t>
      </w:r>
      <w:r w:rsidR="00773AAA" w:rsidRPr="00A36253">
        <w:t>having to rearrange their work schedule, decrease their hours or take an unpaid leave in order to meet their caregiving responsibilities.</w:t>
      </w:r>
      <w:r w:rsidR="00773AAA" w:rsidRPr="00A36253">
        <w:rPr>
          <w:rStyle w:val="FootnoteReference"/>
        </w:rPr>
        <w:footnoteReference w:id="87"/>
      </w:r>
    </w:p>
    <w:p w14:paraId="4608F0BE" w14:textId="77777777" w:rsidR="004B1A60" w:rsidRPr="00A36253" w:rsidRDefault="004B1A60" w:rsidP="004B1A60">
      <w:pPr>
        <w:jc w:val="both"/>
      </w:pPr>
    </w:p>
    <w:p w14:paraId="60089631" w14:textId="10C92220" w:rsidR="00DE504F" w:rsidRPr="000003CA" w:rsidRDefault="004B1A60" w:rsidP="000003CA">
      <w:pPr>
        <w:jc w:val="both"/>
      </w:pPr>
      <w:r w:rsidRPr="00A36253">
        <w:t>S</w:t>
      </w:r>
      <w:r w:rsidR="004370C9" w:rsidRPr="00A36253">
        <w:t xml:space="preserve">urvey results </w:t>
      </w:r>
      <w:r w:rsidR="00607227" w:rsidRPr="00A36253">
        <w:t>from</w:t>
      </w:r>
      <w:r w:rsidR="004370C9" w:rsidRPr="00A36253">
        <w:t xml:space="preserve"> caregivers served by the NFCSP indicate that</w:t>
      </w:r>
      <w:r w:rsidRPr="00A36253">
        <w:t xml:space="preserve"> the types of supports provided through the </w:t>
      </w:r>
      <w:r w:rsidR="00217756" w:rsidRPr="00A36253">
        <w:t xml:space="preserve">NFCSP can </w:t>
      </w:r>
      <w:r w:rsidRPr="00A36253">
        <w:t xml:space="preserve">enable them to provide care longer </w:t>
      </w:r>
      <w:r w:rsidR="004370C9" w:rsidRPr="00A36253">
        <w:t>(</w:t>
      </w:r>
      <w:r w:rsidR="00CA41B0" w:rsidRPr="00A36253">
        <w:t>7</w:t>
      </w:r>
      <w:r w:rsidR="00A02B11">
        <w:t>9</w:t>
      </w:r>
      <w:r w:rsidR="00CA41B0" w:rsidRPr="00A36253">
        <w:t xml:space="preserve"> </w:t>
      </w:r>
      <w:r w:rsidR="004370C9" w:rsidRPr="00A36253">
        <w:t xml:space="preserve">percent) </w:t>
      </w:r>
      <w:r w:rsidRPr="00A36253">
        <w:t>while often continuing to work,</w:t>
      </w:r>
      <w:r w:rsidR="004370C9" w:rsidRPr="00A36253">
        <w:rPr>
          <w:rStyle w:val="FootnoteReference"/>
        </w:rPr>
        <w:footnoteReference w:id="88"/>
      </w:r>
      <w:r w:rsidRPr="00A36253">
        <w:t xml:space="preserve"> thereby avoiding or delaying the need for</w:t>
      </w:r>
      <w:r w:rsidR="00D14E07" w:rsidRPr="00A36253">
        <w:t xml:space="preserve"> costly</w:t>
      </w:r>
      <w:r w:rsidRPr="00A36253">
        <w:t xml:space="preserve"> institutional care</w:t>
      </w:r>
      <w:r w:rsidR="00D14E07" w:rsidRPr="00A36253">
        <w:t>,</w:t>
      </w:r>
      <w:r w:rsidR="003E3458">
        <w:t xml:space="preserve"> </w:t>
      </w:r>
      <w:r w:rsidR="00D14E07">
        <w:t>including care financed by government</w:t>
      </w:r>
      <w:r w:rsidR="00BE7726">
        <w:t xml:space="preserve">.  </w:t>
      </w:r>
      <w:r w:rsidR="004370C9">
        <w:t xml:space="preserve">Additionally, another </w:t>
      </w:r>
      <w:r w:rsidR="00514FC2" w:rsidRPr="000003CA">
        <w:t xml:space="preserve">study </w:t>
      </w:r>
      <w:r w:rsidRPr="000003CA">
        <w:t>indicates that counseling and support for caregivers of individuals with Alzheimer’s disease can permit the care recipient to stay at home at significantly less</w:t>
      </w:r>
      <w:r w:rsidR="00514FC2" w:rsidRPr="000003CA">
        <w:t xml:space="preserve"> cost</w:t>
      </w:r>
      <w:r w:rsidR="00DE504F" w:rsidRPr="000003CA">
        <w:t>, on average,</w:t>
      </w:r>
      <w:r w:rsidR="00514FC2" w:rsidRPr="000003CA">
        <w:t xml:space="preserve"> for</w:t>
      </w:r>
      <w:r w:rsidRPr="000003CA">
        <w:t xml:space="preserve"> an additional year </w:t>
      </w:r>
      <w:r w:rsidR="00514FC2" w:rsidRPr="000003CA">
        <w:t xml:space="preserve">before being admitted </w:t>
      </w:r>
      <w:r w:rsidR="00DE504F" w:rsidRPr="000003CA">
        <w:t xml:space="preserve">to a </w:t>
      </w:r>
      <w:r w:rsidR="00514FC2" w:rsidRPr="000003CA">
        <w:t xml:space="preserve">nursing </w:t>
      </w:r>
      <w:r w:rsidRPr="000003CA">
        <w:t>home.</w:t>
      </w:r>
      <w:r w:rsidR="00514FC2" w:rsidRPr="000003CA">
        <w:rPr>
          <w:rStyle w:val="FootnoteReference"/>
        </w:rPr>
        <w:footnoteReference w:id="89"/>
      </w:r>
      <w:r w:rsidRPr="000003CA">
        <w:br/>
      </w:r>
    </w:p>
    <w:p w14:paraId="4476C897" w14:textId="4188231C" w:rsidR="004B1A60" w:rsidRPr="00A36253" w:rsidRDefault="003E3458" w:rsidP="005A659E">
      <w:pPr>
        <w:jc w:val="both"/>
      </w:pPr>
      <w:r w:rsidRPr="00A36253">
        <w:t>D</w:t>
      </w:r>
      <w:r w:rsidR="004B1A60" w:rsidRPr="00A36253">
        <w:t xml:space="preserve">ata from AoA’s </w:t>
      </w:r>
      <w:r w:rsidR="00A02B11">
        <w:t xml:space="preserve">2018 </w:t>
      </w:r>
      <w:r w:rsidR="00CA672B">
        <w:t xml:space="preserve">National Survey of Older Americans Act Participants </w:t>
      </w:r>
      <w:r w:rsidR="004370C9" w:rsidRPr="00A36253">
        <w:t>reveal</w:t>
      </w:r>
      <w:r w:rsidR="004B1A60" w:rsidRPr="00A36253">
        <w:t xml:space="preserve"> that OAA services, including those provided through </w:t>
      </w:r>
      <w:r w:rsidR="00217756" w:rsidRPr="00A36253">
        <w:t>the NFCSP</w:t>
      </w:r>
      <w:r w:rsidR="004B1A60" w:rsidRPr="00A36253">
        <w:t xml:space="preserve">, are effective in helping caregivers </w:t>
      </w:r>
      <w:r w:rsidR="00D14E07" w:rsidRPr="00A36253">
        <w:t>assist</w:t>
      </w:r>
      <w:r w:rsidR="004B1A60" w:rsidRPr="00A36253">
        <w:t xml:space="preserve"> their loved ones at home</w:t>
      </w:r>
      <w:r w:rsidR="00BE7726">
        <w:t xml:space="preserve">.  </w:t>
      </w:r>
      <w:r w:rsidR="004B1A60" w:rsidRPr="00A36253">
        <w:t xml:space="preserve">Caregivers </w:t>
      </w:r>
      <w:r w:rsidR="004B1A60" w:rsidRPr="00A36253">
        <w:lastRenderedPageBreak/>
        <w:t>receiving services were asked whether the care recipient would have been able to live in the same residence if the s</w:t>
      </w:r>
      <w:r w:rsidR="000C17E0">
        <w:t>ervices had not been available</w:t>
      </w:r>
      <w:r w:rsidR="00BE7726">
        <w:t xml:space="preserve">.  </w:t>
      </w:r>
      <w:r w:rsidR="00A02B11">
        <w:t>Thirty-eight</w:t>
      </w:r>
      <w:r w:rsidR="00AD6439" w:rsidRPr="00A36253">
        <w:t xml:space="preserve"> </w:t>
      </w:r>
      <w:r w:rsidR="004B1A60" w:rsidRPr="00A36253">
        <w:t>percent of the caregivers indicated that the care recipient would be unable to remain at home without the support services.</w:t>
      </w:r>
      <w:r w:rsidR="001361A9" w:rsidRPr="00A36253">
        <w:rPr>
          <w:rStyle w:val="FootnoteReference"/>
        </w:rPr>
        <w:footnoteReference w:id="90"/>
      </w:r>
      <w:r w:rsidR="00BE7726">
        <w:t xml:space="preserve">  </w:t>
      </w:r>
      <w:r w:rsidR="004B1A60" w:rsidRPr="00A36253">
        <w:t>Those respondents were then asked to identify where the care recipient wo</w:t>
      </w:r>
      <w:r w:rsidR="000C17E0">
        <w:t>uld be living without services</w:t>
      </w:r>
      <w:r w:rsidR="00BE7726">
        <w:t xml:space="preserve">.  A </w:t>
      </w:r>
      <w:r w:rsidR="004B1A60" w:rsidRPr="00A36253">
        <w:t xml:space="preserve">significant </w:t>
      </w:r>
      <w:r w:rsidR="00AD6439" w:rsidRPr="00A36253">
        <w:t xml:space="preserve">majority of those caregivers, </w:t>
      </w:r>
      <w:r w:rsidR="001361A9" w:rsidRPr="00A36253">
        <w:t xml:space="preserve">nearly </w:t>
      </w:r>
      <w:r w:rsidR="002E7855" w:rsidRPr="00A36253">
        <w:t>7</w:t>
      </w:r>
      <w:r w:rsidR="00A02B11">
        <w:t>6</w:t>
      </w:r>
      <w:r w:rsidR="002E7855" w:rsidRPr="00A36253">
        <w:t> </w:t>
      </w:r>
      <w:r w:rsidR="004B1A60" w:rsidRPr="00A36253">
        <w:t>percent, indicated that the care recipient would most likely be living in a nursing home or</w:t>
      </w:r>
      <w:r w:rsidR="00D14E07" w:rsidRPr="00A36253">
        <w:t xml:space="preserve"> an</w:t>
      </w:r>
      <w:r w:rsidR="004B1A60" w:rsidRPr="00A36253">
        <w:t xml:space="preserve"> assisted living</w:t>
      </w:r>
      <w:r w:rsidR="00D14E07" w:rsidRPr="00A36253">
        <w:t xml:space="preserve"> facility</w:t>
      </w:r>
      <w:r w:rsidR="004B1A60" w:rsidRPr="00A36253">
        <w:t xml:space="preserve"> (see </w:t>
      </w:r>
      <w:r w:rsidR="00E91261" w:rsidRPr="00A36253">
        <w:t xml:space="preserve">the </w:t>
      </w:r>
      <w:r w:rsidR="00E07C65" w:rsidRPr="00A36253">
        <w:t xml:space="preserve">chart </w:t>
      </w:r>
      <w:r w:rsidR="00726F3D" w:rsidRPr="00A36253">
        <w:t>below</w:t>
      </w:r>
      <w:r w:rsidR="00DF0A1A" w:rsidRPr="00A36253">
        <w:t>)</w:t>
      </w:r>
      <w:r w:rsidR="004B1A60" w:rsidRPr="00A36253">
        <w:t>.</w:t>
      </w:r>
      <w:r w:rsidR="001361A9" w:rsidRPr="00A36253">
        <w:rPr>
          <w:rStyle w:val="FootnoteReference"/>
        </w:rPr>
        <w:footnoteReference w:id="91"/>
      </w:r>
      <w:r w:rsidR="004B1A60" w:rsidRPr="00A36253">
        <w:t xml:space="preserve"> </w:t>
      </w:r>
    </w:p>
    <w:p w14:paraId="5F80B104" w14:textId="0C3567EB" w:rsidR="000318AE" w:rsidRPr="00C22A03" w:rsidRDefault="00726F3D" w:rsidP="004B1A60">
      <w:pPr>
        <w:jc w:val="center"/>
      </w:pPr>
      <w:r w:rsidRPr="00A36253">
        <w:rPr>
          <w:noProof/>
        </w:rPr>
        <w:drawing>
          <wp:inline distT="0" distB="0" distL="0" distR="0" wp14:anchorId="1161D1B3" wp14:editId="70370F2A">
            <wp:extent cx="4867275" cy="3962400"/>
            <wp:effectExtent l="0" t="0" r="9525" b="0"/>
            <wp:docPr id="10" name="Picture 10" descr="Chart: Where Caregiver Recipient Would Live If Unable To Have Caregiver's Supportive Services. 60% Nursing Home. 17% Assisted Living Facility. 9% Home of another family member or friend. 4% Caregiver's Home. 1% Deceased. 9%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Where Caregiver Recipient Would Live If Unable To Have Caregiver's Supportive Services. 60% Nursing Home. 17% Assisted Living Facility. 9% Home of another family member or friend. 4% Caregiver's Home. 1% Deceased. 9% Other."/>
                    <pic:cNvPicPr/>
                  </pic:nvPicPr>
                  <pic:blipFill>
                    <a:blip r:embed="rId16"/>
                    <a:stretch>
                      <a:fillRect/>
                    </a:stretch>
                  </pic:blipFill>
                  <pic:spPr>
                    <a:xfrm>
                      <a:off x="0" y="0"/>
                      <a:ext cx="4867275" cy="3962400"/>
                    </a:xfrm>
                    <a:prstGeom prst="rect">
                      <a:avLst/>
                    </a:prstGeom>
                  </pic:spPr>
                </pic:pic>
              </a:graphicData>
            </a:graphic>
          </wp:inline>
        </w:drawing>
      </w:r>
    </w:p>
    <w:p w14:paraId="67A4463A" w14:textId="77E04AE7" w:rsidR="00C2385F" w:rsidRPr="00C2385F" w:rsidRDefault="00C2385F" w:rsidP="000318AE">
      <w:pPr>
        <w:jc w:val="center"/>
      </w:pPr>
    </w:p>
    <w:p w14:paraId="2FF24A55" w14:textId="16D06D71" w:rsidR="000318AE" w:rsidRPr="000318AE" w:rsidRDefault="000318AE" w:rsidP="00916C9D">
      <w:pPr>
        <w:pStyle w:val="Heading2"/>
      </w:pPr>
      <w:bookmarkStart w:id="45" w:name="_Toc536443923"/>
      <w:bookmarkStart w:id="46" w:name="_Toc9929357"/>
      <w:r w:rsidRPr="000318AE">
        <w:t>Brain Health</w:t>
      </w:r>
      <w:bookmarkEnd w:id="45"/>
      <w:bookmarkEnd w:id="46"/>
    </w:p>
    <w:p w14:paraId="24271D54" w14:textId="232D782A" w:rsidR="00C2385F" w:rsidRDefault="00C2385F" w:rsidP="00B8647A">
      <w:pPr>
        <w:pBdr>
          <w:top w:val="single" w:sz="6" w:space="19"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t>The majority of older adults living in the community do not have problems with cognition; that is, the ability to think, learn, remember, and manage their lives</w:t>
      </w:r>
      <w:r w:rsidR="00A0048F">
        <w:t xml:space="preserve">.  </w:t>
      </w:r>
      <w:r>
        <w:t>Aging can bring some changes in cognition that are normal</w:t>
      </w:r>
      <w:r w:rsidR="006B3962">
        <w:t xml:space="preserve">, which includes </w:t>
      </w:r>
      <w:r>
        <w:t>some difficulty finding words, less ability to multi-task, and slight decreases in attentivene</w:t>
      </w:r>
      <w:r w:rsidR="002C7426">
        <w:t>ss</w:t>
      </w:r>
      <w:r w:rsidR="00A0048F">
        <w:t xml:space="preserve">.  </w:t>
      </w:r>
      <w:r>
        <w:t xml:space="preserve">However, older adults can still learn new things, create new memories, improve vocabulary and language skills and manage their lives. </w:t>
      </w:r>
    </w:p>
    <w:p w14:paraId="0B9CD578" w14:textId="77777777" w:rsidR="00C2385F" w:rsidRDefault="00C2385F" w:rsidP="00B8647A">
      <w:pPr>
        <w:pBdr>
          <w:top w:val="single" w:sz="6" w:space="19"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p>
    <w:p w14:paraId="1AB607AE" w14:textId="32CA129B" w:rsidR="00C2385F" w:rsidRDefault="00C2385F" w:rsidP="005F68B5">
      <w:pPr>
        <w:pBdr>
          <w:top w:val="single" w:sz="6" w:space="19"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t>Promoting brain health is critical to helping older adults maintain their cognition, independence and overall health</w:t>
      </w:r>
      <w:r w:rsidR="00A0048F">
        <w:t xml:space="preserve">.  </w:t>
      </w:r>
      <w:r w:rsidR="00BF44D3">
        <w:t>A</w:t>
      </w:r>
      <w:r>
        <w:t xml:space="preserve">oA </w:t>
      </w:r>
      <w:r w:rsidR="00B8647A">
        <w:t>works with</w:t>
      </w:r>
      <w:r>
        <w:t xml:space="preserve"> the National Institutes of Health </w:t>
      </w:r>
      <w:r w:rsidR="00BF44D3">
        <w:t xml:space="preserve">(NIH) </w:t>
      </w:r>
      <w:r>
        <w:t>and the Centers for Disease Control and Prevention</w:t>
      </w:r>
      <w:r w:rsidR="00BF44D3">
        <w:t xml:space="preserve"> (CDC)</w:t>
      </w:r>
      <w:r>
        <w:t xml:space="preserve"> to develop</w:t>
      </w:r>
      <w:r w:rsidR="00B8647A">
        <w:t xml:space="preserve"> and maintain</w:t>
      </w:r>
      <w:r>
        <w:t xml:space="preserve"> a Brain Health Resource</w:t>
      </w:r>
      <w:r w:rsidR="00BE7E25">
        <w:t xml:space="preserve"> (the Resource) </w:t>
      </w:r>
      <w:r>
        <w:t>to promote brain health among older adults, people with disabilities, and their</w:t>
      </w:r>
      <w:r w:rsidR="002C7426">
        <w:t xml:space="preserve"> caregivers</w:t>
      </w:r>
      <w:r w:rsidR="00A0048F">
        <w:t xml:space="preserve">.  </w:t>
      </w:r>
      <w:r>
        <w:t>The Resource is available at</w:t>
      </w:r>
      <w:r w:rsidR="00A848F8">
        <w:t xml:space="preserve">: </w:t>
      </w:r>
      <w:hyperlink r:id="rId17" w:history="1">
        <w:r w:rsidR="00A848F8" w:rsidRPr="009E36C7">
          <w:rPr>
            <w:rStyle w:val="Hyperlink"/>
          </w:rPr>
          <w:t>https://www.acl.gov/index.php/node/293</w:t>
        </w:r>
      </w:hyperlink>
      <w:r w:rsidR="00A848F8">
        <w:rPr>
          <w:rStyle w:val="Hyperlink"/>
        </w:rPr>
        <w:t xml:space="preserve"> </w:t>
      </w:r>
      <w:r>
        <w:t xml:space="preserve"> </w:t>
      </w:r>
    </w:p>
    <w:p w14:paraId="545162B2" w14:textId="77777777" w:rsidR="00C2385F" w:rsidRDefault="00C2385F" w:rsidP="005F68B5">
      <w:pPr>
        <w:pBdr>
          <w:top w:val="single" w:sz="6" w:space="19"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p>
    <w:p w14:paraId="54184A69" w14:textId="26ACAC3C" w:rsidR="000318AE" w:rsidRDefault="00C2385F" w:rsidP="005F68B5">
      <w:pPr>
        <w:pBdr>
          <w:top w:val="single" w:sz="6" w:space="19"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t>The Resource addresses a number of risks to brain health, including: accidents; medication use; smoking and alcohol misuse; health conditions like heart disease and diabetes; poor diet; insufficient sleep; and lack o</w:t>
      </w:r>
      <w:r w:rsidR="002C7426">
        <w:t xml:space="preserve">f physical </w:t>
      </w:r>
      <w:r w:rsidR="002C7426">
        <w:lastRenderedPageBreak/>
        <w:t>and social activity</w:t>
      </w:r>
      <w:r w:rsidR="00A0048F">
        <w:t xml:space="preserve">.  </w:t>
      </w:r>
      <w:r>
        <w:t>For each of these risks the Resource supplies evidence-based information and governmental resources that can help professionals, older adults, and people with dis</w:t>
      </w:r>
      <w:r w:rsidR="002C7426">
        <w:t>abilities promote brain health</w:t>
      </w:r>
      <w:r w:rsidR="00A0048F">
        <w:t xml:space="preserve">.  </w:t>
      </w:r>
      <w:r>
        <w:t xml:space="preserve">Many of the resources, like AoA’s nutrition, chronic disease self-management education, falls prevention, and medication programs, promote overall health, including brain health. </w:t>
      </w:r>
    </w:p>
    <w:p w14:paraId="04507212" w14:textId="2876F394" w:rsidR="00C2385F" w:rsidRDefault="00C2385F" w:rsidP="005F68B5">
      <w:pPr>
        <w:pBdr>
          <w:top w:val="single" w:sz="6" w:space="19"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t xml:space="preserve">There are </w:t>
      </w:r>
      <w:r w:rsidR="00D71E24">
        <w:t>four</w:t>
      </w:r>
      <w:r>
        <w:t xml:space="preserve"> parts to the Brain Health Resource</w:t>
      </w:r>
      <w:r w:rsidR="001B2DC3">
        <w:t xml:space="preserve">. </w:t>
      </w:r>
      <w:r w:rsidRPr="00E97A4B">
        <w:rPr>
          <w:i/>
        </w:rPr>
        <w:t>Brain Health Basics</w:t>
      </w:r>
      <w:r>
        <w:t xml:space="preserve"> helps people learn and teach others about the risks related to brain health and how to reduce them</w:t>
      </w:r>
      <w:r w:rsidR="00A0048F">
        <w:t xml:space="preserve">.  </w:t>
      </w:r>
      <w:r w:rsidR="00D71E24">
        <w:rPr>
          <w:i/>
        </w:rPr>
        <w:t xml:space="preserve">Medicine, Age and Your Brain </w:t>
      </w:r>
      <w:r w:rsidR="00D71E24">
        <w:t xml:space="preserve">explains the impact of some medicines can have on an older adult’s brain, and the importance of talking </w:t>
      </w:r>
      <w:r w:rsidR="002C7426">
        <w:t>with a doctor about this topic</w:t>
      </w:r>
      <w:r w:rsidR="00A0048F">
        <w:t xml:space="preserve">.  </w:t>
      </w:r>
      <w:r w:rsidRPr="00E97A4B">
        <w:rPr>
          <w:i/>
        </w:rPr>
        <w:t>Brain Injury</w:t>
      </w:r>
      <w:r>
        <w:t xml:space="preserve"> helps people learn and teach others about how to prevent brain injury and how to</w:t>
      </w:r>
      <w:r w:rsidR="002C7426">
        <w:t xml:space="preserve"> get help when someone has one</w:t>
      </w:r>
      <w:r w:rsidR="00A0048F">
        <w:t xml:space="preserve">.  </w:t>
      </w:r>
      <w:r w:rsidRPr="00E97A4B">
        <w:rPr>
          <w:i/>
        </w:rPr>
        <w:t xml:space="preserve">Dementia </w:t>
      </w:r>
      <w:r>
        <w:t>explains how to create “dementia-capable” long-term services and supports at the state and local levels to help people who have Alzheimer’s disease and other types of dementia and their caregivers.</w:t>
      </w:r>
    </w:p>
    <w:p w14:paraId="1D34C826" w14:textId="77777777" w:rsidR="00C2385F" w:rsidRDefault="00C2385F" w:rsidP="005F68B5">
      <w:pPr>
        <w:pBdr>
          <w:top w:val="single" w:sz="6" w:space="19"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p>
    <w:p w14:paraId="0CEF28B5" w14:textId="308AA407" w:rsidR="00C2385F" w:rsidRDefault="00C2385F" w:rsidP="005F68B5">
      <w:pPr>
        <w:pBdr>
          <w:top w:val="single" w:sz="6" w:space="19"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t xml:space="preserve">AoA, NIH, and CDC will continue their collaboration </w:t>
      </w:r>
      <w:r w:rsidR="00B8647A">
        <w:t>on</w:t>
      </w:r>
      <w:r>
        <w:t xml:space="preserve"> the Brain Health Resource over time</w:t>
      </w:r>
      <w:r w:rsidR="001B2DC3">
        <w:t xml:space="preserve">. </w:t>
      </w:r>
      <w:r>
        <w:t xml:space="preserve">This work </w:t>
      </w:r>
      <w:r w:rsidR="00B8647A">
        <w:t>occurs</w:t>
      </w:r>
      <w:r>
        <w:t xml:space="preserve"> under the direction of the </w:t>
      </w:r>
      <w:r w:rsidR="00E97A4B">
        <w:t xml:space="preserve">U.S. </w:t>
      </w:r>
      <w:r w:rsidR="00D14E07">
        <w:t xml:space="preserve">Department of Health and Human Services’ </w:t>
      </w:r>
      <w:r>
        <w:t>National Plan to Address Alzheimer’s Research, Care and Services.</w:t>
      </w:r>
      <w:r w:rsidR="00D14E07">
        <w:rPr>
          <w:rStyle w:val="FootnoteReference"/>
        </w:rPr>
        <w:footnoteReference w:id="92"/>
      </w:r>
    </w:p>
    <w:p w14:paraId="4DF9657F" w14:textId="77777777" w:rsidR="00C2385F" w:rsidRDefault="00C2385F" w:rsidP="005F68B5">
      <w:pPr>
        <w:pBdr>
          <w:top w:val="single" w:sz="6" w:space="19"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p>
    <w:p w14:paraId="64CA07AE" w14:textId="47BAA8E2" w:rsidR="00B8647A" w:rsidRPr="00E61F79" w:rsidRDefault="00B8647A" w:rsidP="00916C9D">
      <w:pPr>
        <w:pStyle w:val="Heading2"/>
      </w:pPr>
      <w:bookmarkStart w:id="47" w:name="_Toc536443924"/>
      <w:bookmarkStart w:id="48" w:name="_Toc9929358"/>
      <w:r w:rsidRPr="00B8647A">
        <w:t>Alzheimer’s Disease Supportive Services Program (ADSSP)</w:t>
      </w:r>
      <w:bookmarkEnd w:id="47"/>
      <w:bookmarkEnd w:id="48"/>
    </w:p>
    <w:p w14:paraId="1E6AACF3" w14:textId="51C3787D" w:rsidR="00E61F79" w:rsidRPr="00B8647A" w:rsidRDefault="00E61F79" w:rsidP="00E61F7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center"/>
        <w:rPr>
          <w:b/>
          <w:i/>
        </w:rPr>
      </w:pPr>
      <w:r w:rsidRPr="00B8647A">
        <w:rPr>
          <w:b/>
          <w:i/>
        </w:rPr>
        <w:t>(FY 201</w:t>
      </w:r>
      <w:r>
        <w:rPr>
          <w:b/>
          <w:i/>
        </w:rPr>
        <w:t>7</w:t>
      </w:r>
      <w:r w:rsidRPr="00B8647A">
        <w:rPr>
          <w:b/>
          <w:i/>
        </w:rPr>
        <w:t>: $</w:t>
      </w:r>
      <w:r>
        <w:rPr>
          <w:b/>
          <w:i/>
        </w:rPr>
        <w:t>4</w:t>
      </w:r>
      <w:r w:rsidRPr="00B8647A">
        <w:rPr>
          <w:b/>
          <w:i/>
        </w:rPr>
        <w:t>,800,000)</w:t>
      </w:r>
    </w:p>
    <w:p w14:paraId="7D7998DA" w14:textId="77777777" w:rsidR="00E61F79" w:rsidRPr="00B8647A" w:rsidRDefault="00E61F79" w:rsidP="00E61F7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center"/>
        <w:rPr>
          <w:b/>
          <w:sz w:val="28"/>
          <w:szCs w:val="28"/>
        </w:rPr>
      </w:pPr>
    </w:p>
    <w:p w14:paraId="3CE9D456" w14:textId="18DCFDA6" w:rsidR="00E61F79" w:rsidRDefault="00E61F79" w:rsidP="00E61F7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rsidRPr="00B8647A">
        <w:t xml:space="preserve">Established under Section 398 of the Public Health Services Act, as amended, (42 U.S.C. 280c-3), the Alzheimer’s Disease Supportive Services Program (ADSSP) funds competitive grants to states to expand the availability of dementia-capable community-level supportive services for persons with Alzheimer’s disease and related dementias (ADRD), their </w:t>
      </w:r>
      <w:r w:rsidR="00A0048F">
        <w:t xml:space="preserve">families, and their caregivers.  </w:t>
      </w:r>
      <w:r>
        <w:t>The program is designed to prepare states to support the more than five million Americans estimated to have the disease, which is ranked as the sixth leading cause of death in the U.S.</w:t>
      </w:r>
    </w:p>
    <w:p w14:paraId="7183CBDE" w14:textId="77777777" w:rsidR="00E61F79" w:rsidRDefault="00E61F79" w:rsidP="00E61F7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p>
    <w:p w14:paraId="683101AD" w14:textId="5B4305D6" w:rsidR="00E61F79" w:rsidRPr="00B8647A" w:rsidRDefault="00E61F79" w:rsidP="00E61F7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rsidRPr="00B8647A">
        <w:t xml:space="preserve">In its effort to improve home and community-based services </w:t>
      </w:r>
      <w:r>
        <w:t xml:space="preserve">(HCBS) </w:t>
      </w:r>
      <w:r w:rsidRPr="00B8647A">
        <w:t xml:space="preserve">for persons with ADRD, AoA presently focuses its ADSSP resources toward building </w:t>
      </w:r>
      <w:r>
        <w:t xml:space="preserve">dementia-capable </w:t>
      </w:r>
      <w:r w:rsidRPr="00B8647A">
        <w:t>systems within states</w:t>
      </w:r>
      <w:r>
        <w:t>.</w:t>
      </w:r>
      <w:r w:rsidR="00A0048F">
        <w:t xml:space="preserve">  </w:t>
      </w:r>
      <w:r>
        <w:t xml:space="preserve">Dementia-capable systems are those </w:t>
      </w:r>
      <w:r w:rsidRPr="00B8647A">
        <w:t xml:space="preserve">that are designed to </w:t>
      </w:r>
      <w:r>
        <w:t xml:space="preserve">improve the responsiveness of home and community-based services systems to persons with dementia and their caregivers by </w:t>
      </w:r>
      <w:r w:rsidRPr="00B8647A">
        <w:t>ensur</w:t>
      </w:r>
      <w:r>
        <w:t>ing</w:t>
      </w:r>
      <w:r w:rsidRPr="00B8647A">
        <w:t xml:space="preserve"> access to sustainable, integrated long-term services and supports</w:t>
      </w:r>
      <w:r>
        <w:t>.</w:t>
      </w:r>
      <w:r w:rsidR="00A0048F">
        <w:t xml:space="preserve">  The </w:t>
      </w:r>
      <w:r w:rsidRPr="00B8647A">
        <w:t>primary components of the ADSSP program include delivery of supportive services</w:t>
      </w:r>
      <w:r>
        <w:t xml:space="preserve"> for persons with dementia and their caregivers through dementia-specific, evidence-based and evidence-informed interventions, as well as advancing changes to the dementia-capability of states’ overall systems of home and community-based care. </w:t>
      </w:r>
    </w:p>
    <w:p w14:paraId="3B1A37C5" w14:textId="77777777" w:rsidR="00E61F79" w:rsidRPr="00B8647A" w:rsidRDefault="00E61F79" w:rsidP="00E61F7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b/>
          <w:sz w:val="28"/>
          <w:szCs w:val="28"/>
          <w:highlight w:val="yellow"/>
        </w:rPr>
      </w:pPr>
    </w:p>
    <w:p w14:paraId="77DA45F2" w14:textId="77777777" w:rsidR="00E61F79" w:rsidRPr="00B8647A" w:rsidRDefault="00E61F79" w:rsidP="00E61F7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rsidRPr="00B8647A">
        <w:t>ADSSP expands the aging services network’s capacity to assist those with ADRD and their families through provision of</w:t>
      </w:r>
      <w:r>
        <w:t xml:space="preserve"> services and education, building awareness of Alzheimer’s disease and related dementias,</w:t>
      </w:r>
      <w:r w:rsidRPr="00B8647A">
        <w:t xml:space="preserve"> and referrals for diagnostic, treatment and related services; as well as sources of assistance for services and legal rights assistance for people affected by dementia throughout a state’s long-term services and support system.</w:t>
      </w:r>
    </w:p>
    <w:p w14:paraId="0BBA5CC3" w14:textId="77777777" w:rsidR="00E61F79" w:rsidRPr="00B8647A" w:rsidRDefault="00E61F79" w:rsidP="00E61F7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highlight w:val="yellow"/>
        </w:rPr>
      </w:pPr>
    </w:p>
    <w:p w14:paraId="07856475" w14:textId="53979767" w:rsidR="00E61F79" w:rsidRPr="00B8647A" w:rsidRDefault="00E61F79" w:rsidP="00E61F7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rsidRPr="00B8647A">
        <w:t xml:space="preserve">ADSSP grant projects are designed to ensure that states provide people with ADRD and their family caregivers with access to a sustainable home and community-based services system that is </w:t>
      </w:r>
      <w:r>
        <w:t>“</w:t>
      </w:r>
      <w:r w:rsidRPr="00B8647A">
        <w:t>dementia capable.</w:t>
      </w:r>
      <w:r>
        <w:t>”</w:t>
      </w:r>
      <w:r w:rsidR="00A0048F">
        <w:t xml:space="preserve"> </w:t>
      </w:r>
      <w:r w:rsidRPr="00B8647A">
        <w:t xml:space="preserve">Such a system meets the unique needs of each person with ADRD by: 1) identifying those with a possible dementia and recommending follow-up with a physician; 2) ensuring that the staff they encounter have appropriate training, understand the unique needs/services available and know how to communicate with them; and 3) providing quality, person-centered services that help them remain independent and safe in their communities. Overall, these </w:t>
      </w:r>
      <w:r w:rsidRPr="00B8647A">
        <w:lastRenderedPageBreak/>
        <w:t xml:space="preserve">demonstration programs offer direct services and other supports to thousands of </w:t>
      </w:r>
      <w:r>
        <w:t xml:space="preserve">individuals and </w:t>
      </w:r>
      <w:r w:rsidRPr="00B8647A">
        <w:t xml:space="preserve">families, as well as supporting continuous quality improvement and evaluation of </w:t>
      </w:r>
      <w:r>
        <w:t>state HCBS systems</w:t>
      </w:r>
      <w:r w:rsidR="00A0048F">
        <w:t xml:space="preserve">.  </w:t>
      </w:r>
      <w:r>
        <w:t xml:space="preserve">In </w:t>
      </w:r>
      <w:r w:rsidR="00C31FE1">
        <w:t xml:space="preserve">FY </w:t>
      </w:r>
      <w:r>
        <w:t>2017</w:t>
      </w:r>
      <w:r w:rsidRPr="00B8647A">
        <w:t>,</w:t>
      </w:r>
      <w:r w:rsidR="00ED4181">
        <w:t xml:space="preserve"> </w:t>
      </w:r>
      <w:r w:rsidRPr="00B8647A">
        <w:t>1</w:t>
      </w:r>
      <w:r>
        <w:t>8</w:t>
      </w:r>
      <w:r w:rsidRPr="00B8647A">
        <w:t xml:space="preserve"> states </w:t>
      </w:r>
      <w:r w:rsidR="00ED4181">
        <w:t xml:space="preserve">were </w:t>
      </w:r>
      <w:r w:rsidRPr="00B8647A">
        <w:t xml:space="preserve">implementing </w:t>
      </w:r>
      <w:r>
        <w:t xml:space="preserve">ADSSP </w:t>
      </w:r>
      <w:r w:rsidRPr="00B8647A">
        <w:t>grants dedicated to the development of dementia-capable systems</w:t>
      </w:r>
      <w:r>
        <w:t xml:space="preserve">. </w:t>
      </w:r>
    </w:p>
    <w:p w14:paraId="236B9826" w14:textId="77777777" w:rsidR="00E61F79" w:rsidRPr="00B8647A" w:rsidRDefault="00E61F79" w:rsidP="00E61F7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b/>
          <w:sz w:val="28"/>
          <w:szCs w:val="28"/>
          <w:highlight w:val="yellow"/>
        </w:rPr>
      </w:pPr>
    </w:p>
    <w:p w14:paraId="672249C0" w14:textId="2FB9F8F5" w:rsidR="00E61F79" w:rsidRDefault="00E61F79" w:rsidP="00E61F7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rsidRPr="00B8647A">
        <w:t>Family caregivers remain the major source of support for most people with ADRD and, as such, they access a variety of services from many different systems including the aging, medical, and</w:t>
      </w:r>
      <w:r w:rsidR="00A0048F">
        <w:t xml:space="preserve"> mental health service systems.  </w:t>
      </w:r>
      <w:r w:rsidRPr="00B8647A">
        <w:t xml:space="preserve">As the number of people living with ADRD grows, it is increasingly important to ensure the availability of dementia-capable </w:t>
      </w:r>
      <w:r>
        <w:t>HCBS</w:t>
      </w:r>
      <w:r w:rsidR="00A0048F">
        <w:t xml:space="preserve">.  </w:t>
      </w:r>
      <w:r w:rsidRPr="00B8647A">
        <w:t xml:space="preserve">These important services, and the systems through which they are delivered, must be </w:t>
      </w:r>
      <w:r>
        <w:t xml:space="preserve">dementia-capable and </w:t>
      </w:r>
      <w:r w:rsidRPr="00B8647A">
        <w:t>efficient</w:t>
      </w:r>
      <w:r>
        <w:t>ly</w:t>
      </w:r>
      <w:r w:rsidRPr="00B8647A">
        <w:t xml:space="preserve"> and effectively coordinated</w:t>
      </w:r>
      <w:r w:rsidR="00A0048F">
        <w:t xml:space="preserve">.  </w:t>
      </w:r>
      <w:r w:rsidRPr="00B8647A">
        <w:t xml:space="preserve">The ADSSP provides states the opportunity and resources to </w:t>
      </w:r>
      <w:r>
        <w:t xml:space="preserve">infuse dementia capability into their </w:t>
      </w:r>
      <w:r w:rsidRPr="00B8647A">
        <w:t xml:space="preserve">systems and </w:t>
      </w:r>
      <w:r>
        <w:t xml:space="preserve">provide appropriate </w:t>
      </w:r>
      <w:r w:rsidRPr="00B8647A">
        <w:t xml:space="preserve">direct services in support of persons living </w:t>
      </w:r>
      <w:r w:rsidR="00A0048F">
        <w:t xml:space="preserve">with ADRD and their caregivers.  </w:t>
      </w:r>
      <w:r w:rsidRPr="00B8647A">
        <w:t xml:space="preserve">The </w:t>
      </w:r>
      <w:r>
        <w:t>delivery of dementia-capable</w:t>
      </w:r>
      <w:r w:rsidRPr="00B8647A">
        <w:t xml:space="preserve"> services and supports </w:t>
      </w:r>
      <w:r>
        <w:t>that are cost-effective and result in demonstrated measureable outcomes in the communities they serve continue to be at the forefront of all ADSSP</w:t>
      </w:r>
      <w:r w:rsidR="0062210B">
        <w:t xml:space="preserve"> grants</w:t>
      </w:r>
      <w:r w:rsidR="00A0048F">
        <w:t xml:space="preserve">.  </w:t>
      </w:r>
      <w:r>
        <w:t xml:space="preserve">The programs supported by the ADSSP include outcome measures to demonstrate the impact of </w:t>
      </w:r>
      <w:r w:rsidR="00A0048F">
        <w:t xml:space="preserve">the work on the persons served.  </w:t>
      </w:r>
      <w:r>
        <w:t>Program outcomes to date include, but are not limited to, reduction of caregiver depression/stress/burden, delayed intent to place in a skilled nursing facility, increased caregiver self-efficacy and ADRD knowledge increases.</w:t>
      </w:r>
    </w:p>
    <w:p w14:paraId="29744A94" w14:textId="77777777" w:rsidR="00E61F79" w:rsidRDefault="00E61F79" w:rsidP="00E61F7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p>
    <w:p w14:paraId="6D5DE4F5" w14:textId="10DC7FC9" w:rsidR="00E61F79" w:rsidRPr="00694D35" w:rsidRDefault="00E61F79" w:rsidP="00E61F7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t xml:space="preserve">All </w:t>
      </w:r>
      <w:r w:rsidRPr="00694D35">
        <w:t>entities participating in ACL’</w:t>
      </w:r>
      <w:r>
        <w:t xml:space="preserve">s ADRD programs </w:t>
      </w:r>
      <w:r w:rsidRPr="00694D35">
        <w:t xml:space="preserve">benefit from extensive technical assistance provided through the </w:t>
      </w:r>
      <w:hyperlink r:id="rId18" w:history="1">
        <w:r w:rsidRPr="00694D35">
          <w:rPr>
            <w:rStyle w:val="Hyperlink"/>
          </w:rPr>
          <w:t>National Alzheimer’s and Dementia Resource Center (NADRC)</w:t>
        </w:r>
      </w:hyperlink>
      <w:r w:rsidR="00A0048F">
        <w:rPr>
          <w:color w:val="0000FF"/>
        </w:rPr>
        <w:t xml:space="preserve">.  </w:t>
      </w:r>
      <w:r w:rsidRPr="00694D35">
        <w:t>The NADRC provides expert technical assistance to AoA/ACL and its grantees, as well as making program information and resources available to individuals</w:t>
      </w:r>
      <w:r>
        <w:t>,</w:t>
      </w:r>
      <w:r w:rsidRPr="00694D35">
        <w:t xml:space="preserve"> organizations</w:t>
      </w:r>
      <w:r>
        <w:t xml:space="preserve"> and the general public</w:t>
      </w:r>
      <w:r w:rsidRPr="00694D35">
        <w:t xml:space="preserve"> outside the</w:t>
      </w:r>
      <w:r>
        <w:t>ir immediate</w:t>
      </w:r>
      <w:r w:rsidRPr="00694D35">
        <w:t xml:space="preserve"> A</w:t>
      </w:r>
      <w:r w:rsidR="00A0048F">
        <w:t xml:space="preserve">lzheimer’s grantee community.  </w:t>
      </w:r>
      <w:r>
        <w:t>In addition to individualized grantee</w:t>
      </w:r>
      <w:r w:rsidRPr="00694D35">
        <w:t xml:space="preserve"> technical assistance</w:t>
      </w:r>
      <w:r>
        <w:t>,</w:t>
      </w:r>
      <w:r w:rsidRPr="00694D35">
        <w:t xml:space="preserve"> </w:t>
      </w:r>
      <w:r>
        <w:t>the NADRC is responsible for an internationally well received annual</w:t>
      </w:r>
      <w:r w:rsidRPr="00694D35">
        <w:t xml:space="preserve"> </w:t>
      </w:r>
      <w:r>
        <w:t>series</w:t>
      </w:r>
      <w:r w:rsidR="0062210B">
        <w:t xml:space="preserve"> of</w:t>
      </w:r>
      <w:r>
        <w:t xml:space="preserve"> </w:t>
      </w:r>
      <w:r w:rsidRPr="00694D35">
        <w:t xml:space="preserve">educational webinars on issues related to </w:t>
      </w:r>
      <w:r>
        <w:t>ADRD, as well as the development and distribution of topic specific issue briefs (basics of dementia capability, living alone, etc.) and tools (compendium of evidence-based interventions, outcome measures, advance and disaster planning, etc.) to which a broad range of ADRD stakeholders have access</w:t>
      </w:r>
      <w:r w:rsidRPr="00694D35">
        <w:t>.</w:t>
      </w:r>
    </w:p>
    <w:p w14:paraId="2A53DEB2" w14:textId="77777777" w:rsidR="00B8647A" w:rsidRPr="00B8647A" w:rsidRDefault="00B8647A" w:rsidP="00B8647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b/>
          <w:sz w:val="28"/>
          <w:szCs w:val="28"/>
        </w:rPr>
      </w:pPr>
    </w:p>
    <w:p w14:paraId="6E930B88" w14:textId="77777777" w:rsidR="00B8647A" w:rsidRPr="00B8647A" w:rsidRDefault="00B8647A" w:rsidP="00916C9D">
      <w:pPr>
        <w:pStyle w:val="Heading2"/>
      </w:pPr>
      <w:bookmarkStart w:id="49" w:name="_Toc536443925"/>
      <w:bookmarkStart w:id="50" w:name="_Toc9929359"/>
      <w:r w:rsidRPr="00B8647A">
        <w:t>Alzheimer’s Disease Initiative – Specialized Supportive Services (ADI-SSS)</w:t>
      </w:r>
      <w:bookmarkEnd w:id="49"/>
      <w:bookmarkEnd w:id="50"/>
    </w:p>
    <w:p w14:paraId="7F224605" w14:textId="39923BB0" w:rsidR="00E61F79" w:rsidRPr="00B8647A" w:rsidRDefault="00E61F79" w:rsidP="00E61F7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center"/>
        <w:rPr>
          <w:b/>
          <w:i/>
        </w:rPr>
      </w:pPr>
      <w:r w:rsidRPr="00B8647A">
        <w:rPr>
          <w:b/>
          <w:i/>
        </w:rPr>
        <w:t>(FY 201</w:t>
      </w:r>
      <w:r>
        <w:rPr>
          <w:b/>
          <w:i/>
        </w:rPr>
        <w:t>7</w:t>
      </w:r>
      <w:r w:rsidRPr="00B8647A">
        <w:rPr>
          <w:b/>
          <w:i/>
        </w:rPr>
        <w:t xml:space="preserve"> - $10,500,000)</w:t>
      </w:r>
    </w:p>
    <w:p w14:paraId="60E51D02" w14:textId="77777777" w:rsidR="00E61F79" w:rsidRPr="00B8647A" w:rsidRDefault="00E61F79" w:rsidP="00E61F7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p>
    <w:p w14:paraId="5096C4D8" w14:textId="6734FEF4" w:rsidR="00E61F79" w:rsidRPr="00B8647A" w:rsidRDefault="00E61F79" w:rsidP="00E61F7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rsidRPr="00B8647A">
        <w:t>In FY 201</w:t>
      </w:r>
      <w:r>
        <w:t>7</w:t>
      </w:r>
      <w:r w:rsidRPr="00B8647A">
        <w:t>, ACL received resources from the Prevention and Public Health Funds (PPHF-201</w:t>
      </w:r>
      <w:r>
        <w:t>7</w:t>
      </w:r>
      <w:r w:rsidRPr="00B8647A">
        <w:t xml:space="preserve">) within the Patient Protection and Affordable Care Act (PPACA) to fund cooperative agreements designed to fill identified gaps in long-term services and supports (LTSS) services for persons living </w:t>
      </w:r>
      <w:r w:rsidR="00A0048F">
        <w:t>with ADRD and their caregivers.</w:t>
      </w:r>
      <w:r w:rsidR="002C2AED">
        <w:t xml:space="preserve">  </w:t>
      </w:r>
      <w:r>
        <w:t xml:space="preserve">In 2017, the ADI-SSS </w:t>
      </w:r>
      <w:r w:rsidRPr="00B8647A">
        <w:t xml:space="preserve">program </w:t>
      </w:r>
      <w:r>
        <w:t>was</w:t>
      </w:r>
      <w:r w:rsidRPr="00B8647A">
        <w:t xml:space="preserve"> open to community-based entities operating within an existing dementia-capable system through which persons with ADRD and their caregivers receive quality, person-centered services </w:t>
      </w:r>
      <w:r>
        <w:t>to support their</w:t>
      </w:r>
      <w:r w:rsidRPr="00B8647A">
        <w:t xml:space="preserve"> remain</w:t>
      </w:r>
      <w:r>
        <w:t>ing</w:t>
      </w:r>
      <w:r w:rsidRPr="00B8647A">
        <w:t xml:space="preserve"> independ</w:t>
      </w:r>
      <w:r>
        <w:t>ent</w:t>
      </w:r>
      <w:r w:rsidRPr="00B8647A">
        <w:t xml:space="preserve"> and sa</w:t>
      </w:r>
      <w:r>
        <w:t>fe</w:t>
      </w:r>
      <w:r w:rsidRPr="00B8647A">
        <w:t xml:space="preserve"> in their communities</w:t>
      </w:r>
      <w:r>
        <w:t xml:space="preserve">. </w:t>
      </w:r>
    </w:p>
    <w:p w14:paraId="430A7A9F" w14:textId="77777777" w:rsidR="00E61F79" w:rsidRPr="00B8647A" w:rsidRDefault="00E61F79" w:rsidP="00E61F7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p>
    <w:p w14:paraId="040EEBAC" w14:textId="77777777" w:rsidR="00E61F79" w:rsidRDefault="00E61F79" w:rsidP="00E61F7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rsidRPr="00B8647A">
        <w:t>The existing gaps targeted through the ADI-SSS program align with the recommendations of the National Alzheimer’s Project Act Advisory Committee and include the following areas:</w:t>
      </w:r>
    </w:p>
    <w:p w14:paraId="4B73EB04" w14:textId="77777777" w:rsidR="00E61F79" w:rsidRPr="00B8647A" w:rsidRDefault="00E61F79" w:rsidP="00E61F7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p>
    <w:p w14:paraId="390BE7DF" w14:textId="77777777" w:rsidR="00E61F79" w:rsidRDefault="00E61F79" w:rsidP="000B38B2">
      <w:pPr>
        <w:pStyle w:val="ListParagraph"/>
        <w:numPr>
          <w:ilvl w:val="0"/>
          <w:numId w:val="13"/>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rsidRPr="00B8647A">
        <w:t>Provision of effective supportive services to persons living alone with ADRD in the community.</w:t>
      </w:r>
    </w:p>
    <w:p w14:paraId="18CB33AD" w14:textId="77777777" w:rsidR="00E61F79" w:rsidRPr="00B8647A" w:rsidRDefault="00E61F79" w:rsidP="00E61F79">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p>
    <w:p w14:paraId="468A2945" w14:textId="77777777" w:rsidR="00E61F79" w:rsidRDefault="00E61F79" w:rsidP="000B38B2">
      <w:pPr>
        <w:pStyle w:val="ListParagraph"/>
        <w:numPr>
          <w:ilvl w:val="0"/>
          <w:numId w:val="11"/>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rsidRPr="00B8647A">
        <w:t>Provision of effective care/supportive services to persons living with moderate to severe impairment from ADRD and their caregivers.</w:t>
      </w:r>
    </w:p>
    <w:p w14:paraId="3D5E2976" w14:textId="77777777" w:rsidR="00E61F79" w:rsidRPr="00B8647A" w:rsidRDefault="00E61F79" w:rsidP="00E61F79">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p>
    <w:p w14:paraId="60697533" w14:textId="77777777" w:rsidR="00E61F79" w:rsidRDefault="00E61F79" w:rsidP="000B38B2">
      <w:pPr>
        <w:pStyle w:val="ListParagraph"/>
        <w:numPr>
          <w:ilvl w:val="0"/>
          <w:numId w:val="11"/>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rsidRPr="00B8647A">
        <w:t>Improvement of the quality and effectiveness of programs and services dedicated to individuals aging with intellectual and developmental disabilities</w:t>
      </w:r>
      <w:r>
        <w:t xml:space="preserve"> associated</w:t>
      </w:r>
      <w:r w:rsidRPr="00B8647A">
        <w:t xml:space="preserve"> with ADRD or those at high risk of developing ADRD.</w:t>
      </w:r>
    </w:p>
    <w:p w14:paraId="48C1FD7E" w14:textId="77777777" w:rsidR="00E61F79" w:rsidRPr="00B8647A" w:rsidRDefault="00E61F79" w:rsidP="00E61F79">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p>
    <w:p w14:paraId="5526AE0D" w14:textId="77777777" w:rsidR="00E61F79" w:rsidRDefault="00E61F79" w:rsidP="000B38B2">
      <w:pPr>
        <w:pStyle w:val="ListParagraph"/>
        <w:numPr>
          <w:ilvl w:val="0"/>
          <w:numId w:val="11"/>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rsidRPr="00B8647A">
        <w:t>Delivery of behavioral symptom management training and expert consultation for family caregivers.</w:t>
      </w:r>
    </w:p>
    <w:p w14:paraId="47F01C69" w14:textId="77777777" w:rsidR="00E61F79" w:rsidRPr="00B8647A" w:rsidRDefault="00E61F79" w:rsidP="00E61F79">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p>
    <w:p w14:paraId="617ED35D" w14:textId="77777777" w:rsidR="00E61F79" w:rsidRPr="00B8647A" w:rsidRDefault="00E61F79" w:rsidP="00E61F7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rsidRPr="00B8647A">
        <w:t>All grantees are required to implement programs that contain components addressing a minimum of three of the four above referenced gaps.</w:t>
      </w:r>
    </w:p>
    <w:p w14:paraId="597F9437" w14:textId="77777777" w:rsidR="00E61F79" w:rsidRPr="00B8647A" w:rsidRDefault="00E61F79" w:rsidP="00E61F7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p>
    <w:p w14:paraId="62479C42" w14:textId="79982CCC" w:rsidR="0056679B" w:rsidRDefault="00E61F79" w:rsidP="00EE2E6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rsidRPr="00B8647A">
        <w:t>In FY 201</w:t>
      </w:r>
      <w:r>
        <w:t>7</w:t>
      </w:r>
      <w:r w:rsidRPr="00B8647A">
        <w:t xml:space="preserve">, </w:t>
      </w:r>
      <w:r>
        <w:t>11</w:t>
      </w:r>
      <w:r w:rsidRPr="00B8647A">
        <w:t xml:space="preserve"> unique organizations received ADI-SSS program awards, joining the </w:t>
      </w:r>
      <w:r>
        <w:t>32</w:t>
      </w:r>
      <w:r w:rsidRPr="00B8647A">
        <w:t xml:space="preserve"> organizations funded in FY</w:t>
      </w:r>
      <w:r>
        <w:t>s</w:t>
      </w:r>
      <w:r w:rsidRPr="00B8647A">
        <w:t xml:space="preserve"> 2014</w:t>
      </w:r>
      <w:r>
        <w:t xml:space="preserve">, 2015 and 2016. </w:t>
      </w:r>
      <w:r w:rsidRPr="00B8647A">
        <w:t>The FY 201</w:t>
      </w:r>
      <w:r>
        <w:t>7</w:t>
      </w:r>
      <w:r w:rsidRPr="00B8647A">
        <w:t xml:space="preserve"> program recipients </w:t>
      </w:r>
      <w:r w:rsidR="0062210B">
        <w:t>are</w:t>
      </w:r>
      <w:r w:rsidR="0062210B" w:rsidRPr="00B8647A">
        <w:t xml:space="preserve"> </w:t>
      </w:r>
      <w:r w:rsidRPr="00B8647A">
        <w:t>implement</w:t>
      </w:r>
      <w:r w:rsidR="0062210B">
        <w:t>ing</w:t>
      </w:r>
      <w:r w:rsidRPr="00B8647A">
        <w:t xml:space="preserve"> programs tailored to address the unique needs of the communities they serve</w:t>
      </w:r>
      <w:r>
        <w:t>,</w:t>
      </w:r>
      <w:r w:rsidRPr="00B8647A">
        <w:t xml:space="preserve"> which include states and local governments, a health system and several community-based organizations</w:t>
      </w:r>
      <w:r>
        <w:t xml:space="preserve">. </w:t>
      </w:r>
      <w:r w:rsidRPr="00B8647A">
        <w:t>Each of the funded programs meet the requirement for the implementation of at least one dementia related evidence-based</w:t>
      </w:r>
      <w:r>
        <w:t xml:space="preserve"> or evidence-informed</w:t>
      </w:r>
      <w:r w:rsidRPr="00B8647A">
        <w:t xml:space="preserve"> intervention, dedicate a substantial percentage of program resources to the provision of direct services and 25</w:t>
      </w:r>
      <w:r>
        <w:t xml:space="preserve"> percent</w:t>
      </w:r>
      <w:r w:rsidRPr="00B8647A">
        <w:t xml:space="preserve"> cost</w:t>
      </w:r>
      <w:r>
        <w:t>-</w:t>
      </w:r>
      <w:r w:rsidRPr="00B8647A">
        <w:t>sharing through</w:t>
      </w:r>
      <w:r>
        <w:t xml:space="preserve"> either in-kind </w:t>
      </w:r>
      <w:r w:rsidR="002C2AED">
        <w:t xml:space="preserve">or cash match.  </w:t>
      </w:r>
      <w:r>
        <w:t>T</w:t>
      </w:r>
      <w:r w:rsidRPr="00B8647A">
        <w:t>hrough targeted partnerships and community engagement, grantees are able to implement a broad range of services and supports to persons with ADRD and their caregivers</w:t>
      </w:r>
      <w:r w:rsidR="002C2AED">
        <w:t xml:space="preserve">.  </w:t>
      </w:r>
      <w:r w:rsidRPr="00B8647A">
        <w:t xml:space="preserve">Examples of program activities include, but are not limited to, support programs </w:t>
      </w:r>
      <w:r w:rsidR="0056679B">
        <w:t xml:space="preserve">for </w:t>
      </w:r>
      <w:r w:rsidRPr="00B8647A">
        <w:t xml:space="preserve">persons with dementia and their caregivers, </w:t>
      </w:r>
      <w:r>
        <w:t xml:space="preserve">a mobile dementia screening unit dispatched to underserved minority communities, care coordination through faith-based entities, </w:t>
      </w:r>
      <w:r w:rsidRPr="00B8647A">
        <w:t>behavioral symptom management training</w:t>
      </w:r>
      <w:r>
        <w:t xml:space="preserve"> for caregivers</w:t>
      </w:r>
      <w:r w:rsidRPr="00B8647A">
        <w:t xml:space="preserve">, dementia capable care coordination </w:t>
      </w:r>
      <w:r>
        <w:t>and care transitions</w:t>
      </w:r>
      <w:r w:rsidRPr="00B8647A">
        <w:t xml:space="preserve">, </w:t>
      </w:r>
      <w:r w:rsidR="0056679B">
        <w:t>and</w:t>
      </w:r>
      <w:r w:rsidRPr="00B8647A">
        <w:t xml:space="preserve"> development of dementia capable community initiatives</w:t>
      </w:r>
      <w:r w:rsidR="0056679B">
        <w:t>, including</w:t>
      </w:r>
      <w:r w:rsidRPr="00B8647A">
        <w:t xml:space="preserve"> awareness training for a broad range of community </w:t>
      </w:r>
      <w:r>
        <w:t>entities</w:t>
      </w:r>
      <w:r w:rsidR="0056679B">
        <w:t>.</w:t>
      </w:r>
    </w:p>
    <w:p w14:paraId="68A6929D" w14:textId="05877A25" w:rsidR="00EE2E69" w:rsidRDefault="00EE2E69" w:rsidP="00EE2E6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bookmarkStart w:id="51" w:name="_Toc436738883"/>
    </w:p>
    <w:p w14:paraId="7D7766C8" w14:textId="2E237897" w:rsidR="000F79B6" w:rsidRPr="00916C9D" w:rsidRDefault="00EE2E69" w:rsidP="00916C9D">
      <w:pPr>
        <w:pStyle w:val="Heading1"/>
        <w:rPr>
          <w:szCs w:val="28"/>
        </w:rPr>
      </w:pPr>
      <w:bookmarkStart w:id="52" w:name="_Toc9929360"/>
      <w:r w:rsidRPr="00EE2E69">
        <w:rPr>
          <w:szCs w:val="28"/>
        </w:rPr>
        <w:t>PART II: OLDER AMERICAN INDIANS, ALASKA NATIVES</w:t>
      </w:r>
      <w:r w:rsidR="00916C9D">
        <w:rPr>
          <w:szCs w:val="28"/>
        </w:rPr>
        <w:t xml:space="preserve"> </w:t>
      </w:r>
      <w:r w:rsidRPr="00EE2E69">
        <w:rPr>
          <w:szCs w:val="28"/>
        </w:rPr>
        <w:t>&amp; NATIVE HAWAIIANS</w:t>
      </w:r>
      <w:bookmarkEnd w:id="52"/>
    </w:p>
    <w:p w14:paraId="57F01493" w14:textId="77777777" w:rsidR="00EE2E69" w:rsidRPr="00EE2E69" w:rsidRDefault="00EE2E69" w:rsidP="00EE2E69"/>
    <w:p w14:paraId="68AF0EA6" w14:textId="694006C5" w:rsidR="00B372C0" w:rsidRPr="00EE2E69" w:rsidRDefault="00EE2E69" w:rsidP="00916C9D">
      <w:pPr>
        <w:pStyle w:val="Heading2"/>
      </w:pPr>
      <w:bookmarkStart w:id="53" w:name="_Toc9929361"/>
      <w:bookmarkEnd w:id="51"/>
      <w:r w:rsidRPr="0082390B">
        <w:t>N</w:t>
      </w:r>
      <w:r>
        <w:t>utrition and Supportive Services</w:t>
      </w:r>
      <w:bookmarkEnd w:id="53"/>
    </w:p>
    <w:p w14:paraId="4014770B" w14:textId="5FF67EF9" w:rsidR="00EE2E69" w:rsidRPr="00FD3BC1" w:rsidRDefault="00EE2E69" w:rsidP="00EE2E69">
      <w:pPr>
        <w:pBdr>
          <w:top w:val="single" w:sz="6" w:space="0" w:color="FFFFFF"/>
          <w:left w:val="single" w:sz="6" w:space="0" w:color="FFFFFF"/>
          <w:bottom w:val="single" w:sz="6" w:space="0" w:color="FFFFFF"/>
          <w:right w:val="single" w:sz="6" w:space="0" w:color="FFFFFF"/>
        </w:pBdr>
        <w:jc w:val="center"/>
        <w:rPr>
          <w:b/>
          <w:bCs/>
          <w:i/>
        </w:rPr>
      </w:pPr>
      <w:r w:rsidRPr="00FD3BC1">
        <w:rPr>
          <w:b/>
          <w:bCs/>
          <w:i/>
        </w:rPr>
        <w:t>(FY 20</w:t>
      </w:r>
      <w:r>
        <w:rPr>
          <w:b/>
          <w:bCs/>
          <w:i/>
        </w:rPr>
        <w:t>17</w:t>
      </w:r>
      <w:r w:rsidRPr="00FD3BC1">
        <w:rPr>
          <w:b/>
          <w:bCs/>
          <w:i/>
        </w:rPr>
        <w:t>: $</w:t>
      </w:r>
      <w:r>
        <w:rPr>
          <w:b/>
          <w:bCs/>
          <w:i/>
        </w:rPr>
        <w:t>33,963,173</w:t>
      </w:r>
      <w:r w:rsidRPr="00BF4948">
        <w:rPr>
          <w:b/>
          <w:bCs/>
          <w:i/>
        </w:rPr>
        <w:t>)</w:t>
      </w:r>
    </w:p>
    <w:p w14:paraId="7613401B" w14:textId="77777777" w:rsidR="00B372C0" w:rsidRPr="00FD3BC1" w:rsidRDefault="00B372C0" w:rsidP="00B372C0">
      <w:pPr>
        <w:contextualSpacing/>
        <w:jc w:val="both"/>
      </w:pPr>
    </w:p>
    <w:p w14:paraId="4FEB4ED3" w14:textId="6B73B92E" w:rsidR="00EE2E69" w:rsidRPr="00A36253" w:rsidRDefault="00EE2E69" w:rsidP="00EE2E69">
      <w:pPr>
        <w:contextualSpacing/>
        <w:jc w:val="both"/>
      </w:pPr>
      <w:r w:rsidRPr="00A36253">
        <w:t xml:space="preserve">Native American Nutrition and Supportive Services provides grants to eligible tribal organizations for the delivery of nutrition and home and community-based supportive services to </w:t>
      </w:r>
      <w:r>
        <w:t>American Indian</w:t>
      </w:r>
      <w:r w:rsidRPr="00A36253">
        <w:t>, Alaska Nati</w:t>
      </w:r>
      <w:r w:rsidR="002C2AED">
        <w:t xml:space="preserve">ve, and Native Hawaiian elders.  </w:t>
      </w:r>
      <w:r w:rsidRPr="00A36253">
        <w:t xml:space="preserve">An estimated </w:t>
      </w:r>
      <w:r>
        <w:t>945</w:t>
      </w:r>
      <w:r w:rsidRPr="00A36253">
        <w:t xml:space="preserve">,000 persons age 60 and over identify themselves as </w:t>
      </w:r>
      <w:r>
        <w:t>American Indian</w:t>
      </w:r>
      <w:r w:rsidRPr="00A36253">
        <w:t xml:space="preserve"> or Alaska Native alone or in combination with another racial group.</w:t>
      </w:r>
      <w:r w:rsidRPr="00A36253">
        <w:rPr>
          <w:rStyle w:val="FootnoteReference"/>
        </w:rPr>
        <w:footnoteReference w:id="93"/>
      </w:r>
      <w:r w:rsidR="002C2AED">
        <w:t xml:space="preserve">  </w:t>
      </w:r>
      <w:r w:rsidRPr="00A36253">
        <w:t>Over 5</w:t>
      </w:r>
      <w:r>
        <w:t>49</w:t>
      </w:r>
      <w:r w:rsidRPr="00A36253">
        <w:t xml:space="preserve">,000 of those elders identify as </w:t>
      </w:r>
      <w:r>
        <w:t>American Indian</w:t>
      </w:r>
      <w:r w:rsidRPr="00A36253">
        <w:t xml:space="preserve"> or Alaska Native with no other racial group.</w:t>
      </w:r>
      <w:r w:rsidRPr="00A36253">
        <w:rPr>
          <w:rStyle w:val="FootnoteReference"/>
        </w:rPr>
        <w:footnoteReference w:id="94"/>
      </w:r>
      <w:r w:rsidRPr="00A36253">
        <w:t xml:space="preserve"> </w:t>
      </w:r>
    </w:p>
    <w:p w14:paraId="09E1FA02" w14:textId="288FCB8B" w:rsidR="00EE2E69" w:rsidRPr="00A36253" w:rsidRDefault="00EE2E69" w:rsidP="00EE2E69">
      <w:pPr>
        <w:contextualSpacing/>
        <w:jc w:val="both"/>
      </w:pPr>
    </w:p>
    <w:p w14:paraId="3D40CFA8" w14:textId="52C39DD6" w:rsidR="00EE2E69" w:rsidRDefault="00EE2E69" w:rsidP="00EE2E69">
      <w:pPr>
        <w:contextualSpacing/>
        <w:jc w:val="both"/>
      </w:pPr>
      <w:r w:rsidRPr="00A36253">
        <w:t>Between 2000 and 2010, the number of older American Indian and Alaska Native (AI/AN) adults increased by 40.5 percent, a growth that is 2.7 times greater than that of</w:t>
      </w:r>
      <w:r w:rsidRPr="00FD3BC1">
        <w:t xml:space="preserve"> the overall population of older adults over the same 10-year period.</w:t>
      </w:r>
      <w:r w:rsidRPr="00FD3BC1">
        <w:rPr>
          <w:rStyle w:val="FootnoteReference"/>
        </w:rPr>
        <w:footnoteReference w:id="95"/>
      </w:r>
      <w:r w:rsidR="002C2AED">
        <w:t xml:space="preserve">  </w:t>
      </w:r>
      <w:r w:rsidRPr="00FD3BC1">
        <w:t>In addition, this rapidly growing population is also experiencing some of the highest rates of disability,</w:t>
      </w:r>
      <w:r w:rsidRPr="00FD3BC1">
        <w:rPr>
          <w:rStyle w:val="FootnoteReference"/>
        </w:rPr>
        <w:footnoteReference w:id="96"/>
      </w:r>
      <w:r w:rsidRPr="00FD3BC1">
        <w:t xml:space="preserve"> chronic disease, and poverty</w:t>
      </w:r>
      <w:r w:rsidRPr="00FD3BC1">
        <w:rPr>
          <w:rStyle w:val="FootnoteReference"/>
        </w:rPr>
        <w:footnoteReference w:id="97"/>
      </w:r>
      <w:r w:rsidRPr="00FD3BC1">
        <w:t xml:space="preserve"> in the United States. Because of the combined factors of an aging population and high disability rates, AI/ANs have a great need for </w:t>
      </w:r>
      <w:r>
        <w:t>home and community-based services</w:t>
      </w:r>
      <w:r w:rsidRPr="00FD3BC1">
        <w:t xml:space="preserve"> access in their communities.</w:t>
      </w:r>
    </w:p>
    <w:p w14:paraId="4593B8CA" w14:textId="77777777" w:rsidR="00EE2E69" w:rsidRPr="00FD3BC1" w:rsidRDefault="00EE2E69" w:rsidP="00EE2E69">
      <w:pPr>
        <w:contextualSpacing/>
        <w:jc w:val="both"/>
      </w:pPr>
    </w:p>
    <w:p w14:paraId="6DEB292A" w14:textId="10EC2C63" w:rsidR="00EE2E69" w:rsidRDefault="00EE2E69" w:rsidP="00EE2E69">
      <w:pPr>
        <w:contextualSpacing/>
        <w:jc w:val="both"/>
      </w:pPr>
      <w:r w:rsidRPr="00AE3A85">
        <w:t>Native American Nutrition and Supportive Services grants support a broad range of services to older Native Americans, including adult day care, transportation, congregate and home-delivered meals, information and referral, personal care, help w</w:t>
      </w:r>
      <w:r w:rsidR="002C2AED">
        <w:t xml:space="preserve">ith chores, and other services.  </w:t>
      </w:r>
      <w:r w:rsidRPr="00AE3A85">
        <w:t>Currently, AoA’s congregate meal</w:t>
      </w:r>
      <w:r>
        <w:t>s</w:t>
      </w:r>
      <w:r w:rsidRPr="00AE3A85">
        <w:t xml:space="preserve"> program reaches </w:t>
      </w:r>
      <w:r>
        <w:t>42 percent</w:t>
      </w:r>
      <w:r w:rsidRPr="00AE3A85">
        <w:t xml:space="preserve"> of eligible Native American seniors in participating tribal organizations, home-delivered meals reach </w:t>
      </w:r>
      <w:r>
        <w:t>12</w:t>
      </w:r>
      <w:r w:rsidRPr="00AE3A85">
        <w:t xml:space="preserve"> percent of such persons, and supportive services reach </w:t>
      </w:r>
      <w:r>
        <w:t>30</w:t>
      </w:r>
      <w:r w:rsidRPr="0024723D">
        <w:t> percent of such persons.</w:t>
      </w:r>
      <w:r w:rsidRPr="0024723D">
        <w:rPr>
          <w:rStyle w:val="FootnoteReference"/>
        </w:rPr>
        <w:footnoteReference w:id="98"/>
      </w:r>
      <w:r w:rsidR="002C2AED">
        <w:t xml:space="preserve">  </w:t>
      </w:r>
      <w:r w:rsidRPr="0024723D">
        <w:t>These programs, which can help to reduce the need for costly nursing home care and medical interventions, are responsive to the cultural diversity of Native American communities and are an important part of each community’s comprehensive services</w:t>
      </w:r>
      <w:r>
        <w:t xml:space="preserve">. </w:t>
      </w:r>
    </w:p>
    <w:p w14:paraId="2EE285F2" w14:textId="77777777" w:rsidR="00EE2E69" w:rsidRPr="0024723D" w:rsidRDefault="00EE2E69" w:rsidP="00EE2E69">
      <w:pPr>
        <w:contextualSpacing/>
        <w:jc w:val="both"/>
      </w:pPr>
    </w:p>
    <w:p w14:paraId="71971DA7" w14:textId="6E7C1D2C" w:rsidR="00EE2E69" w:rsidRPr="00F57E67" w:rsidRDefault="00EE2E69" w:rsidP="00EE2E69">
      <w:pPr>
        <w:contextualSpacing/>
        <w:jc w:val="both"/>
      </w:pPr>
      <w:r w:rsidRPr="00A36253">
        <w:t>Services provided by this program in FY 20</w:t>
      </w:r>
      <w:r>
        <w:t>17</w:t>
      </w:r>
      <w:r w:rsidRPr="00A36253">
        <w:t xml:space="preserve"> included:</w:t>
      </w:r>
      <w:r w:rsidRPr="00F57E67">
        <w:t xml:space="preserve"> </w:t>
      </w:r>
    </w:p>
    <w:p w14:paraId="558987B4" w14:textId="77777777" w:rsidR="00415F60" w:rsidRPr="00F57E67" w:rsidRDefault="00415F60" w:rsidP="008D011A">
      <w:pPr>
        <w:contextualSpacing/>
        <w:jc w:val="both"/>
      </w:pPr>
    </w:p>
    <w:p w14:paraId="20FA5FF5" w14:textId="2A781221" w:rsidR="00EE2E69" w:rsidRPr="00F57E67" w:rsidRDefault="00EE2E69" w:rsidP="00EE2E69">
      <w:pPr>
        <w:pStyle w:val="ListParagraph"/>
        <w:numPr>
          <w:ilvl w:val="0"/>
          <w:numId w:val="14"/>
        </w:numPr>
        <w:jc w:val="both"/>
      </w:pPr>
      <w:r w:rsidRPr="00F57E67">
        <w:rPr>
          <w:i/>
        </w:rPr>
        <w:t>Transportation Services</w:t>
      </w:r>
      <w:r w:rsidRPr="00F57E67">
        <w:t xml:space="preserve">, which provided over </w:t>
      </w:r>
      <w:r>
        <w:t>772,000</w:t>
      </w:r>
      <w:r w:rsidRPr="00F57E67">
        <w:t xml:space="preserve"> rides to meal sites, medical appointments, pharmacies, grocery stores, and other critical activities.</w:t>
      </w:r>
      <w:r>
        <w:rPr>
          <w:rStyle w:val="FootnoteReference"/>
        </w:rPr>
        <w:footnoteReference w:id="99"/>
      </w:r>
    </w:p>
    <w:p w14:paraId="40400C20" w14:textId="77777777" w:rsidR="00EE2E69" w:rsidRPr="00F57E67" w:rsidRDefault="00EE2E69" w:rsidP="00EE2E69">
      <w:pPr>
        <w:contextualSpacing/>
        <w:jc w:val="both"/>
      </w:pPr>
    </w:p>
    <w:p w14:paraId="741E0475" w14:textId="1E9FBB06" w:rsidR="00EE2E69" w:rsidRPr="00F57E67" w:rsidRDefault="00EE2E69" w:rsidP="00EE2E69">
      <w:pPr>
        <w:pStyle w:val="ListParagraph"/>
        <w:numPr>
          <w:ilvl w:val="0"/>
          <w:numId w:val="14"/>
        </w:numPr>
        <w:jc w:val="both"/>
      </w:pPr>
      <w:r w:rsidRPr="00F57E67">
        <w:rPr>
          <w:i/>
        </w:rPr>
        <w:t xml:space="preserve">Home-Delivered Nutrition Services, </w:t>
      </w:r>
      <w:r w:rsidRPr="00F57E67">
        <w:t xml:space="preserve">under which over 2.5 million meals were provided to </w:t>
      </w:r>
      <w:r>
        <w:t>over 31,000</w:t>
      </w:r>
      <w:r w:rsidR="0062210B">
        <w:t xml:space="preserve"> </w:t>
      </w:r>
      <w:r w:rsidRPr="00F57E67">
        <w:t>homebound Native American elders; the program also provides critical social contacts that help to reduce the risk of depression and isolation experienced by many home-bound Native American elders.</w:t>
      </w:r>
      <w:r>
        <w:rPr>
          <w:rStyle w:val="FootnoteReference"/>
        </w:rPr>
        <w:footnoteReference w:id="100"/>
      </w:r>
    </w:p>
    <w:p w14:paraId="3E9DFEBB" w14:textId="77777777" w:rsidR="00EE2E69" w:rsidRPr="00F57E67" w:rsidRDefault="00EE2E69" w:rsidP="00EE2E69">
      <w:pPr>
        <w:contextualSpacing/>
        <w:jc w:val="both"/>
      </w:pPr>
    </w:p>
    <w:p w14:paraId="4E421A15" w14:textId="7B148DDD" w:rsidR="00EE2E69" w:rsidRPr="00F57E67" w:rsidRDefault="00EE2E69" w:rsidP="00EE2E69">
      <w:pPr>
        <w:pStyle w:val="ListParagraph"/>
        <w:numPr>
          <w:ilvl w:val="0"/>
          <w:numId w:val="14"/>
        </w:numPr>
        <w:jc w:val="both"/>
      </w:pPr>
      <w:r w:rsidRPr="00F57E67">
        <w:rPr>
          <w:i/>
        </w:rPr>
        <w:t>Congregate Nutrition Services</w:t>
      </w:r>
      <w:r w:rsidRPr="00F57E67">
        <w:t>, which provided over 2.</w:t>
      </w:r>
      <w:r>
        <w:t>4</w:t>
      </w:r>
      <w:r w:rsidRPr="00F57E67">
        <w:t xml:space="preserve"> million meals to </w:t>
      </w:r>
      <w:r>
        <w:t>over</w:t>
      </w:r>
      <w:r w:rsidR="0062210B">
        <w:t xml:space="preserve"> </w:t>
      </w:r>
      <w:r>
        <w:t>109</w:t>
      </w:r>
      <w:r w:rsidRPr="00F57E67">
        <w:t>,000 Native American elders in community-based settings, as well as an opportunity for elders to socialize and participate in a variety of activities, including cultural and wellness programs.</w:t>
      </w:r>
      <w:r>
        <w:rPr>
          <w:rStyle w:val="FootnoteReference"/>
        </w:rPr>
        <w:footnoteReference w:id="101"/>
      </w:r>
    </w:p>
    <w:p w14:paraId="58EF82C6" w14:textId="77777777" w:rsidR="00EE2E69" w:rsidRPr="00F57E67" w:rsidRDefault="00EE2E69" w:rsidP="00EE2E69">
      <w:pPr>
        <w:contextualSpacing/>
        <w:jc w:val="both"/>
      </w:pPr>
    </w:p>
    <w:p w14:paraId="7778DC63" w14:textId="5517E776" w:rsidR="00EE2E69" w:rsidRPr="00F57E67" w:rsidRDefault="00EE2E69" w:rsidP="00EE2E69">
      <w:pPr>
        <w:pStyle w:val="ListParagraph"/>
        <w:numPr>
          <w:ilvl w:val="0"/>
          <w:numId w:val="14"/>
        </w:numPr>
        <w:jc w:val="both"/>
      </w:pPr>
      <w:r w:rsidRPr="00F57E67">
        <w:rPr>
          <w:i/>
        </w:rPr>
        <w:t>Information, Referral and Outreach Services</w:t>
      </w:r>
      <w:r w:rsidRPr="00F57E67">
        <w:t xml:space="preserve">, which provided </w:t>
      </w:r>
      <w:r>
        <w:t>over 825,000</w:t>
      </w:r>
      <w:r w:rsidRPr="00F57E67">
        <w:t xml:space="preserve"> hours of outreach and information on services and programs to Native American elders and their families, thereby empowering them to make informed choices about their service and care needs.</w:t>
      </w:r>
      <w:r>
        <w:rPr>
          <w:rStyle w:val="FootnoteReference"/>
        </w:rPr>
        <w:footnoteReference w:id="102"/>
      </w:r>
    </w:p>
    <w:p w14:paraId="7241B5C4" w14:textId="77777777" w:rsidR="00EE2E69" w:rsidRDefault="00EE2E69" w:rsidP="00EE2E69">
      <w:pPr>
        <w:jc w:val="both"/>
      </w:pPr>
    </w:p>
    <w:p w14:paraId="4033FC95" w14:textId="51C7E0F7" w:rsidR="00EE2E69" w:rsidRPr="0024723D" w:rsidRDefault="00EE2E69" w:rsidP="00EE2E69">
      <w:pPr>
        <w:jc w:val="both"/>
      </w:pPr>
      <w:r w:rsidRPr="0024723D">
        <w:t xml:space="preserve">The Native American Nutrition and Supportive Services program also provides training and technical assistance to tribal organizations to support the development of comprehensive and coordinated systems of services to meet the needs of Native American elders. </w:t>
      </w:r>
      <w:r w:rsidRPr="00EE2E69">
        <w:rPr>
          <w:spacing w:val="2"/>
        </w:rPr>
        <w:t xml:space="preserve">Training and technical assistance is provided through national meetings, site visits, monthly webinars, </w:t>
      </w:r>
      <w:r w:rsidR="00540544">
        <w:rPr>
          <w:spacing w:val="2"/>
        </w:rPr>
        <w:t xml:space="preserve">e-newsletters, </w:t>
      </w:r>
      <w:r w:rsidR="00540544" w:rsidRPr="00EE2E69">
        <w:rPr>
          <w:spacing w:val="2"/>
        </w:rPr>
        <w:t>telephone</w:t>
      </w:r>
      <w:r w:rsidRPr="00EE2E69">
        <w:rPr>
          <w:spacing w:val="2"/>
        </w:rPr>
        <w:t xml:space="preserve"> and written consultations, and through the Native American Resource Centers (funded under Aging Network Support Activities</w:t>
      </w:r>
      <w:r w:rsidRPr="0024723D">
        <w:t>).</w:t>
      </w:r>
    </w:p>
    <w:p w14:paraId="2AEB8D49" w14:textId="77777777" w:rsidR="00B372C0" w:rsidRPr="0024723D" w:rsidRDefault="00B372C0" w:rsidP="00B372C0">
      <w:pPr>
        <w:contextualSpacing/>
        <w:jc w:val="both"/>
      </w:pPr>
    </w:p>
    <w:p w14:paraId="2997E756" w14:textId="2257F997" w:rsidR="00B372C0" w:rsidRPr="0024723D" w:rsidRDefault="00B372C0" w:rsidP="00B372C0">
      <w:pPr>
        <w:contextualSpacing/>
        <w:jc w:val="both"/>
      </w:pPr>
      <w:r w:rsidRPr="0024723D">
        <w:t>Eligible tribal organizations receive nutrition and supportive services formula grants based on their share of the American Indian, Alaska Native, and Native Hawaiian population age 60 and over</w:t>
      </w:r>
      <w:r w:rsidR="001B2DC3">
        <w:t xml:space="preserve">. </w:t>
      </w:r>
      <w:r w:rsidRPr="0024723D">
        <w:t>Tribal organizations must represent at least 50 Native American elders age 60</w:t>
      </w:r>
      <w:r w:rsidR="00807D0B">
        <w:t xml:space="preserve"> and over to receive funding</w:t>
      </w:r>
      <w:r w:rsidR="002C2AED">
        <w:t xml:space="preserve">.  </w:t>
      </w:r>
      <w:r w:rsidRPr="0024723D">
        <w:t>There is no requirement for matching funds</w:t>
      </w:r>
      <w:r w:rsidR="002C2AED">
        <w:t xml:space="preserve">.  </w:t>
      </w:r>
      <w:r w:rsidRPr="0024723D">
        <w:t>In addition, tribes may decide the age at which a member is considered an elder and thus eligible for services</w:t>
      </w:r>
      <w:r w:rsidR="00761EBB">
        <w:t xml:space="preserve">. </w:t>
      </w:r>
    </w:p>
    <w:p w14:paraId="4392A276" w14:textId="77777777" w:rsidR="00B372C0" w:rsidRPr="0024723D" w:rsidRDefault="00B372C0" w:rsidP="00B372C0">
      <w:pPr>
        <w:contextualSpacing/>
        <w:jc w:val="both"/>
        <w:rPr>
          <w:u w:val="single"/>
        </w:rPr>
      </w:pPr>
    </w:p>
    <w:p w14:paraId="6B6F68FF" w14:textId="77777777" w:rsidR="00B372C0" w:rsidRPr="0082390B" w:rsidRDefault="00B372C0" w:rsidP="00916C9D">
      <w:pPr>
        <w:pStyle w:val="Heading2"/>
      </w:pPr>
      <w:bookmarkStart w:id="54" w:name="_Toc436738884"/>
      <w:bookmarkStart w:id="55" w:name="_Toc536443929"/>
      <w:bookmarkStart w:id="56" w:name="_Toc9929362"/>
      <w:r w:rsidRPr="0082390B">
        <w:t>Caregiver Support Services</w:t>
      </w:r>
      <w:bookmarkEnd w:id="54"/>
      <w:bookmarkEnd w:id="55"/>
      <w:bookmarkEnd w:id="56"/>
    </w:p>
    <w:p w14:paraId="2C358F2A" w14:textId="6DC7C102" w:rsidR="00540544" w:rsidRPr="004C4286" w:rsidRDefault="00540544" w:rsidP="00540544">
      <w:pPr>
        <w:pBdr>
          <w:top w:val="single" w:sz="6" w:space="0" w:color="FFFFFF"/>
          <w:left w:val="single" w:sz="6" w:space="0" w:color="FFFFFF"/>
          <w:bottom w:val="single" w:sz="6" w:space="0" w:color="FFFFFF"/>
          <w:right w:val="single" w:sz="6" w:space="0" w:color="FFFFFF"/>
        </w:pBdr>
        <w:jc w:val="center"/>
        <w:rPr>
          <w:b/>
          <w:bCs/>
          <w:i/>
        </w:rPr>
      </w:pPr>
      <w:r w:rsidRPr="004C4286">
        <w:rPr>
          <w:b/>
          <w:bCs/>
          <w:i/>
        </w:rPr>
        <w:t>(FY 201</w:t>
      </w:r>
      <w:r>
        <w:rPr>
          <w:b/>
          <w:bCs/>
          <w:i/>
        </w:rPr>
        <w:t>7</w:t>
      </w:r>
      <w:r w:rsidRPr="004C4286">
        <w:rPr>
          <w:b/>
          <w:bCs/>
          <w:i/>
        </w:rPr>
        <w:t>: $</w:t>
      </w:r>
      <w:r>
        <w:rPr>
          <w:b/>
          <w:bCs/>
          <w:i/>
        </w:rPr>
        <w:t>7,478,530</w:t>
      </w:r>
      <w:r w:rsidRPr="004C4286">
        <w:rPr>
          <w:b/>
          <w:bCs/>
          <w:i/>
        </w:rPr>
        <w:t>)</w:t>
      </w:r>
    </w:p>
    <w:p w14:paraId="494E6CF4" w14:textId="08D42226" w:rsidR="00B372C0" w:rsidRPr="00AE3A85" w:rsidRDefault="00B372C0" w:rsidP="00B372C0">
      <w:pPr>
        <w:contextualSpacing/>
        <w:jc w:val="both"/>
      </w:pPr>
    </w:p>
    <w:p w14:paraId="60B6A1E8" w14:textId="62AA741B" w:rsidR="00B372C0" w:rsidRPr="00AE3A85" w:rsidRDefault="00B372C0" w:rsidP="00B372C0">
      <w:pPr>
        <w:contextualSpacing/>
        <w:jc w:val="both"/>
        <w:rPr>
          <w:spacing w:val="2"/>
        </w:rPr>
      </w:pPr>
      <w:r w:rsidRPr="00AE3A85">
        <w:lastRenderedPageBreak/>
        <w:t>Native American Caregiver Support Services provide grants to eligible tribal organizations to provide support for family and informal caregivers of Native American, Alaska Native and Native Hawaiian elders</w:t>
      </w:r>
      <w:r w:rsidR="002C2AED">
        <w:t xml:space="preserve">.  </w:t>
      </w:r>
      <w:r w:rsidRPr="00AE3A85">
        <w:t xml:space="preserve">This program, which </w:t>
      </w:r>
      <w:r w:rsidR="00693AC3">
        <w:t xml:space="preserve">also </w:t>
      </w:r>
      <w:r w:rsidRPr="00AE3A85">
        <w:t>helps to reduce the need for costly nursing home care and medical interventions, is responsive to the cultural diversity of Native American communities and represent</w:t>
      </w:r>
      <w:r w:rsidR="008D011A" w:rsidRPr="00AE3A85">
        <w:t>s</w:t>
      </w:r>
      <w:r w:rsidRPr="00AE3A85">
        <w:t xml:space="preserve"> an important part of each community’s comprehensive services. </w:t>
      </w:r>
    </w:p>
    <w:p w14:paraId="596E363E" w14:textId="77777777" w:rsidR="00B372C0" w:rsidRPr="00AE3A85" w:rsidRDefault="00B372C0" w:rsidP="00B372C0">
      <w:pPr>
        <w:contextualSpacing/>
        <w:jc w:val="both"/>
      </w:pPr>
    </w:p>
    <w:p w14:paraId="7423D71D" w14:textId="0D26C3DF" w:rsidR="00B372C0" w:rsidRPr="00AE3A85" w:rsidRDefault="00B372C0" w:rsidP="00B372C0">
      <w:pPr>
        <w:contextualSpacing/>
        <w:jc w:val="both"/>
      </w:pPr>
      <w:r w:rsidRPr="00AE3A85">
        <w:t>Native American Caregiver Support Services funding is allocated to eligible tribal organizations based on their share of the American Indian, Alaska Native, and Native Hawaiian population aged 60 and over</w:t>
      </w:r>
      <w:r w:rsidR="002C2AED">
        <w:t xml:space="preserve">.  </w:t>
      </w:r>
      <w:r w:rsidRPr="00AE3A85">
        <w:t xml:space="preserve">Tribal organizations must represent at least 50 Native American elders age 60 and over and be receiving a grant under Title VI </w:t>
      </w:r>
      <w:r w:rsidR="00DD5D17">
        <w:t>Part A or B to receive funding</w:t>
      </w:r>
      <w:r w:rsidR="002C2AED">
        <w:t xml:space="preserve">.  </w:t>
      </w:r>
      <w:r w:rsidRPr="00AE3A85">
        <w:t xml:space="preserve">There is no </w:t>
      </w:r>
      <w:r w:rsidR="00DD5D17">
        <w:t>requirement for matching funds</w:t>
      </w:r>
      <w:r w:rsidR="002C2AED">
        <w:t xml:space="preserve">.  </w:t>
      </w:r>
      <w:r w:rsidRPr="00AE3A85">
        <w:t xml:space="preserve">Tribes may also decide the age at which a member is considered an elder </w:t>
      </w:r>
      <w:r w:rsidR="00DD5D17">
        <w:t>a</w:t>
      </w:r>
      <w:r w:rsidR="00596330">
        <w:t>nd thus eligible for services</w:t>
      </w:r>
      <w:r w:rsidR="002C2AED">
        <w:t xml:space="preserve">.  </w:t>
      </w:r>
      <w:r w:rsidRPr="00AE3A85">
        <w:t>In addition, there is no limit on the percentage of funds that can be used for services to grandparents caring for grandchildren</w:t>
      </w:r>
      <w:r w:rsidR="00761EBB">
        <w:t xml:space="preserve">. </w:t>
      </w:r>
    </w:p>
    <w:p w14:paraId="1E0077A3" w14:textId="77777777" w:rsidR="00B372C0" w:rsidRPr="00AE3A85" w:rsidRDefault="00B372C0" w:rsidP="00B372C0">
      <w:pPr>
        <w:contextualSpacing/>
        <w:jc w:val="both"/>
        <w:rPr>
          <w:b/>
        </w:rPr>
      </w:pPr>
    </w:p>
    <w:p w14:paraId="12FA64AF" w14:textId="34E21F61" w:rsidR="00B372C0" w:rsidRPr="00AE3A85" w:rsidRDefault="00B372C0" w:rsidP="00B372C0">
      <w:pPr>
        <w:contextualSpacing/>
        <w:jc w:val="both"/>
        <w:rPr>
          <w:spacing w:val="-2"/>
        </w:rPr>
      </w:pPr>
      <w:r w:rsidRPr="00AE3A85">
        <w:t>Grants assist American Indian, Alaska Native and Native Hawaiian families caring for older relatives with chronic illness or disability and grandpa</w:t>
      </w:r>
      <w:r w:rsidR="007435FA">
        <w:t>rents caring for grandchildren</w:t>
      </w:r>
      <w:r w:rsidR="002C2AED">
        <w:t xml:space="preserve">.  </w:t>
      </w:r>
      <w:r w:rsidRPr="00AE3A85">
        <w:t>The program provides a variety of direct services that meet a range of caregiver needs, including information and outreach, access assistance, individual counseling, support groups and training, respite care, a</w:t>
      </w:r>
      <w:r w:rsidR="007435FA">
        <w:t>nd other supplemental services</w:t>
      </w:r>
      <w:r w:rsidR="002C2AED">
        <w:t xml:space="preserve">.  </w:t>
      </w:r>
      <w:r w:rsidR="00ED7E41" w:rsidRPr="000B0237">
        <w:t>Annually, t</w:t>
      </w:r>
      <w:r w:rsidR="00455309" w:rsidRPr="000B0237">
        <w:t>ribal grantees provide</w:t>
      </w:r>
      <w:r w:rsidR="006367F7">
        <w:t>d</w:t>
      </w:r>
      <w:r w:rsidR="00455309" w:rsidRPr="000B0237">
        <w:t xml:space="preserve"> over </w:t>
      </w:r>
      <w:r w:rsidR="003F4E46">
        <w:t>100,000</w:t>
      </w:r>
      <w:r w:rsidR="00455309" w:rsidRPr="000B0237">
        <w:t xml:space="preserve"> hours of respite care, </w:t>
      </w:r>
      <w:r w:rsidR="006367F7">
        <w:t xml:space="preserve">delivered </w:t>
      </w:r>
      <w:r w:rsidR="00B3240E" w:rsidRPr="000B0237">
        <w:t xml:space="preserve">just over </w:t>
      </w:r>
      <w:r w:rsidR="001C4932">
        <w:t>23,000</w:t>
      </w:r>
      <w:r w:rsidR="00455309" w:rsidRPr="000B0237">
        <w:t xml:space="preserve"> hours of caregiver training, and assisted </w:t>
      </w:r>
      <w:r w:rsidR="001C4932">
        <w:t>16,000</w:t>
      </w:r>
      <w:r w:rsidR="00455309" w:rsidRPr="000B0237">
        <w:t xml:space="preserve"> caregivers to access needed services</w:t>
      </w:r>
      <w:r w:rsidR="00254EEB" w:rsidRPr="000B0237">
        <w:t>.</w:t>
      </w:r>
      <w:r w:rsidR="00455309" w:rsidRPr="000B0237">
        <w:rPr>
          <w:rStyle w:val="FootnoteReference"/>
        </w:rPr>
        <w:footnoteReference w:id="103"/>
      </w:r>
      <w:r w:rsidR="002C2AED">
        <w:t xml:space="preserve"> </w:t>
      </w:r>
      <w:r w:rsidRPr="00F1615A">
        <w:t>Tribal organizations coordinate with other programs, including the Volunteers In Service To America (VISTA) program</w:t>
      </w:r>
      <w:r w:rsidRPr="00AE3A85">
        <w:t>, to help support and create sustainable caregiver programs in Native American communities (many of which are geographically isolated)</w:t>
      </w:r>
      <w:r w:rsidR="001B2DC3">
        <w:t xml:space="preserve">. </w:t>
      </w:r>
      <w:r w:rsidRPr="00AE3A85">
        <w:rPr>
          <w:spacing w:val="-2"/>
        </w:rPr>
        <w:t>A core value of the Native American Caregiver Support Services, as expressed by tribal leaders, is that the program should not replace the tradition of fa</w:t>
      </w:r>
      <w:r w:rsidR="007435FA">
        <w:rPr>
          <w:spacing w:val="-2"/>
        </w:rPr>
        <w:t>milies caring for their elders</w:t>
      </w:r>
      <w:r w:rsidR="002C2AED">
        <w:rPr>
          <w:spacing w:val="-2"/>
        </w:rPr>
        <w:t xml:space="preserve">.  </w:t>
      </w:r>
      <w:r w:rsidRPr="00AE3A85">
        <w:rPr>
          <w:spacing w:val="-2"/>
        </w:rPr>
        <w:t xml:space="preserve">Rather, it provides support that strengthens the family caregiver role. </w:t>
      </w:r>
    </w:p>
    <w:p w14:paraId="2AF55775" w14:textId="77777777" w:rsidR="00FB1981" w:rsidRPr="006A097D" w:rsidRDefault="00321725" w:rsidP="0095499F">
      <w:pPr>
        <w:pStyle w:val="Heading1"/>
      </w:pPr>
      <w:r w:rsidRPr="00AE3A85">
        <w:rPr>
          <w:spacing w:val="-2"/>
        </w:rPr>
        <w:br w:type="page"/>
      </w:r>
      <w:bookmarkStart w:id="57" w:name="_Toc303606077"/>
      <w:bookmarkStart w:id="58" w:name="_Toc316405578"/>
      <w:bookmarkStart w:id="59" w:name="_Toc436738885"/>
      <w:bookmarkStart w:id="60" w:name="_Toc536443930"/>
      <w:bookmarkStart w:id="61" w:name="_Toc9929363"/>
      <w:bookmarkStart w:id="62" w:name="_Toc436738894"/>
      <w:bookmarkStart w:id="63" w:name="_Toc303606081"/>
      <w:bookmarkStart w:id="64" w:name="_Toc316405582"/>
      <w:r w:rsidR="00FB1981" w:rsidRPr="006A097D">
        <w:lastRenderedPageBreak/>
        <w:t xml:space="preserve">PART III: </w:t>
      </w:r>
      <w:bookmarkEnd w:id="57"/>
      <w:bookmarkEnd w:id="58"/>
      <w:bookmarkEnd w:id="59"/>
      <w:r w:rsidR="006A097D" w:rsidRPr="006A097D">
        <w:t>ELDER RIGHTS</w:t>
      </w:r>
      <w:bookmarkEnd w:id="60"/>
      <w:bookmarkEnd w:id="61"/>
    </w:p>
    <w:p w14:paraId="2128DABA" w14:textId="77777777" w:rsidR="00FB1981" w:rsidRPr="006A097D" w:rsidRDefault="00FB1981" w:rsidP="006A097D">
      <w:pPr>
        <w:contextualSpacing/>
        <w:jc w:val="center"/>
        <w:rPr>
          <w:b/>
        </w:rPr>
      </w:pPr>
    </w:p>
    <w:p w14:paraId="375BE664" w14:textId="2CBF4F22" w:rsidR="006A097D" w:rsidRDefault="008705D2" w:rsidP="006A097D">
      <w:pPr>
        <w:contextualSpacing/>
        <w:jc w:val="both"/>
      </w:pPr>
      <w:r>
        <w:t>AoA</w:t>
      </w:r>
      <w:r w:rsidR="006A097D" w:rsidRPr="006A097D">
        <w:t xml:space="preserve"> works to promote the rights of older adults through several distinct but complementary programs</w:t>
      </w:r>
      <w:r w:rsidR="00466D93">
        <w:t xml:space="preserve">.  </w:t>
      </w:r>
      <w:r w:rsidR="006A097D" w:rsidRPr="006A097D">
        <w:t>Among other things, these programs provide a full array of services designed to prevent, detect, and respond to elder abuse, neglect, and exploitation, both at home and in institutional settings</w:t>
      </w:r>
      <w:r w:rsidR="00761EBB">
        <w:t xml:space="preserve">. </w:t>
      </w:r>
    </w:p>
    <w:p w14:paraId="5BA2557B" w14:textId="77777777" w:rsidR="00597608" w:rsidRDefault="00597608" w:rsidP="00FB1981">
      <w:pPr>
        <w:keepNext/>
        <w:jc w:val="center"/>
        <w:outlineLvl w:val="1"/>
        <w:rPr>
          <w:b/>
          <w:bCs/>
          <w:iCs/>
          <w:sz w:val="28"/>
          <w:szCs w:val="28"/>
          <w:lang w:bidi="en-US"/>
        </w:rPr>
      </w:pPr>
      <w:bookmarkStart w:id="65" w:name="_Toc294712691"/>
      <w:bookmarkStart w:id="66" w:name="_Toc316405581"/>
      <w:bookmarkStart w:id="67" w:name="_Toc436738886"/>
    </w:p>
    <w:p w14:paraId="7DB630A3" w14:textId="77777777" w:rsidR="00FB1981" w:rsidRPr="00FB1981" w:rsidRDefault="00FB1981" w:rsidP="00916C9D">
      <w:pPr>
        <w:pStyle w:val="Heading2"/>
      </w:pPr>
      <w:bookmarkStart w:id="68" w:name="_Toc536443931"/>
      <w:bookmarkStart w:id="69" w:name="_Toc9929364"/>
      <w:r w:rsidRPr="00FB1981">
        <w:t>Prevention of Elder Abuse and Neglect</w:t>
      </w:r>
      <w:bookmarkEnd w:id="65"/>
      <w:bookmarkEnd w:id="66"/>
      <w:bookmarkEnd w:id="67"/>
      <w:bookmarkEnd w:id="68"/>
      <w:bookmarkEnd w:id="69"/>
    </w:p>
    <w:p w14:paraId="0B9E60C7" w14:textId="64BCFD87" w:rsidR="00FB1981" w:rsidRPr="00D223C8" w:rsidRDefault="00FB1981" w:rsidP="00D223C8">
      <w:pPr>
        <w:jc w:val="center"/>
        <w:rPr>
          <w:b/>
          <w:i/>
        </w:rPr>
      </w:pPr>
      <w:r w:rsidRPr="00FB1981">
        <w:rPr>
          <w:b/>
          <w:i/>
        </w:rPr>
        <w:t>(FY 201</w:t>
      </w:r>
      <w:r w:rsidR="00DB606B">
        <w:rPr>
          <w:b/>
          <w:i/>
        </w:rPr>
        <w:t>7</w:t>
      </w:r>
      <w:r w:rsidRPr="00FB1981">
        <w:rPr>
          <w:b/>
          <w:i/>
        </w:rPr>
        <w:t>: $</w:t>
      </w:r>
      <w:r w:rsidR="00731FCA">
        <w:rPr>
          <w:b/>
          <w:i/>
        </w:rPr>
        <w:t>7,</w:t>
      </w:r>
      <w:r w:rsidR="00FB2397">
        <w:rPr>
          <w:b/>
          <w:i/>
        </w:rPr>
        <w:t>985</w:t>
      </w:r>
      <w:r w:rsidR="00731FCA">
        <w:rPr>
          <w:b/>
          <w:i/>
        </w:rPr>
        <w:t>,000</w:t>
      </w:r>
      <w:r w:rsidR="00D223C8">
        <w:rPr>
          <w:b/>
          <w:i/>
        </w:rPr>
        <w:t>)</w:t>
      </w:r>
    </w:p>
    <w:p w14:paraId="21CE855B" w14:textId="77777777" w:rsidR="00D223C8" w:rsidRPr="00FB1981" w:rsidRDefault="00D223C8" w:rsidP="00D223C8">
      <w:pPr>
        <w:tabs>
          <w:tab w:val="left" w:pos="9360"/>
        </w:tabs>
        <w:contextualSpacing/>
        <w:jc w:val="both"/>
        <w:rPr>
          <w:i/>
          <w:iCs/>
        </w:rPr>
      </w:pPr>
    </w:p>
    <w:p w14:paraId="0ADEB759" w14:textId="48C1AB83" w:rsidR="00D223C8" w:rsidRDefault="00D223C8" w:rsidP="00D223C8">
      <w:pPr>
        <w:jc w:val="both"/>
      </w:pPr>
      <w:r w:rsidRPr="00FB1981">
        <w:t>The Prevention of Elder Abuse and Neglect program (Title VII, Section 721) provides state</w:t>
      </w:r>
      <w:r>
        <w:t>s with</w:t>
      </w:r>
      <w:r w:rsidRPr="00FB1981">
        <w:t xml:space="preserve"> formula grants for training and education, promoting public awareness of elder </w:t>
      </w:r>
      <w:r>
        <w:t>maltreatment</w:t>
      </w:r>
      <w:r w:rsidRPr="00FB1981">
        <w:t>, and supports state and local elder abuse prevention coalition</w:t>
      </w:r>
      <w:r w:rsidR="00466D93">
        <w:t xml:space="preserve">s and multi-disciplinary teams.  </w:t>
      </w:r>
      <w:r w:rsidRPr="00FB1981">
        <w:t>These activities are important elements of AoA’s e</w:t>
      </w:r>
      <w:r w:rsidR="00466D93">
        <w:t xml:space="preserve">nhanced focus on elder justice.  </w:t>
      </w:r>
      <w:r w:rsidRPr="00FB1981">
        <w:t>Th</w:t>
      </w:r>
      <w:r>
        <w:t>is</w:t>
      </w:r>
      <w:r w:rsidRPr="00FB1981">
        <w:t xml:space="preserve"> program coordinates activities with state and local adult protective services programs (over half of which are directly administered by </w:t>
      </w:r>
      <w:r>
        <w:t>s</w:t>
      </w:r>
      <w:r w:rsidRPr="00FB1981">
        <w:t xml:space="preserve">tate </w:t>
      </w:r>
      <w:r>
        <w:t>u</w:t>
      </w:r>
      <w:r w:rsidRPr="00FB1981">
        <w:t xml:space="preserve">nits on </w:t>
      </w:r>
      <w:r>
        <w:t>a</w:t>
      </w:r>
      <w:r w:rsidRPr="00FB1981">
        <w:t xml:space="preserve">ging) and other professionals who work to address issues of elder </w:t>
      </w:r>
      <w:r>
        <w:t>maltreatment</w:t>
      </w:r>
      <w:r w:rsidR="00466D93">
        <w:t xml:space="preserve"> and elder justice.  </w:t>
      </w:r>
      <w:r w:rsidRPr="00FB1981">
        <w:t>The importance of these services at the state and local level is demonstrated by states significantly leverag</w:t>
      </w:r>
      <w:r>
        <w:t>ing</w:t>
      </w:r>
      <w:r w:rsidRPr="00FB1981">
        <w:t xml:space="preserve"> OAA funds to obtain </w:t>
      </w:r>
      <w:r>
        <w:t>additional</w:t>
      </w:r>
      <w:r w:rsidRPr="00FB1981">
        <w:t xml:space="preserve"> funding for these activities</w:t>
      </w:r>
      <w:r>
        <w:t xml:space="preserve">. </w:t>
      </w:r>
    </w:p>
    <w:p w14:paraId="1D2C8928" w14:textId="77777777" w:rsidR="00D223C8" w:rsidRDefault="00D223C8" w:rsidP="00D223C8">
      <w:pPr>
        <w:jc w:val="both"/>
      </w:pPr>
    </w:p>
    <w:p w14:paraId="5096835F" w14:textId="69959978" w:rsidR="00D223C8" w:rsidRPr="000F22E6" w:rsidRDefault="00D223C8" w:rsidP="00D223C8">
      <w:pPr>
        <w:jc w:val="both"/>
      </w:pPr>
      <w:r w:rsidRPr="000F22E6">
        <w:t>Elder abuse is a substantial public health and human rights problem</w:t>
      </w:r>
      <w:r w:rsidR="00466D93">
        <w:t xml:space="preserve">.  </w:t>
      </w:r>
      <w:r w:rsidRPr="000F22E6">
        <w:t>Available prevalence data suggest that at least 10 percent (or 5 million) of older Americans experience abuse each year, and many of them exp</w:t>
      </w:r>
      <w:r>
        <w:t>erience it in multiple forms.</w:t>
      </w:r>
      <w:r>
        <w:rPr>
          <w:rStyle w:val="FootnoteReference"/>
        </w:rPr>
        <w:footnoteReference w:id="104"/>
      </w:r>
      <w:r>
        <w:t xml:space="preserve">  </w:t>
      </w:r>
      <w:r w:rsidRPr="000F22E6">
        <w:t>In addition, data from Adult Protective Services (APS) agencies show an increasing t</w:t>
      </w:r>
      <w:r>
        <w:t>rend in reports of elder abuse,</w:t>
      </w:r>
      <w:r>
        <w:rPr>
          <w:rStyle w:val="FootnoteReference"/>
        </w:rPr>
        <w:footnoteReference w:id="105"/>
      </w:r>
      <w:r w:rsidRPr="000F22E6">
        <w:t xml:space="preserve"> despite estimates that as few as 1 i</w:t>
      </w:r>
      <w:r>
        <w:t>n 14 cases of elder abuse,</w:t>
      </w:r>
      <w:r>
        <w:rPr>
          <w:rStyle w:val="FootnoteReference"/>
        </w:rPr>
        <w:footnoteReference w:id="106"/>
      </w:r>
      <w:r>
        <w:t xml:space="preserve"> </w:t>
      </w:r>
      <w:r w:rsidRPr="000F22E6">
        <w:t>and 1 in 44 cases of financial exploitation, come to the attention of authorities.</w:t>
      </w:r>
    </w:p>
    <w:p w14:paraId="393AA40F" w14:textId="77777777" w:rsidR="00D223C8" w:rsidRDefault="00D223C8" w:rsidP="00D223C8">
      <w:pPr>
        <w:jc w:val="both"/>
      </w:pPr>
    </w:p>
    <w:p w14:paraId="19B4B768" w14:textId="39296927" w:rsidR="00D223C8" w:rsidRPr="00EE60F1" w:rsidRDefault="00D223C8" w:rsidP="00D223C8">
      <w:pPr>
        <w:jc w:val="both"/>
      </w:pPr>
      <w:r w:rsidRPr="00EE60F1">
        <w:t>Elder abuse results in a wide range of negative health impacts, including the increased likelihood of injury and chronic health conditions, both of which significantly i</w:t>
      </w:r>
      <w:r w:rsidR="00466D93">
        <w:t xml:space="preserve">mpact health care expenditures.  </w:t>
      </w:r>
      <w:r w:rsidRPr="00EE60F1">
        <w:rPr>
          <w:color w:val="000000"/>
        </w:rPr>
        <w:t>On average, older people have more chronic diseases and access the health care system at high</w:t>
      </w:r>
      <w:r w:rsidR="00466D93">
        <w:rPr>
          <w:color w:val="000000"/>
        </w:rPr>
        <w:t xml:space="preserve">er rates than other age groups.  </w:t>
      </w:r>
      <w:r w:rsidRPr="00EE60F1">
        <w:rPr>
          <w:color w:val="000000"/>
        </w:rPr>
        <w:t>Older adults who are victims of violence have additional health care problems and higher premature mortality rates than non-victims.</w:t>
      </w:r>
      <w:r w:rsidR="00466D93">
        <w:rPr>
          <w:color w:val="000000"/>
        </w:rPr>
        <w:t xml:space="preserve">  </w:t>
      </w:r>
      <w:r w:rsidRPr="00EE60F1">
        <w:rPr>
          <w:color w:val="000000"/>
        </w:rPr>
        <w:t>Older victims of even modest forms of abuse have dramatically (300 percent) higher morbidity and mortality rates than non-abused older people.</w:t>
      </w:r>
      <w:bookmarkStart w:id="70" w:name="_ftnref1"/>
      <w:r w:rsidRPr="00EE60F1">
        <w:rPr>
          <w:rStyle w:val="FootnoteReference"/>
          <w:rFonts w:eastAsia="Calibri"/>
          <w:color w:val="000000"/>
        </w:rPr>
        <w:footnoteReference w:id="107"/>
      </w:r>
      <w:hyperlink r:id="rId19" w:anchor="_ftn1" w:tgtFrame="_blank" w:history="1"/>
      <w:bookmarkEnd w:id="70"/>
      <w:r w:rsidRPr="00EE60F1">
        <w:rPr>
          <w:color w:val="000000"/>
        </w:rPr>
        <w:t xml:space="preserve"> </w:t>
      </w:r>
      <w:r w:rsidRPr="00EE60F1">
        <w:t>Research has also demonstrated that older adults who are victims of violence have more health care problems than other older adults, including increased bone or joint problems, digestive problems, depression or anxiety, chronic pain, high blood pressure, and heart problems.</w:t>
      </w:r>
      <w:r w:rsidRPr="00EE60F1">
        <w:rPr>
          <w:rStyle w:val="FootnoteReference"/>
          <w:rFonts w:eastAsia="Calibri"/>
        </w:rPr>
        <w:footnoteReference w:id="108"/>
      </w:r>
      <w:r w:rsidRPr="00EE60F1">
        <w:t xml:space="preserve"> </w:t>
      </w:r>
    </w:p>
    <w:p w14:paraId="44ECD018" w14:textId="77777777" w:rsidR="00D223C8" w:rsidRPr="00EE60F1" w:rsidRDefault="00D223C8" w:rsidP="00D223C8"/>
    <w:p w14:paraId="4BF81537" w14:textId="23F7B445" w:rsidR="00D223C8" w:rsidRPr="00EE60F1" w:rsidRDefault="00D223C8" w:rsidP="00D223C8">
      <w:pPr>
        <w:jc w:val="both"/>
        <w:rPr>
          <w:color w:val="000000"/>
        </w:rPr>
      </w:pPr>
      <w:r w:rsidRPr="00EE60F1">
        <w:t>Victims of elder abuse also have significantly higher levels of psychological distress and lower perceived self-efficacy than older adults who have not been victimized.</w:t>
      </w:r>
      <w:r w:rsidRPr="00EE60F1">
        <w:rPr>
          <w:rStyle w:val="FootnoteReference"/>
          <w:rFonts w:eastAsia="Calibri"/>
        </w:rPr>
        <w:footnoteReference w:id="109"/>
      </w:r>
      <w:r w:rsidRPr="00EE60F1">
        <w:t xml:space="preserve"> For older victims of sexual violence the negative health impacts of </w:t>
      </w:r>
      <w:r w:rsidR="00DC1CB4">
        <w:t xml:space="preserve">abuse are even more pronounced.  </w:t>
      </w:r>
      <w:r w:rsidRPr="00EE60F1">
        <w:t xml:space="preserve">One study found that 12.7 percent of older women in the study group reported a history of sexual assault, all of whom experienced significantly increased risks </w:t>
      </w:r>
      <w:r w:rsidR="00DC1CB4">
        <w:t xml:space="preserve">of breast cancer and arthritis.  </w:t>
      </w:r>
      <w:r w:rsidRPr="00EE60F1">
        <w:t>Also, those who experienced repeated violence were up to four times more likely to develop these chronic conditions than women who were never abused.</w:t>
      </w:r>
      <w:r w:rsidRPr="00EE60F1">
        <w:rPr>
          <w:rStyle w:val="FootnoteReference"/>
          <w:rFonts w:eastAsia="Calibri"/>
        </w:rPr>
        <w:footnoteReference w:id="110"/>
      </w:r>
    </w:p>
    <w:p w14:paraId="0752B96C" w14:textId="77777777" w:rsidR="00D223C8" w:rsidRDefault="00D223C8" w:rsidP="00D223C8">
      <w:pPr>
        <w:jc w:val="both"/>
      </w:pPr>
    </w:p>
    <w:p w14:paraId="0BA020EE" w14:textId="519451E0" w:rsidR="00D223C8" w:rsidRPr="000A5FBC" w:rsidRDefault="00D223C8" w:rsidP="00D223C8">
      <w:r w:rsidRPr="00FB1981">
        <w:t>The Prevention of Elder Abuse and Neglect program demonstrates AoA’s ongoing commitment to protecting the rights of vulnerable seniors and promot</w:t>
      </w:r>
      <w:r w:rsidR="00DC1CB4">
        <w:t xml:space="preserve">ing their dignity and autonomy.  </w:t>
      </w:r>
      <w:r w:rsidRPr="00FB1981">
        <w:t>Through education efforts, exposing problems that would otherwise be hidden from view, and providing a voice for those who cannot act for themselves, the program helps ensure that all older Americans are able to age with dignity in a safe environment</w:t>
      </w:r>
      <w:r w:rsidR="00DC1CB4">
        <w:t xml:space="preserve">.  </w:t>
      </w:r>
      <w:r w:rsidRPr="000A5FBC">
        <w:t>Recent examples of state elder abuse prevention activities include:</w:t>
      </w:r>
    </w:p>
    <w:p w14:paraId="191C02E2" w14:textId="77777777" w:rsidR="00D223C8" w:rsidRPr="00FB1981" w:rsidRDefault="00D223C8" w:rsidP="00D223C8">
      <w:pPr>
        <w:jc w:val="both"/>
      </w:pPr>
    </w:p>
    <w:p w14:paraId="62A76952" w14:textId="10151AAB" w:rsidR="00D223C8" w:rsidRPr="000A5FBC" w:rsidRDefault="00D223C8" w:rsidP="0090625D">
      <w:pPr>
        <w:pStyle w:val="ListParagraph"/>
        <w:numPr>
          <w:ilvl w:val="0"/>
          <w:numId w:val="19"/>
        </w:numPr>
        <w:jc w:val="both"/>
        <w:rPr>
          <w:iCs/>
        </w:rPr>
      </w:pPr>
      <w:r w:rsidRPr="000A5FBC">
        <w:rPr>
          <w:iCs/>
        </w:rPr>
        <w:t>The AAA network in Massachusetts builds and promotes partnerships with community colleges, long-term care facilities, Protective Services agencies, law enforcement organizations, and other area community centers in order to assure that elder rights are prioritized across the state</w:t>
      </w:r>
      <w:r w:rsidR="003C2338">
        <w:rPr>
          <w:iCs/>
        </w:rPr>
        <w:t xml:space="preserve">.  </w:t>
      </w:r>
      <w:r w:rsidRPr="000A5FBC">
        <w:rPr>
          <w:iCs/>
        </w:rPr>
        <w:t>Presentations across multiple organizations are a popular method for disseminating available services and programs</w:t>
      </w:r>
      <w:r w:rsidR="003C2338">
        <w:rPr>
          <w:iCs/>
        </w:rPr>
        <w:t xml:space="preserve">.  </w:t>
      </w:r>
      <w:r w:rsidRPr="000A5FBC">
        <w:rPr>
          <w:iCs/>
        </w:rPr>
        <w:t>Advocating for elder rights includes commitments from many participants</w:t>
      </w:r>
      <w:r w:rsidR="00C63534">
        <w:rPr>
          <w:iCs/>
        </w:rPr>
        <w:t>,</w:t>
      </w:r>
      <w:r w:rsidRPr="000A5FBC">
        <w:rPr>
          <w:iCs/>
        </w:rPr>
        <w:t xml:space="preserve"> including support groups, money management programs, Long Term Care Ombudsman programs, financial institutions, and housing advocacy groups</w:t>
      </w:r>
      <w:r w:rsidR="003C2338">
        <w:rPr>
          <w:iCs/>
        </w:rPr>
        <w:t xml:space="preserve">.  </w:t>
      </w:r>
      <w:r w:rsidRPr="000A5FBC">
        <w:rPr>
          <w:iCs/>
        </w:rPr>
        <w:t>In building strong partnerships, the AAAs and community organizations join forces to advocate for and ensure that elders have necessary information available to access community resources for services and care decisions.</w:t>
      </w:r>
    </w:p>
    <w:p w14:paraId="4B806B18" w14:textId="77777777" w:rsidR="00D223C8" w:rsidRDefault="00D223C8" w:rsidP="00D223C8">
      <w:pPr>
        <w:jc w:val="both"/>
        <w:rPr>
          <w:iCs/>
        </w:rPr>
      </w:pPr>
    </w:p>
    <w:p w14:paraId="18995EAC" w14:textId="5079FA62" w:rsidR="00D223C8" w:rsidRPr="000A5FBC" w:rsidRDefault="00D223C8" w:rsidP="0090625D">
      <w:pPr>
        <w:pStyle w:val="ListParagraph"/>
        <w:numPr>
          <w:ilvl w:val="0"/>
          <w:numId w:val="19"/>
        </w:numPr>
        <w:jc w:val="both"/>
        <w:rPr>
          <w:iCs/>
        </w:rPr>
      </w:pPr>
      <w:r w:rsidRPr="000A5FBC">
        <w:rPr>
          <w:iCs/>
        </w:rPr>
        <w:t>North Dakota recognized World Elder Abuse Awareness Day by presenting and participating in activities at Elder Abuse Awareness Day Forum sponsored by the Standing Rock Sioux Tribe Elderly Protection Services Program in conjunction with ACL/National Indigenous Elder Justice Initiative</w:t>
      </w:r>
      <w:r w:rsidR="00D43573">
        <w:rPr>
          <w:iCs/>
        </w:rPr>
        <w:t xml:space="preserve">.  </w:t>
      </w:r>
      <w:r w:rsidRPr="000A5FBC">
        <w:rPr>
          <w:iCs/>
        </w:rPr>
        <w:t xml:space="preserve">The Division also organized an event in Mandan in conjunction with the summer concert series to share information about how people can stay safe, avoid </w:t>
      </w:r>
      <w:r w:rsidR="00C63534">
        <w:rPr>
          <w:iCs/>
        </w:rPr>
        <w:t>scams</w:t>
      </w:r>
      <w:r w:rsidRPr="000A5FBC">
        <w:rPr>
          <w:iCs/>
        </w:rPr>
        <w:t>, and access elder abuse and neglect intervention services.</w:t>
      </w:r>
    </w:p>
    <w:p w14:paraId="4ED1B5FD" w14:textId="77777777" w:rsidR="00D223C8" w:rsidRDefault="00D223C8" w:rsidP="00D223C8">
      <w:pPr>
        <w:jc w:val="both"/>
        <w:rPr>
          <w:iCs/>
        </w:rPr>
      </w:pPr>
    </w:p>
    <w:p w14:paraId="5E3F8C04" w14:textId="6AA624D7" w:rsidR="00D223C8" w:rsidRPr="000A5FBC" w:rsidRDefault="00D223C8" w:rsidP="0090625D">
      <w:pPr>
        <w:pStyle w:val="ListParagraph"/>
        <w:numPr>
          <w:ilvl w:val="0"/>
          <w:numId w:val="19"/>
        </w:numPr>
        <w:jc w:val="both"/>
        <w:rPr>
          <w:iCs/>
        </w:rPr>
      </w:pPr>
      <w:r w:rsidRPr="000A5FBC">
        <w:rPr>
          <w:iCs/>
        </w:rPr>
        <w:t>The South Dakota SUA uses a portion of OAA 721 funds to attend the National Adult Protective Services Association (NAPSA) annual conference</w:t>
      </w:r>
      <w:r w:rsidR="00D43573">
        <w:rPr>
          <w:iCs/>
        </w:rPr>
        <w:t xml:space="preserve">.  </w:t>
      </w:r>
      <w:r w:rsidRPr="000A5FBC">
        <w:rPr>
          <w:iCs/>
        </w:rPr>
        <w:t>The topics addressed at the NAPSA conference are consistent with the training subjects contained in Section 721</w:t>
      </w:r>
      <w:r w:rsidR="001B2DC3">
        <w:rPr>
          <w:iCs/>
        </w:rPr>
        <w:t xml:space="preserve">. </w:t>
      </w:r>
      <w:r w:rsidRPr="000A5FBC">
        <w:rPr>
          <w:iCs/>
        </w:rPr>
        <w:t xml:space="preserve">Also, in support of adult protective service training options, OAA 721 funds pay for the </w:t>
      </w:r>
      <w:hyperlink r:id="rId20" w:history="1">
        <w:r w:rsidRPr="000A5FBC">
          <w:rPr>
            <w:rStyle w:val="Hyperlink"/>
          </w:rPr>
          <w:t>NAPSA Certificate Program</w:t>
        </w:r>
      </w:hyperlink>
      <w:r w:rsidRPr="000A5FBC">
        <w:rPr>
          <w:iCs/>
        </w:rPr>
        <w:t xml:space="preserve"> for the SUA staff and future APS specialists.</w:t>
      </w:r>
    </w:p>
    <w:p w14:paraId="1EB91F07" w14:textId="77777777" w:rsidR="00FB1981" w:rsidRPr="00FB1981" w:rsidRDefault="00FB1981" w:rsidP="00FB1981"/>
    <w:p w14:paraId="3EE80C03" w14:textId="77777777" w:rsidR="00FB1981" w:rsidRPr="008539F7" w:rsidRDefault="00FB1981" w:rsidP="00FB1981">
      <w:pPr>
        <w:keepNext/>
        <w:contextualSpacing/>
        <w:rPr>
          <w:b/>
          <w:spacing w:val="-4"/>
          <w:u w:val="single"/>
        </w:rPr>
      </w:pPr>
      <w:r w:rsidRPr="008539F7">
        <w:rPr>
          <w:b/>
          <w:spacing w:val="-4"/>
          <w:u w:val="single"/>
        </w:rPr>
        <w:t>National Center on Elder Abuse</w:t>
      </w:r>
    </w:p>
    <w:p w14:paraId="672198F8" w14:textId="77777777" w:rsidR="00FB1981" w:rsidRPr="00FB1981" w:rsidRDefault="00FB1981" w:rsidP="00FB1981">
      <w:pPr>
        <w:contextualSpacing/>
        <w:jc w:val="center"/>
        <w:rPr>
          <w:b/>
          <w:spacing w:val="-4"/>
          <w:sz w:val="28"/>
          <w:szCs w:val="28"/>
        </w:rPr>
      </w:pPr>
    </w:p>
    <w:p w14:paraId="0303B3EA" w14:textId="13A6E63C" w:rsidR="00D223C8" w:rsidRPr="00FB1981" w:rsidRDefault="00D223C8" w:rsidP="00D223C8">
      <w:pPr>
        <w:contextualSpacing/>
        <w:jc w:val="both"/>
        <w:rPr>
          <w:spacing w:val="-4"/>
        </w:rPr>
      </w:pPr>
      <w:r w:rsidRPr="00FB1981">
        <w:rPr>
          <w:spacing w:val="-4"/>
        </w:rPr>
        <w:lastRenderedPageBreak/>
        <w:t xml:space="preserve">To support and enhance the activities of state and local programs to prevent </w:t>
      </w:r>
      <w:r>
        <w:rPr>
          <w:spacing w:val="-4"/>
        </w:rPr>
        <w:t>e</w:t>
      </w:r>
      <w:r w:rsidRPr="00FB1981">
        <w:rPr>
          <w:spacing w:val="-4"/>
        </w:rPr>
        <w:t xml:space="preserve">lder </w:t>
      </w:r>
      <w:r>
        <w:rPr>
          <w:spacing w:val="-4"/>
        </w:rPr>
        <w:t>a</w:t>
      </w:r>
      <w:r w:rsidRPr="00FB1981">
        <w:rPr>
          <w:spacing w:val="-4"/>
        </w:rPr>
        <w:t>buse,</w:t>
      </w:r>
      <w:r>
        <w:rPr>
          <w:spacing w:val="-4"/>
        </w:rPr>
        <w:t xml:space="preserve"> n</w:t>
      </w:r>
      <w:r w:rsidRPr="00FB1981">
        <w:rPr>
          <w:spacing w:val="-4"/>
        </w:rPr>
        <w:t xml:space="preserve">eglect, and </w:t>
      </w:r>
      <w:r>
        <w:rPr>
          <w:spacing w:val="-4"/>
        </w:rPr>
        <w:t>e</w:t>
      </w:r>
      <w:r w:rsidRPr="00FB1981">
        <w:rPr>
          <w:spacing w:val="-4"/>
        </w:rPr>
        <w:t>xploitation, AoA funds the National Center on Elder Abuse (NCEA)</w:t>
      </w:r>
      <w:r>
        <w:rPr>
          <w:spacing w:val="-4"/>
        </w:rPr>
        <w:t xml:space="preserve">. </w:t>
      </w:r>
      <w:r w:rsidRPr="00FB1981">
        <w:rPr>
          <w:spacing w:val="-4"/>
        </w:rPr>
        <w:t>NCEA disseminates information to professionals and the public and provides technical assistance and training to states and</w:t>
      </w:r>
      <w:r w:rsidR="00D43573">
        <w:rPr>
          <w:spacing w:val="-4"/>
        </w:rPr>
        <w:t xml:space="preserve"> community-based organizations.  </w:t>
      </w:r>
      <w:r w:rsidRPr="00FB1981">
        <w:rPr>
          <w:spacing w:val="-4"/>
        </w:rPr>
        <w:t>The NCEA makes available news and resources</w:t>
      </w:r>
      <w:r>
        <w:rPr>
          <w:spacing w:val="-4"/>
        </w:rPr>
        <w:t>,</w:t>
      </w:r>
      <w:r w:rsidRPr="00FB1981">
        <w:rPr>
          <w:spacing w:val="-4"/>
        </w:rPr>
        <w:t xml:space="preserve"> collaborates on research</w:t>
      </w:r>
      <w:r>
        <w:rPr>
          <w:spacing w:val="-4"/>
        </w:rPr>
        <w:t>,</w:t>
      </w:r>
      <w:r w:rsidRPr="00FB1981">
        <w:rPr>
          <w:spacing w:val="-4"/>
        </w:rPr>
        <w:t xml:space="preserve"> provides consultation, education, and training</w:t>
      </w:r>
      <w:r>
        <w:rPr>
          <w:spacing w:val="-4"/>
        </w:rPr>
        <w:t>,</w:t>
      </w:r>
      <w:r w:rsidRPr="00FB1981">
        <w:rPr>
          <w:spacing w:val="-4"/>
        </w:rPr>
        <w:t xml:space="preserve"> identifies and provides information about promising practices and interventions</w:t>
      </w:r>
      <w:r>
        <w:rPr>
          <w:spacing w:val="-4"/>
        </w:rPr>
        <w:t>,</w:t>
      </w:r>
      <w:r w:rsidRPr="00FB1981">
        <w:rPr>
          <w:spacing w:val="-4"/>
        </w:rPr>
        <w:t xml:space="preserve"> answers inquiries and requests for information</w:t>
      </w:r>
      <w:r>
        <w:rPr>
          <w:spacing w:val="-4"/>
        </w:rPr>
        <w:t>,</w:t>
      </w:r>
      <w:r w:rsidRPr="00FB1981">
        <w:rPr>
          <w:spacing w:val="-4"/>
        </w:rPr>
        <w:t xml:space="preserve"> operates a listserv forum for professionals</w:t>
      </w:r>
      <w:r>
        <w:rPr>
          <w:spacing w:val="-4"/>
        </w:rPr>
        <w:t>,</w:t>
      </w:r>
      <w:r w:rsidRPr="00FB1981">
        <w:rPr>
          <w:spacing w:val="-4"/>
        </w:rPr>
        <w:t xml:space="preserve"> and advises on </w:t>
      </w:r>
      <w:r w:rsidR="00D43573">
        <w:rPr>
          <w:spacing w:val="-4"/>
        </w:rPr>
        <w:t xml:space="preserve">program and policy development.  </w:t>
      </w:r>
      <w:r w:rsidRPr="00FB1981">
        <w:rPr>
          <w:spacing w:val="-4"/>
        </w:rPr>
        <w:t xml:space="preserve">NCEA also facilitates the exchange of </w:t>
      </w:r>
      <w:r>
        <w:rPr>
          <w:spacing w:val="-4"/>
        </w:rPr>
        <w:t xml:space="preserve">promising practices and </w:t>
      </w:r>
      <w:r w:rsidRPr="00FB1981">
        <w:rPr>
          <w:spacing w:val="-4"/>
        </w:rPr>
        <w:t>strategi</w:t>
      </w:r>
      <w:r>
        <w:rPr>
          <w:spacing w:val="-4"/>
        </w:rPr>
        <w:t xml:space="preserve">c approaches </w:t>
      </w:r>
      <w:r w:rsidRPr="00FB1981">
        <w:rPr>
          <w:spacing w:val="-4"/>
        </w:rPr>
        <w:t xml:space="preserve">for </w:t>
      </w:r>
      <w:r>
        <w:rPr>
          <w:spacing w:val="-4"/>
        </w:rPr>
        <w:t>reveal</w:t>
      </w:r>
      <w:r w:rsidRPr="00FB1981">
        <w:rPr>
          <w:spacing w:val="-4"/>
        </w:rPr>
        <w:t>ing and prosecuting fraud in areas</w:t>
      </w:r>
      <w:r>
        <w:rPr>
          <w:spacing w:val="-4"/>
        </w:rPr>
        <w:t>,</w:t>
      </w:r>
      <w:r w:rsidRPr="00FB1981">
        <w:rPr>
          <w:spacing w:val="-4"/>
        </w:rPr>
        <w:t xml:space="preserve"> such as telemarketing and sweepstakes scams</w:t>
      </w:r>
      <w:r>
        <w:rPr>
          <w:spacing w:val="-4"/>
        </w:rPr>
        <w:t xml:space="preserve"> that target </w:t>
      </w:r>
      <w:r w:rsidR="00CA672B">
        <w:rPr>
          <w:spacing w:val="-4"/>
        </w:rPr>
        <w:t>older adults</w:t>
      </w:r>
      <w:r w:rsidRPr="00FB1981">
        <w:rPr>
          <w:spacing w:val="-4"/>
        </w:rPr>
        <w:t xml:space="preserve">. </w:t>
      </w:r>
    </w:p>
    <w:p w14:paraId="4019CDBB" w14:textId="77777777" w:rsidR="00D223C8" w:rsidRDefault="00D223C8" w:rsidP="00D223C8">
      <w:pPr>
        <w:contextualSpacing/>
        <w:jc w:val="both"/>
        <w:rPr>
          <w:spacing w:val="-4"/>
        </w:rPr>
      </w:pPr>
    </w:p>
    <w:p w14:paraId="38F661D8" w14:textId="77777777" w:rsidR="00D223C8" w:rsidRDefault="00D223C8" w:rsidP="00D223C8">
      <w:pPr>
        <w:contextualSpacing/>
        <w:jc w:val="both"/>
        <w:rPr>
          <w:spacing w:val="-4"/>
        </w:rPr>
      </w:pPr>
      <w:r w:rsidRPr="00FB1981">
        <w:rPr>
          <w:spacing w:val="-4"/>
        </w:rPr>
        <w:t>In FY 201</w:t>
      </w:r>
      <w:r>
        <w:rPr>
          <w:spacing w:val="-4"/>
        </w:rPr>
        <w:t>7</w:t>
      </w:r>
      <w:r w:rsidRPr="00FB1981">
        <w:rPr>
          <w:spacing w:val="-4"/>
        </w:rPr>
        <w:t>, NCEA</w:t>
      </w:r>
      <w:r>
        <w:rPr>
          <w:spacing w:val="-4"/>
        </w:rPr>
        <w:t xml:space="preserve"> accomplishments included</w:t>
      </w:r>
      <w:r w:rsidRPr="00FB1981">
        <w:rPr>
          <w:spacing w:val="-4"/>
        </w:rPr>
        <w:t>:</w:t>
      </w:r>
    </w:p>
    <w:p w14:paraId="5F145CF4" w14:textId="77777777" w:rsidR="00D223C8" w:rsidRDefault="00D223C8" w:rsidP="00D223C8">
      <w:pPr>
        <w:contextualSpacing/>
        <w:jc w:val="both"/>
        <w:rPr>
          <w:spacing w:val="-4"/>
        </w:rPr>
      </w:pPr>
    </w:p>
    <w:p w14:paraId="2B3EF367" w14:textId="1C99971D" w:rsidR="00D223C8" w:rsidRPr="00731FCA" w:rsidRDefault="00D223C8" w:rsidP="000B38B2">
      <w:pPr>
        <w:numPr>
          <w:ilvl w:val="0"/>
          <w:numId w:val="8"/>
        </w:numPr>
        <w:spacing w:after="200"/>
        <w:contextualSpacing/>
        <w:jc w:val="both"/>
        <w:rPr>
          <w:rFonts w:eastAsia="Arial"/>
        </w:rPr>
      </w:pPr>
      <w:r>
        <w:rPr>
          <w:rFonts w:eastAsia="Arial"/>
        </w:rPr>
        <w:t>NCEA website was</w:t>
      </w:r>
      <w:r w:rsidRPr="00731FCA">
        <w:rPr>
          <w:rFonts w:eastAsia="Arial"/>
        </w:rPr>
        <w:t xml:space="preserve"> a v</w:t>
      </w:r>
      <w:r>
        <w:rPr>
          <w:rFonts w:eastAsia="Arial"/>
        </w:rPr>
        <w:t xml:space="preserve">alued </w:t>
      </w:r>
      <w:r w:rsidRPr="00731FCA">
        <w:rPr>
          <w:rFonts w:eastAsia="Arial"/>
        </w:rPr>
        <w:t xml:space="preserve">resource on abuse, neglect, </w:t>
      </w:r>
      <w:r w:rsidR="00D43573">
        <w:rPr>
          <w:rFonts w:eastAsia="Arial"/>
        </w:rPr>
        <w:t xml:space="preserve">and exploitation for its users.  </w:t>
      </w:r>
      <w:r w:rsidRPr="00166E27">
        <w:rPr>
          <w:rFonts w:eastAsia="Arial"/>
        </w:rPr>
        <w:t>The NCEA websites reached 70,309 unique users</w:t>
      </w:r>
      <w:r w:rsidR="00CF0B24">
        <w:rPr>
          <w:rFonts w:eastAsia="Arial"/>
        </w:rPr>
        <w:t>,</w:t>
      </w:r>
      <w:r w:rsidRPr="00166E27">
        <w:rPr>
          <w:rFonts w:eastAsia="Arial"/>
        </w:rPr>
        <w:t xml:space="preserve"> tota</w:t>
      </w:r>
      <w:r w:rsidR="00CF0B24">
        <w:rPr>
          <w:rFonts w:eastAsia="Arial"/>
        </w:rPr>
        <w:t>ling</w:t>
      </w:r>
      <w:r w:rsidRPr="00166E27">
        <w:rPr>
          <w:rFonts w:eastAsia="Arial"/>
        </w:rPr>
        <w:t xml:space="preserve"> 194,614 page views. 83% of the visitors were new to the site with the remaining 17% previous visitors. 94.46% of the visitors to the site were from the United States</w:t>
      </w:r>
      <w:r>
        <w:rPr>
          <w:rFonts w:eastAsia="Arial"/>
        </w:rPr>
        <w:t>.</w:t>
      </w:r>
      <w:r w:rsidR="00D43573">
        <w:rPr>
          <w:rFonts w:eastAsia="Arial"/>
        </w:rPr>
        <w:t xml:space="preserve">  </w:t>
      </w:r>
      <w:r w:rsidRPr="00166E27">
        <w:rPr>
          <w:rFonts w:eastAsia="Arial"/>
        </w:rPr>
        <w:t xml:space="preserve">The inquiries trended as follows: </w:t>
      </w:r>
      <w:r>
        <w:rPr>
          <w:rFonts w:eastAsia="Arial"/>
        </w:rPr>
        <w:t>21%</w:t>
      </w:r>
      <w:r w:rsidRPr="00166E27">
        <w:rPr>
          <w:rFonts w:eastAsia="Arial"/>
        </w:rPr>
        <w:t xml:space="preserve"> </w:t>
      </w:r>
      <w:r>
        <w:rPr>
          <w:rFonts w:eastAsia="Arial"/>
        </w:rPr>
        <w:t>on</w:t>
      </w:r>
      <w:r w:rsidRPr="00166E27">
        <w:rPr>
          <w:rFonts w:eastAsia="Arial"/>
        </w:rPr>
        <w:t xml:space="preserve"> financial abuse, including </w:t>
      </w:r>
      <w:r>
        <w:rPr>
          <w:rFonts w:eastAsia="Arial"/>
        </w:rPr>
        <w:t>2%</w:t>
      </w:r>
      <w:r w:rsidRPr="00166E27">
        <w:rPr>
          <w:rFonts w:eastAsia="Arial"/>
        </w:rPr>
        <w:t xml:space="preserve"> on solicitation scams, and </w:t>
      </w:r>
      <w:r>
        <w:rPr>
          <w:rFonts w:eastAsia="Arial"/>
        </w:rPr>
        <w:t>5%</w:t>
      </w:r>
      <w:r w:rsidR="00D43573">
        <w:rPr>
          <w:rFonts w:eastAsia="Arial"/>
        </w:rPr>
        <w:t xml:space="preserve"> about emotional abuse.  </w:t>
      </w:r>
      <w:r w:rsidRPr="00166E27">
        <w:rPr>
          <w:rFonts w:eastAsia="Arial"/>
        </w:rPr>
        <w:t xml:space="preserve">While </w:t>
      </w:r>
      <w:r>
        <w:rPr>
          <w:rFonts w:eastAsia="Arial"/>
        </w:rPr>
        <w:t>17%</w:t>
      </w:r>
      <w:r w:rsidRPr="00166E27">
        <w:rPr>
          <w:rFonts w:eastAsia="Arial"/>
        </w:rPr>
        <w:t xml:space="preserve"> reported multiple forms of alleged abuse, 40</w:t>
      </w:r>
      <w:r>
        <w:rPr>
          <w:rFonts w:eastAsia="Arial"/>
        </w:rPr>
        <w:t xml:space="preserve">% </w:t>
      </w:r>
      <w:r w:rsidRPr="00166E27">
        <w:rPr>
          <w:rFonts w:eastAsia="Arial"/>
        </w:rPr>
        <w:t xml:space="preserve">were focused on only one type of abuse. </w:t>
      </w:r>
    </w:p>
    <w:p w14:paraId="290C8C70" w14:textId="77777777" w:rsidR="00D223C8" w:rsidRPr="00731FCA" w:rsidRDefault="00D223C8" w:rsidP="00D223C8">
      <w:pPr>
        <w:ind w:left="720"/>
        <w:contextualSpacing/>
        <w:jc w:val="both"/>
        <w:rPr>
          <w:rFonts w:eastAsia="Arial"/>
        </w:rPr>
      </w:pPr>
    </w:p>
    <w:p w14:paraId="61746C3E" w14:textId="3EF235E6" w:rsidR="00D223C8" w:rsidRDefault="00D223C8" w:rsidP="000B38B2">
      <w:pPr>
        <w:numPr>
          <w:ilvl w:val="0"/>
          <w:numId w:val="8"/>
        </w:numPr>
        <w:spacing w:after="200"/>
        <w:contextualSpacing/>
        <w:jc w:val="both"/>
        <w:rPr>
          <w:spacing w:val="-4"/>
        </w:rPr>
      </w:pPr>
      <w:r w:rsidRPr="00731FCA">
        <w:rPr>
          <w:spacing w:val="-4"/>
        </w:rPr>
        <w:t xml:space="preserve">The NCEA facilitated and moderated </w:t>
      </w:r>
      <w:r>
        <w:rPr>
          <w:spacing w:val="-4"/>
        </w:rPr>
        <w:t>378</w:t>
      </w:r>
      <w:r w:rsidRPr="00731FCA">
        <w:rPr>
          <w:spacing w:val="-4"/>
        </w:rPr>
        <w:t xml:space="preserve"> conversations on its listserv and actively engaged 2,</w:t>
      </w:r>
      <w:r>
        <w:rPr>
          <w:spacing w:val="-4"/>
        </w:rPr>
        <w:t>400</w:t>
      </w:r>
      <w:r w:rsidR="00D43573">
        <w:rPr>
          <w:spacing w:val="-4"/>
        </w:rPr>
        <w:t xml:space="preserve"> listserv participants.  </w:t>
      </w:r>
      <w:r w:rsidRPr="00731FCA">
        <w:rPr>
          <w:spacing w:val="-4"/>
        </w:rPr>
        <w:t xml:space="preserve">An average of </w:t>
      </w:r>
      <w:r>
        <w:rPr>
          <w:spacing w:val="-4"/>
        </w:rPr>
        <w:t>six</w:t>
      </w:r>
      <w:r w:rsidRPr="00731FCA">
        <w:rPr>
          <w:spacing w:val="-4"/>
        </w:rPr>
        <w:t xml:space="preserve"> topics was discussed each week on the listserv.</w:t>
      </w:r>
    </w:p>
    <w:p w14:paraId="4A697245" w14:textId="77777777" w:rsidR="00D223C8" w:rsidRPr="00166E27" w:rsidRDefault="00D223C8" w:rsidP="00D223C8">
      <w:pPr>
        <w:ind w:left="360"/>
        <w:rPr>
          <w:spacing w:val="-4"/>
        </w:rPr>
      </w:pPr>
    </w:p>
    <w:p w14:paraId="4A51A28C" w14:textId="6F52A424" w:rsidR="00D223C8" w:rsidRPr="00166E27" w:rsidRDefault="00D223C8" w:rsidP="000B38B2">
      <w:pPr>
        <w:numPr>
          <w:ilvl w:val="0"/>
          <w:numId w:val="8"/>
        </w:numPr>
        <w:spacing w:after="200"/>
        <w:contextualSpacing/>
        <w:jc w:val="both"/>
        <w:rPr>
          <w:spacing w:val="-4"/>
        </w:rPr>
      </w:pPr>
      <w:r w:rsidRPr="00166E27">
        <w:rPr>
          <w:spacing w:val="-4"/>
        </w:rPr>
        <w:t>The NCEA initiated a</w:t>
      </w:r>
      <w:r>
        <w:rPr>
          <w:spacing w:val="-4"/>
        </w:rPr>
        <w:t xml:space="preserve"> request for information via</w:t>
      </w:r>
      <w:r w:rsidRPr="00166E27">
        <w:rPr>
          <w:spacing w:val="-4"/>
        </w:rPr>
        <w:t xml:space="preserve"> the listserv to better understand the intersection of Elder</w:t>
      </w:r>
      <w:r w:rsidR="00D43573">
        <w:rPr>
          <w:spacing w:val="-4"/>
        </w:rPr>
        <w:t xml:space="preserve"> Abuse and the Opioid Epidemic.  </w:t>
      </w:r>
      <w:r w:rsidR="00CF0B24">
        <w:rPr>
          <w:spacing w:val="-4"/>
        </w:rPr>
        <w:t>Thirty</w:t>
      </w:r>
      <w:r w:rsidRPr="00166E27">
        <w:rPr>
          <w:spacing w:val="-4"/>
        </w:rPr>
        <w:t xml:space="preserve"> </w:t>
      </w:r>
      <w:r>
        <w:rPr>
          <w:spacing w:val="-4"/>
        </w:rPr>
        <w:t xml:space="preserve">professionals </w:t>
      </w:r>
      <w:r w:rsidRPr="00166E27">
        <w:rPr>
          <w:spacing w:val="-4"/>
        </w:rPr>
        <w:t>respond</w:t>
      </w:r>
      <w:r>
        <w:rPr>
          <w:spacing w:val="-4"/>
        </w:rPr>
        <w:t>ed from</w:t>
      </w:r>
      <w:r w:rsidRPr="00166E27">
        <w:rPr>
          <w:spacing w:val="-4"/>
        </w:rPr>
        <w:t xml:space="preserve"> APS </w:t>
      </w:r>
      <w:r>
        <w:rPr>
          <w:spacing w:val="-4"/>
        </w:rPr>
        <w:t>(</w:t>
      </w:r>
      <w:r w:rsidRPr="00166E27">
        <w:rPr>
          <w:spacing w:val="-4"/>
        </w:rPr>
        <w:t>44%</w:t>
      </w:r>
      <w:r>
        <w:rPr>
          <w:spacing w:val="-4"/>
        </w:rPr>
        <w:t>)</w:t>
      </w:r>
      <w:r w:rsidRPr="00166E27">
        <w:rPr>
          <w:spacing w:val="-4"/>
        </w:rPr>
        <w:t>, D</w:t>
      </w:r>
      <w:r>
        <w:rPr>
          <w:spacing w:val="-4"/>
        </w:rPr>
        <w:t>epartments of Health Services</w:t>
      </w:r>
      <w:r w:rsidRPr="00166E27">
        <w:rPr>
          <w:spacing w:val="-4"/>
        </w:rPr>
        <w:t xml:space="preserve"> </w:t>
      </w:r>
      <w:r>
        <w:rPr>
          <w:spacing w:val="-4"/>
        </w:rPr>
        <w:t>(</w:t>
      </w:r>
      <w:r w:rsidRPr="00166E27">
        <w:rPr>
          <w:spacing w:val="-4"/>
        </w:rPr>
        <w:t>16%</w:t>
      </w:r>
      <w:r>
        <w:rPr>
          <w:spacing w:val="-4"/>
        </w:rPr>
        <w:t>)</w:t>
      </w:r>
      <w:r w:rsidRPr="00166E27">
        <w:rPr>
          <w:spacing w:val="-4"/>
        </w:rPr>
        <w:t>, Department</w:t>
      </w:r>
      <w:r>
        <w:rPr>
          <w:spacing w:val="-4"/>
        </w:rPr>
        <w:t>s</w:t>
      </w:r>
      <w:r w:rsidRPr="00166E27">
        <w:rPr>
          <w:spacing w:val="-4"/>
        </w:rPr>
        <w:t xml:space="preserve"> of Social Services </w:t>
      </w:r>
      <w:r>
        <w:rPr>
          <w:spacing w:val="-4"/>
        </w:rPr>
        <w:t>(</w:t>
      </w:r>
      <w:r w:rsidRPr="00166E27">
        <w:rPr>
          <w:spacing w:val="-4"/>
        </w:rPr>
        <w:t>8%</w:t>
      </w:r>
      <w:r>
        <w:rPr>
          <w:spacing w:val="-4"/>
        </w:rPr>
        <w:t>),</w:t>
      </w:r>
      <w:r w:rsidRPr="00166E27">
        <w:rPr>
          <w:spacing w:val="-4"/>
        </w:rPr>
        <w:t xml:space="preserve"> and </w:t>
      </w:r>
      <w:r>
        <w:rPr>
          <w:spacing w:val="-4"/>
        </w:rPr>
        <w:t>o</w:t>
      </w:r>
      <w:r w:rsidRPr="00166E27">
        <w:rPr>
          <w:spacing w:val="-4"/>
        </w:rPr>
        <w:t>ther</w:t>
      </w:r>
      <w:r>
        <w:rPr>
          <w:spacing w:val="-4"/>
        </w:rPr>
        <w:t>/non-specified</w:t>
      </w:r>
      <w:r w:rsidRPr="00166E27">
        <w:rPr>
          <w:spacing w:val="-4"/>
        </w:rPr>
        <w:t xml:space="preserve"> </w:t>
      </w:r>
      <w:r>
        <w:rPr>
          <w:spacing w:val="-4"/>
        </w:rPr>
        <w:t>(</w:t>
      </w:r>
      <w:r w:rsidRPr="00166E27">
        <w:rPr>
          <w:spacing w:val="-4"/>
        </w:rPr>
        <w:t>32%</w:t>
      </w:r>
      <w:r>
        <w:rPr>
          <w:spacing w:val="-4"/>
        </w:rPr>
        <w:t>)</w:t>
      </w:r>
      <w:r w:rsidR="00D43573">
        <w:rPr>
          <w:spacing w:val="-4"/>
        </w:rPr>
        <w:t xml:space="preserve">.  </w:t>
      </w:r>
      <w:r w:rsidRPr="00166E27">
        <w:rPr>
          <w:spacing w:val="-4"/>
        </w:rPr>
        <w:t>Respondents affirmed the correlation between opioid addiction and resultant elder abuse and there has been a surge in reports</w:t>
      </w:r>
      <w:r w:rsidR="00D43573">
        <w:rPr>
          <w:spacing w:val="-4"/>
        </w:rPr>
        <w:t xml:space="preserve">.  </w:t>
      </w:r>
      <w:r w:rsidRPr="00166E27">
        <w:rPr>
          <w:spacing w:val="-4"/>
        </w:rPr>
        <w:t>It was also agreed that institutional mechanisms designed to strengthen older adults</w:t>
      </w:r>
      <w:r>
        <w:rPr>
          <w:spacing w:val="-4"/>
        </w:rPr>
        <w:t>’</w:t>
      </w:r>
      <w:r w:rsidRPr="00166E27">
        <w:rPr>
          <w:spacing w:val="-4"/>
        </w:rPr>
        <w:t xml:space="preserve"> support systems must be implemented.</w:t>
      </w:r>
    </w:p>
    <w:p w14:paraId="38D5BAC3" w14:textId="77777777" w:rsidR="00D223C8" w:rsidRPr="008539F7" w:rsidRDefault="00D223C8" w:rsidP="00D223C8">
      <w:pPr>
        <w:ind w:left="360"/>
        <w:rPr>
          <w:spacing w:val="-4"/>
        </w:rPr>
      </w:pPr>
    </w:p>
    <w:p w14:paraId="7A6AA5E0" w14:textId="37DBA677" w:rsidR="00D223C8" w:rsidRDefault="00D223C8" w:rsidP="000B38B2">
      <w:pPr>
        <w:numPr>
          <w:ilvl w:val="0"/>
          <w:numId w:val="8"/>
        </w:numPr>
        <w:spacing w:after="200"/>
        <w:contextualSpacing/>
        <w:jc w:val="both"/>
        <w:rPr>
          <w:spacing w:val="-4"/>
        </w:rPr>
      </w:pPr>
      <w:r>
        <w:rPr>
          <w:spacing w:val="-4"/>
        </w:rPr>
        <w:t xml:space="preserve">During </w:t>
      </w:r>
      <w:r w:rsidR="00CF0B24">
        <w:rPr>
          <w:spacing w:val="-4"/>
        </w:rPr>
        <w:t>2017,</w:t>
      </w:r>
      <w:r>
        <w:rPr>
          <w:spacing w:val="-4"/>
        </w:rPr>
        <w:t xml:space="preserve"> t</w:t>
      </w:r>
      <w:r w:rsidRPr="00320CD9">
        <w:rPr>
          <w:spacing w:val="-4"/>
        </w:rPr>
        <w:t>he NCEA collaborated with aging partners to learn, understand</w:t>
      </w:r>
      <w:r>
        <w:rPr>
          <w:spacing w:val="-4"/>
        </w:rPr>
        <w:t>,</w:t>
      </w:r>
      <w:r w:rsidRPr="00320CD9">
        <w:rPr>
          <w:spacing w:val="-4"/>
        </w:rPr>
        <w:t xml:space="preserve"> and disseminate an elder abuse communication strategy design</w:t>
      </w:r>
      <w:r w:rsidR="00623B2C">
        <w:rPr>
          <w:spacing w:val="-4"/>
        </w:rPr>
        <w:t xml:space="preserve">ed by the Frameworks Institute.  </w:t>
      </w:r>
      <w:r w:rsidRPr="00320CD9">
        <w:rPr>
          <w:spacing w:val="-4"/>
        </w:rPr>
        <w:t xml:space="preserve">The </w:t>
      </w:r>
      <w:r>
        <w:rPr>
          <w:spacing w:val="-4"/>
        </w:rPr>
        <w:t>strategy includes new “</w:t>
      </w:r>
      <w:r w:rsidRPr="00320CD9">
        <w:rPr>
          <w:spacing w:val="-4"/>
        </w:rPr>
        <w:t>metaphors</w:t>
      </w:r>
      <w:r>
        <w:rPr>
          <w:spacing w:val="-4"/>
        </w:rPr>
        <w:t xml:space="preserve">” for talking about elder abuse, </w:t>
      </w:r>
      <w:r w:rsidRPr="00320CD9">
        <w:rPr>
          <w:spacing w:val="-4"/>
        </w:rPr>
        <w:t>designed to reframe and educate people and agencies who are in a position to improve policies and se</w:t>
      </w:r>
      <w:r w:rsidR="00623B2C">
        <w:rPr>
          <w:spacing w:val="-4"/>
        </w:rPr>
        <w:t xml:space="preserve">rvices relevant to elder abuse.  </w:t>
      </w:r>
      <w:r w:rsidRPr="00320CD9">
        <w:rPr>
          <w:spacing w:val="-4"/>
        </w:rPr>
        <w:t xml:space="preserve">Trainings and education on the use of the reframing messaging have </w:t>
      </w:r>
      <w:r>
        <w:rPr>
          <w:spacing w:val="-4"/>
        </w:rPr>
        <w:t xml:space="preserve">been </w:t>
      </w:r>
      <w:r w:rsidR="00CF0B24">
        <w:rPr>
          <w:spacing w:val="-4"/>
        </w:rPr>
        <w:t>well received</w:t>
      </w:r>
      <w:r>
        <w:rPr>
          <w:spacing w:val="-4"/>
        </w:rPr>
        <w:t xml:space="preserve"> and adopted</w:t>
      </w:r>
      <w:r w:rsidR="00623B2C">
        <w:rPr>
          <w:spacing w:val="-4"/>
        </w:rPr>
        <w:t xml:space="preserve">.  </w:t>
      </w:r>
      <w:r w:rsidRPr="00320CD9">
        <w:rPr>
          <w:spacing w:val="-4"/>
        </w:rPr>
        <w:t xml:space="preserve">NCEA has also reframed educational materials for national organizations such as USPIS and many state and local agencies. </w:t>
      </w:r>
    </w:p>
    <w:p w14:paraId="686A76D0" w14:textId="77777777" w:rsidR="00D223C8" w:rsidRPr="00320CD9" w:rsidRDefault="00D223C8" w:rsidP="0062210B">
      <w:pPr>
        <w:ind w:left="360"/>
        <w:jc w:val="both"/>
        <w:rPr>
          <w:spacing w:val="-4"/>
        </w:rPr>
      </w:pPr>
    </w:p>
    <w:p w14:paraId="575CEDE4" w14:textId="6CCB3EBC" w:rsidR="00D223C8" w:rsidRPr="00320CD9" w:rsidRDefault="00D223C8" w:rsidP="0062210B">
      <w:pPr>
        <w:pStyle w:val="ListParagraph"/>
        <w:numPr>
          <w:ilvl w:val="0"/>
          <w:numId w:val="8"/>
        </w:numPr>
        <w:jc w:val="both"/>
        <w:rPr>
          <w:spacing w:val="-4"/>
        </w:rPr>
      </w:pPr>
      <w:r>
        <w:rPr>
          <w:spacing w:val="-4"/>
        </w:rPr>
        <w:t xml:space="preserve">During </w:t>
      </w:r>
      <w:r w:rsidR="00CF0B24">
        <w:rPr>
          <w:spacing w:val="-4"/>
        </w:rPr>
        <w:t>2017,</w:t>
      </w:r>
      <w:r>
        <w:rPr>
          <w:spacing w:val="-4"/>
        </w:rPr>
        <w:t xml:space="preserve"> the NCEA continued to d</w:t>
      </w:r>
      <w:r w:rsidRPr="00320CD9">
        <w:rPr>
          <w:spacing w:val="-4"/>
        </w:rPr>
        <w:t>evelop collaborations with other national organizations and nationally recognized resource cent</w:t>
      </w:r>
      <w:r w:rsidR="00623B2C">
        <w:rPr>
          <w:spacing w:val="-4"/>
        </w:rPr>
        <w:t xml:space="preserve">ers for collaborative purposes.  </w:t>
      </w:r>
      <w:r w:rsidRPr="00320CD9">
        <w:rPr>
          <w:spacing w:val="-4"/>
        </w:rPr>
        <w:t>These entities included organizations focused upon the needs of Asian and Other Pacific Islanders, Latino, Native American, LGBTQ, African American, and Alzheimer’s and related disorders resource centers</w:t>
      </w:r>
      <w:r w:rsidR="00623B2C">
        <w:rPr>
          <w:spacing w:val="-4"/>
        </w:rPr>
        <w:t xml:space="preserve">.  </w:t>
      </w:r>
      <w:r w:rsidRPr="00320CD9">
        <w:rPr>
          <w:spacing w:val="-4"/>
        </w:rPr>
        <w:t>The National Asian Pacific Center on Aging assisted in the translation of several reframed Elder Abuse Fact sheets</w:t>
      </w:r>
      <w:r w:rsidR="00623B2C">
        <w:rPr>
          <w:spacing w:val="-4"/>
        </w:rPr>
        <w:t xml:space="preserve">.  </w:t>
      </w:r>
      <w:r w:rsidRPr="00320CD9">
        <w:rPr>
          <w:spacing w:val="-4"/>
        </w:rPr>
        <w:t>NCEA also assisted the National Indigenous Elder Justice Initiative in editing their training materials</w:t>
      </w:r>
      <w:r w:rsidR="001B2DC3">
        <w:rPr>
          <w:spacing w:val="-4"/>
        </w:rPr>
        <w:t xml:space="preserve">. </w:t>
      </w:r>
    </w:p>
    <w:p w14:paraId="231F25FC" w14:textId="77777777" w:rsidR="00D223C8" w:rsidRDefault="00D223C8" w:rsidP="0062210B">
      <w:pPr>
        <w:spacing w:after="200"/>
        <w:ind w:left="720"/>
        <w:contextualSpacing/>
        <w:jc w:val="both"/>
        <w:rPr>
          <w:spacing w:val="-4"/>
        </w:rPr>
      </w:pPr>
    </w:p>
    <w:p w14:paraId="7D010C6F" w14:textId="1B3E8D84" w:rsidR="00D223C8" w:rsidRDefault="00D223C8" w:rsidP="000B38B2">
      <w:pPr>
        <w:numPr>
          <w:ilvl w:val="0"/>
          <w:numId w:val="8"/>
        </w:numPr>
        <w:spacing w:after="200"/>
        <w:contextualSpacing/>
        <w:jc w:val="both"/>
        <w:rPr>
          <w:spacing w:val="-4"/>
        </w:rPr>
      </w:pPr>
      <w:r w:rsidRPr="00731FCA">
        <w:rPr>
          <w:spacing w:val="-4"/>
        </w:rPr>
        <w:t xml:space="preserve">NCEA </w:t>
      </w:r>
      <w:r w:rsidRPr="00320CD9">
        <w:rPr>
          <w:spacing w:val="-4"/>
        </w:rPr>
        <w:t xml:space="preserve">successfully conducted a </w:t>
      </w:r>
      <w:r>
        <w:rPr>
          <w:spacing w:val="-4"/>
        </w:rPr>
        <w:t xml:space="preserve">2017 </w:t>
      </w:r>
      <w:r w:rsidRPr="00320CD9">
        <w:rPr>
          <w:spacing w:val="-4"/>
        </w:rPr>
        <w:t xml:space="preserve">World Elder Abuse Awareness Day (WEAAD) Campaign that featured national experts posting blogs and being available for twitter chats. </w:t>
      </w:r>
      <w:r>
        <w:rPr>
          <w:spacing w:val="-4"/>
        </w:rPr>
        <w:t xml:space="preserve">The NCEA </w:t>
      </w:r>
      <w:r w:rsidRPr="00320CD9">
        <w:rPr>
          <w:spacing w:val="-4"/>
        </w:rPr>
        <w:t xml:space="preserve">refreshed WEAAD materials to insure messages of dignity and respect for all older people and </w:t>
      </w:r>
      <w:r w:rsidR="00623B2C">
        <w:rPr>
          <w:spacing w:val="-4"/>
        </w:rPr>
        <w:t xml:space="preserve">those afflicted by elder abuse.  </w:t>
      </w:r>
      <w:r w:rsidRPr="00320CD9">
        <w:rPr>
          <w:spacing w:val="-4"/>
        </w:rPr>
        <w:t xml:space="preserve">The NCEA </w:t>
      </w:r>
      <w:r>
        <w:rPr>
          <w:spacing w:val="-4"/>
        </w:rPr>
        <w:t xml:space="preserve">also </w:t>
      </w:r>
      <w:r w:rsidRPr="00320CD9">
        <w:rPr>
          <w:spacing w:val="-4"/>
        </w:rPr>
        <w:t>has created multiple online marketing components to keep various aging professionals and volunteers engaged during the WEAAD campaign</w:t>
      </w:r>
      <w:r w:rsidR="001B2DC3">
        <w:rPr>
          <w:spacing w:val="-4"/>
        </w:rPr>
        <w:t xml:space="preserve">. </w:t>
      </w:r>
      <w:r w:rsidRPr="00320CD9">
        <w:rPr>
          <w:spacing w:val="-4"/>
        </w:rPr>
        <w:t>Social Media was fully deployed during this campaign with the following results:</w:t>
      </w:r>
    </w:p>
    <w:p w14:paraId="2C470100" w14:textId="77777777" w:rsidR="00D223C8" w:rsidRPr="00320CD9" w:rsidRDefault="00D223C8" w:rsidP="000B38B2">
      <w:pPr>
        <w:numPr>
          <w:ilvl w:val="1"/>
          <w:numId w:val="8"/>
        </w:numPr>
        <w:spacing w:after="200"/>
        <w:contextualSpacing/>
        <w:jc w:val="both"/>
        <w:rPr>
          <w:spacing w:val="-4"/>
        </w:rPr>
      </w:pPr>
      <w:r w:rsidRPr="00320CD9">
        <w:rPr>
          <w:spacing w:val="-4"/>
        </w:rPr>
        <w:t>Facebook Reach</w:t>
      </w:r>
    </w:p>
    <w:p w14:paraId="3AFE2E73" w14:textId="77777777" w:rsidR="00D223C8" w:rsidRDefault="00D223C8" w:rsidP="000B38B2">
      <w:pPr>
        <w:numPr>
          <w:ilvl w:val="2"/>
          <w:numId w:val="8"/>
        </w:numPr>
        <w:spacing w:after="200"/>
        <w:contextualSpacing/>
        <w:jc w:val="both"/>
        <w:rPr>
          <w:spacing w:val="-4"/>
        </w:rPr>
      </w:pPr>
      <w:r w:rsidRPr="00320CD9">
        <w:rPr>
          <w:spacing w:val="-4"/>
        </w:rPr>
        <w:lastRenderedPageBreak/>
        <w:t>Page Likes: 6,133 (313 new page likes)</w:t>
      </w:r>
    </w:p>
    <w:p w14:paraId="4448B643" w14:textId="77777777" w:rsidR="00D223C8" w:rsidRPr="00320CD9" w:rsidRDefault="00D223C8" w:rsidP="000B38B2">
      <w:pPr>
        <w:numPr>
          <w:ilvl w:val="2"/>
          <w:numId w:val="8"/>
        </w:numPr>
        <w:spacing w:after="200"/>
        <w:contextualSpacing/>
        <w:jc w:val="both"/>
        <w:rPr>
          <w:spacing w:val="-4"/>
        </w:rPr>
      </w:pPr>
      <w:r w:rsidRPr="00320CD9">
        <w:rPr>
          <w:spacing w:val="-4"/>
        </w:rPr>
        <w:t>Total Post Engagements: 7,427 (Shares, Reactions, Comments, Post Clicks)</w:t>
      </w:r>
    </w:p>
    <w:p w14:paraId="348502EE" w14:textId="77777777" w:rsidR="00D223C8" w:rsidRPr="00320CD9" w:rsidRDefault="00D223C8" w:rsidP="000B38B2">
      <w:pPr>
        <w:numPr>
          <w:ilvl w:val="2"/>
          <w:numId w:val="8"/>
        </w:numPr>
        <w:spacing w:after="200"/>
        <w:contextualSpacing/>
        <w:jc w:val="both"/>
        <w:rPr>
          <w:spacing w:val="-4"/>
        </w:rPr>
      </w:pPr>
      <w:r w:rsidRPr="00320CD9">
        <w:rPr>
          <w:spacing w:val="-4"/>
        </w:rPr>
        <w:t>Total Reach on Posts: 86,393 (number of unique people who saw content)</w:t>
      </w:r>
    </w:p>
    <w:p w14:paraId="6DCE2F16" w14:textId="77777777" w:rsidR="00D223C8" w:rsidRDefault="00D223C8" w:rsidP="000B38B2">
      <w:pPr>
        <w:numPr>
          <w:ilvl w:val="2"/>
          <w:numId w:val="8"/>
        </w:numPr>
        <w:spacing w:after="200"/>
        <w:contextualSpacing/>
        <w:jc w:val="both"/>
        <w:rPr>
          <w:spacing w:val="-4"/>
        </w:rPr>
      </w:pPr>
      <w:r w:rsidRPr="00320CD9">
        <w:rPr>
          <w:spacing w:val="-4"/>
        </w:rPr>
        <w:t>Top Performing Post: News Article on S.178 Elder Abuse Prevention and</w:t>
      </w:r>
      <w:r>
        <w:rPr>
          <w:spacing w:val="-4"/>
        </w:rPr>
        <w:t xml:space="preserve"> </w:t>
      </w:r>
      <w:r w:rsidRPr="00320CD9">
        <w:rPr>
          <w:spacing w:val="-4"/>
        </w:rPr>
        <w:t>Prosecution Act of 2017 (Post Reach: 6,698; Engagements: 512)</w:t>
      </w:r>
    </w:p>
    <w:p w14:paraId="19F15BE6" w14:textId="77777777" w:rsidR="00D223C8" w:rsidRPr="00320CD9" w:rsidRDefault="00D223C8" w:rsidP="00D223C8">
      <w:pPr>
        <w:spacing w:after="200"/>
        <w:contextualSpacing/>
        <w:jc w:val="both"/>
        <w:rPr>
          <w:spacing w:val="-4"/>
        </w:rPr>
      </w:pPr>
    </w:p>
    <w:p w14:paraId="5B5F589A" w14:textId="77777777" w:rsidR="00D223C8" w:rsidRPr="00320CD9" w:rsidRDefault="00D223C8" w:rsidP="000B38B2">
      <w:pPr>
        <w:numPr>
          <w:ilvl w:val="1"/>
          <w:numId w:val="8"/>
        </w:numPr>
        <w:spacing w:after="200"/>
        <w:contextualSpacing/>
        <w:jc w:val="both"/>
        <w:rPr>
          <w:spacing w:val="-4"/>
        </w:rPr>
      </w:pPr>
      <w:r w:rsidRPr="00320CD9">
        <w:rPr>
          <w:spacing w:val="-4"/>
        </w:rPr>
        <w:t>Twitter Reach</w:t>
      </w:r>
    </w:p>
    <w:p w14:paraId="73D6E1CF" w14:textId="77777777" w:rsidR="00D223C8" w:rsidRPr="00320CD9" w:rsidRDefault="00D223C8" w:rsidP="000B38B2">
      <w:pPr>
        <w:numPr>
          <w:ilvl w:val="2"/>
          <w:numId w:val="8"/>
        </w:numPr>
        <w:spacing w:after="200"/>
        <w:contextualSpacing/>
        <w:jc w:val="both"/>
        <w:rPr>
          <w:spacing w:val="-4"/>
        </w:rPr>
      </w:pPr>
      <w:r w:rsidRPr="00320CD9">
        <w:rPr>
          <w:spacing w:val="-4"/>
        </w:rPr>
        <w:t>Followers: 3,955 (increase 309 new followers during this period)</w:t>
      </w:r>
    </w:p>
    <w:p w14:paraId="15A1C88C" w14:textId="77777777" w:rsidR="00D223C8" w:rsidRPr="00320CD9" w:rsidRDefault="00D223C8" w:rsidP="000B38B2">
      <w:pPr>
        <w:numPr>
          <w:ilvl w:val="2"/>
          <w:numId w:val="8"/>
        </w:numPr>
        <w:spacing w:after="200"/>
        <w:contextualSpacing/>
        <w:jc w:val="both"/>
        <w:rPr>
          <w:spacing w:val="-4"/>
        </w:rPr>
      </w:pPr>
      <w:r w:rsidRPr="00320CD9">
        <w:rPr>
          <w:spacing w:val="-4"/>
        </w:rPr>
        <w:t>Profile Visits: 9,073</w:t>
      </w:r>
    </w:p>
    <w:p w14:paraId="7A97708F" w14:textId="77777777" w:rsidR="00D223C8" w:rsidRPr="00320CD9" w:rsidRDefault="00D223C8" w:rsidP="000B38B2">
      <w:pPr>
        <w:numPr>
          <w:ilvl w:val="2"/>
          <w:numId w:val="8"/>
        </w:numPr>
        <w:spacing w:after="200"/>
        <w:contextualSpacing/>
        <w:jc w:val="both"/>
        <w:rPr>
          <w:spacing w:val="-4"/>
        </w:rPr>
      </w:pPr>
      <w:r w:rsidRPr="00320CD9">
        <w:rPr>
          <w:spacing w:val="-4"/>
        </w:rPr>
        <w:t>Tweet Engagements: 2,969 (Likes, Retweets, Replies, Post Clicks)</w:t>
      </w:r>
    </w:p>
    <w:p w14:paraId="1EC605A7" w14:textId="77777777" w:rsidR="00D223C8" w:rsidRPr="00320CD9" w:rsidRDefault="00D223C8" w:rsidP="000B38B2">
      <w:pPr>
        <w:numPr>
          <w:ilvl w:val="2"/>
          <w:numId w:val="8"/>
        </w:numPr>
        <w:spacing w:after="200"/>
        <w:contextualSpacing/>
        <w:jc w:val="both"/>
        <w:rPr>
          <w:spacing w:val="-4"/>
        </w:rPr>
      </w:pPr>
      <w:r w:rsidRPr="00320CD9">
        <w:rPr>
          <w:spacing w:val="-4"/>
        </w:rPr>
        <w:t>Tweet Impressions: 235,100</w:t>
      </w:r>
    </w:p>
    <w:p w14:paraId="2DD39A21" w14:textId="77777777" w:rsidR="00D223C8" w:rsidRDefault="00D223C8" w:rsidP="000B38B2">
      <w:pPr>
        <w:numPr>
          <w:ilvl w:val="2"/>
          <w:numId w:val="8"/>
        </w:numPr>
        <w:spacing w:after="200"/>
        <w:contextualSpacing/>
        <w:jc w:val="both"/>
        <w:rPr>
          <w:spacing w:val="-4"/>
        </w:rPr>
      </w:pPr>
      <w:r w:rsidRPr="00320CD9">
        <w:rPr>
          <w:spacing w:val="-4"/>
        </w:rPr>
        <w:t>Top Performing Tweet: NCEA PSA – Strengthening the Structure of Justice to Prevent Elder Abuse (Tweet Impressions: 8,705; Engagements: 135)</w:t>
      </w:r>
    </w:p>
    <w:p w14:paraId="29CCC240" w14:textId="77777777" w:rsidR="00D223C8" w:rsidRDefault="00D223C8" w:rsidP="00D223C8"/>
    <w:p w14:paraId="56A9A9B9" w14:textId="2A65D898" w:rsidR="008733D0" w:rsidRPr="00960EBF" w:rsidRDefault="008733D0" w:rsidP="00FB1981">
      <w:pPr>
        <w:contextualSpacing/>
        <w:jc w:val="both"/>
        <w:rPr>
          <w:color w:val="FF0000"/>
          <w:spacing w:val="-4"/>
        </w:rPr>
      </w:pPr>
    </w:p>
    <w:p w14:paraId="6777693F" w14:textId="37C3321C" w:rsidR="00D223C8" w:rsidRPr="00960EBF" w:rsidRDefault="00D223C8" w:rsidP="00916C9D">
      <w:pPr>
        <w:pStyle w:val="Heading2"/>
        <w:rPr>
          <w:color w:val="FF0000"/>
        </w:rPr>
      </w:pPr>
      <w:bookmarkStart w:id="71" w:name="_Toc536443932"/>
      <w:bookmarkStart w:id="72" w:name="_Toc436738887"/>
    </w:p>
    <w:p w14:paraId="566622C1" w14:textId="77777777" w:rsidR="000B38B2" w:rsidRPr="00960EBF" w:rsidRDefault="000B38B2" w:rsidP="000B38B2">
      <w:pPr>
        <w:rPr>
          <w:color w:val="FF0000"/>
          <w:lang w:bidi="en-US"/>
        </w:rPr>
      </w:pPr>
    </w:p>
    <w:bookmarkEnd w:id="71"/>
    <w:p w14:paraId="5C89A501" w14:textId="77777777" w:rsidR="0090625D" w:rsidRPr="00960EBF" w:rsidRDefault="0090625D" w:rsidP="000B38B2">
      <w:pPr>
        <w:keepNext/>
        <w:jc w:val="center"/>
        <w:outlineLvl w:val="1"/>
        <w:rPr>
          <w:b/>
          <w:bCs/>
          <w:iCs/>
          <w:color w:val="FF0000"/>
          <w:sz w:val="28"/>
          <w:szCs w:val="28"/>
          <w:lang w:bidi="en-US"/>
        </w:rPr>
      </w:pPr>
    </w:p>
    <w:p w14:paraId="1699495E" w14:textId="77777777" w:rsidR="0090625D" w:rsidRPr="00960EBF" w:rsidRDefault="0090625D">
      <w:pPr>
        <w:rPr>
          <w:b/>
          <w:bCs/>
          <w:iCs/>
          <w:color w:val="FF0000"/>
          <w:sz w:val="28"/>
          <w:szCs w:val="28"/>
          <w:lang w:bidi="en-US"/>
        </w:rPr>
      </w:pPr>
      <w:r w:rsidRPr="00960EBF">
        <w:rPr>
          <w:b/>
          <w:bCs/>
          <w:iCs/>
          <w:color w:val="FF0000"/>
          <w:sz w:val="28"/>
          <w:szCs w:val="28"/>
          <w:lang w:bidi="en-US"/>
        </w:rPr>
        <w:br w:type="page"/>
      </w:r>
    </w:p>
    <w:p w14:paraId="3D59CECC" w14:textId="287E769E" w:rsidR="000B38B2" w:rsidRPr="004472A6" w:rsidRDefault="000B38B2" w:rsidP="000B38B2">
      <w:pPr>
        <w:keepNext/>
        <w:jc w:val="center"/>
        <w:outlineLvl w:val="1"/>
        <w:rPr>
          <w:b/>
          <w:bCs/>
          <w:iCs/>
          <w:sz w:val="28"/>
          <w:szCs w:val="28"/>
          <w:lang w:bidi="en-US"/>
        </w:rPr>
      </w:pPr>
      <w:bookmarkStart w:id="73" w:name="_Toc9929365"/>
      <w:r w:rsidRPr="004472A6">
        <w:rPr>
          <w:b/>
          <w:bCs/>
          <w:iCs/>
          <w:sz w:val="28"/>
          <w:szCs w:val="28"/>
          <w:lang w:bidi="en-US"/>
        </w:rPr>
        <w:lastRenderedPageBreak/>
        <w:t>National Center on Law and Elder Rights</w:t>
      </w:r>
      <w:bookmarkEnd w:id="73"/>
      <w:r w:rsidRPr="004472A6">
        <w:rPr>
          <w:b/>
          <w:bCs/>
          <w:iCs/>
          <w:sz w:val="28"/>
          <w:szCs w:val="28"/>
          <w:lang w:bidi="en-US"/>
        </w:rPr>
        <w:t xml:space="preserve">                  </w:t>
      </w:r>
    </w:p>
    <w:p w14:paraId="395F3EBA" w14:textId="77777777" w:rsidR="000B38B2" w:rsidRPr="0090625D" w:rsidRDefault="000B38B2" w:rsidP="0090625D">
      <w:pPr>
        <w:jc w:val="center"/>
        <w:rPr>
          <w:b/>
          <w:i/>
        </w:rPr>
      </w:pPr>
      <w:r w:rsidRPr="0090625D" w:rsidDel="008545ED">
        <w:rPr>
          <w:b/>
          <w:i/>
        </w:rPr>
        <w:t xml:space="preserve"> </w:t>
      </w:r>
      <w:r w:rsidRPr="0090625D">
        <w:rPr>
          <w:b/>
          <w:i/>
        </w:rPr>
        <w:t>(FY 2017: $1,047,588)</w:t>
      </w:r>
    </w:p>
    <w:p w14:paraId="15F63E83" w14:textId="77777777" w:rsidR="000B38B2" w:rsidRPr="004472A6" w:rsidRDefault="000B38B2" w:rsidP="000B38B2">
      <w:pPr>
        <w:keepNext/>
        <w:jc w:val="both"/>
        <w:outlineLvl w:val="1"/>
        <w:rPr>
          <w:b/>
          <w:bCs/>
          <w:i/>
          <w:iCs/>
          <w:lang w:bidi="en-US"/>
        </w:rPr>
      </w:pPr>
    </w:p>
    <w:p w14:paraId="1206E4A1" w14:textId="04DB3802" w:rsidR="000B38B2" w:rsidRPr="004472A6" w:rsidRDefault="000B38B2" w:rsidP="0090625D">
      <w:pPr>
        <w:jc w:val="both"/>
        <w:rPr>
          <w:lang w:val="en" w:bidi="en-US"/>
        </w:rPr>
      </w:pPr>
      <w:r w:rsidRPr="004472A6">
        <w:rPr>
          <w:lang w:val="en" w:bidi="en-US"/>
        </w:rPr>
        <w:t>The National Center on Law and Elder Rights (NCLER) empowers aging and legal professionals with the tools and resources to provide older clients and consumers with high-quality legal assistance in areas of critical importance to their independence, health, and financial security.</w:t>
      </w:r>
      <w:r w:rsidR="0062210B">
        <w:rPr>
          <w:lang w:val="en" w:bidi="en-US"/>
        </w:rPr>
        <w:t xml:space="preserve">  </w:t>
      </w:r>
      <w:r w:rsidRPr="004472A6">
        <w:rPr>
          <w:lang w:val="en" w:bidi="en-US"/>
        </w:rPr>
        <w:t xml:space="preserve">NCLER is a streamlined point of entry </w:t>
      </w:r>
      <w:r>
        <w:rPr>
          <w:lang w:val="en" w:bidi="en-US"/>
        </w:rPr>
        <w:t xml:space="preserve">to resources for legal assistance and aging network professionals </w:t>
      </w:r>
      <w:r w:rsidR="00623B2C">
        <w:rPr>
          <w:lang w:val="en" w:bidi="en-US"/>
        </w:rPr>
        <w:t xml:space="preserve">across the country.  </w:t>
      </w:r>
      <w:r w:rsidRPr="004472A6">
        <w:rPr>
          <w:lang w:val="en" w:bidi="en-US"/>
        </w:rPr>
        <w:t>It serves to enhance the quality, cost effectiveness, and accessibility of legal assistance and elder rights protections available to older adults with social or economic</w:t>
      </w:r>
      <w:r w:rsidR="00623B2C">
        <w:rPr>
          <w:lang w:val="en" w:bidi="en-US"/>
        </w:rPr>
        <w:t xml:space="preserve"> need.  </w:t>
      </w:r>
      <w:r w:rsidRPr="004472A6">
        <w:rPr>
          <w:lang w:val="en" w:bidi="en-US"/>
        </w:rPr>
        <w:t>NCLER provides resource support to a broad range of legal, elder rights, and aging services professionals and advocates, including:</w:t>
      </w:r>
    </w:p>
    <w:p w14:paraId="2D7DBE38" w14:textId="77777777" w:rsidR="000B38B2" w:rsidRPr="004472A6" w:rsidRDefault="000B38B2" w:rsidP="000B38B2">
      <w:pPr>
        <w:keepNext/>
        <w:jc w:val="both"/>
        <w:outlineLvl w:val="1"/>
        <w:rPr>
          <w:bCs/>
          <w:iCs/>
          <w:lang w:val="en" w:bidi="en-US"/>
        </w:rPr>
      </w:pPr>
    </w:p>
    <w:p w14:paraId="4BF739FE" w14:textId="77777777" w:rsidR="000B38B2" w:rsidRPr="0090625D" w:rsidRDefault="000B38B2" w:rsidP="0090625D">
      <w:pPr>
        <w:pStyle w:val="ListParagraph"/>
        <w:numPr>
          <w:ilvl w:val="0"/>
          <w:numId w:val="37"/>
        </w:numPr>
        <w:rPr>
          <w:lang w:val="en" w:bidi="en-US"/>
        </w:rPr>
      </w:pPr>
      <w:r w:rsidRPr="0090625D">
        <w:rPr>
          <w:lang w:val="en" w:bidi="en-US"/>
        </w:rPr>
        <w:t>Legal assistance providers,</w:t>
      </w:r>
    </w:p>
    <w:p w14:paraId="6678A255" w14:textId="77777777" w:rsidR="000B38B2" w:rsidRPr="0090625D" w:rsidRDefault="000B38B2" w:rsidP="0090625D">
      <w:pPr>
        <w:pStyle w:val="ListParagraph"/>
        <w:numPr>
          <w:ilvl w:val="0"/>
          <w:numId w:val="37"/>
        </w:numPr>
        <w:rPr>
          <w:lang w:val="en" w:bidi="en-US"/>
        </w:rPr>
      </w:pPr>
      <w:r w:rsidRPr="0090625D">
        <w:rPr>
          <w:lang w:val="en" w:bidi="en-US"/>
        </w:rPr>
        <w:t>Legal assistance developers,</w:t>
      </w:r>
    </w:p>
    <w:p w14:paraId="3CF887A6" w14:textId="77777777" w:rsidR="000B38B2" w:rsidRPr="0090625D" w:rsidRDefault="000B38B2" w:rsidP="0090625D">
      <w:pPr>
        <w:pStyle w:val="ListParagraph"/>
        <w:numPr>
          <w:ilvl w:val="0"/>
          <w:numId w:val="37"/>
        </w:numPr>
        <w:rPr>
          <w:lang w:val="en" w:bidi="en-US"/>
        </w:rPr>
      </w:pPr>
      <w:r w:rsidRPr="0090625D">
        <w:rPr>
          <w:lang w:val="en" w:bidi="en-US"/>
        </w:rPr>
        <w:t>Long-Term Care Ombudsmen,</w:t>
      </w:r>
    </w:p>
    <w:p w14:paraId="2578ACF2" w14:textId="77777777" w:rsidR="000B38B2" w:rsidRPr="0090625D" w:rsidRDefault="000B38B2" w:rsidP="0090625D">
      <w:pPr>
        <w:pStyle w:val="ListParagraph"/>
        <w:numPr>
          <w:ilvl w:val="0"/>
          <w:numId w:val="37"/>
        </w:numPr>
        <w:rPr>
          <w:lang w:val="en" w:bidi="en-US"/>
        </w:rPr>
      </w:pPr>
      <w:r w:rsidRPr="0090625D">
        <w:rPr>
          <w:lang w:val="en" w:bidi="en-US"/>
        </w:rPr>
        <w:t>State Units on Aging,</w:t>
      </w:r>
    </w:p>
    <w:p w14:paraId="218F77E3" w14:textId="77777777" w:rsidR="000B38B2" w:rsidRPr="0090625D" w:rsidRDefault="000B38B2" w:rsidP="0090625D">
      <w:pPr>
        <w:pStyle w:val="ListParagraph"/>
        <w:numPr>
          <w:ilvl w:val="0"/>
          <w:numId w:val="37"/>
        </w:numPr>
        <w:rPr>
          <w:lang w:val="en" w:bidi="en-US"/>
        </w:rPr>
      </w:pPr>
      <w:r w:rsidRPr="0090625D">
        <w:rPr>
          <w:lang w:val="en" w:bidi="en-US"/>
        </w:rPr>
        <w:t>Area Agencies on Aging and Aging &amp; Disability Resource Centers,</w:t>
      </w:r>
    </w:p>
    <w:p w14:paraId="17F70D3E" w14:textId="77777777" w:rsidR="000B38B2" w:rsidRPr="0090625D" w:rsidRDefault="000B38B2" w:rsidP="0090625D">
      <w:pPr>
        <w:pStyle w:val="ListParagraph"/>
        <w:numPr>
          <w:ilvl w:val="0"/>
          <w:numId w:val="37"/>
        </w:numPr>
        <w:rPr>
          <w:lang w:val="en" w:bidi="en-US"/>
        </w:rPr>
      </w:pPr>
      <w:r w:rsidRPr="0090625D">
        <w:rPr>
          <w:lang w:val="en" w:bidi="en-US"/>
        </w:rPr>
        <w:t>Senior Legal Helplines,</w:t>
      </w:r>
    </w:p>
    <w:p w14:paraId="7BC3CBD3" w14:textId="77777777" w:rsidR="000B38B2" w:rsidRPr="0090625D" w:rsidRDefault="000B38B2" w:rsidP="0090625D">
      <w:pPr>
        <w:pStyle w:val="ListParagraph"/>
        <w:numPr>
          <w:ilvl w:val="0"/>
          <w:numId w:val="37"/>
        </w:numPr>
        <w:rPr>
          <w:lang w:val="en" w:bidi="en-US"/>
        </w:rPr>
      </w:pPr>
      <w:r w:rsidRPr="0090625D">
        <w:rPr>
          <w:lang w:val="en" w:bidi="en-US"/>
        </w:rPr>
        <w:t>Adult Protective services, and</w:t>
      </w:r>
    </w:p>
    <w:p w14:paraId="216F68B9" w14:textId="77777777" w:rsidR="000B38B2" w:rsidRPr="0090625D" w:rsidRDefault="000B38B2" w:rsidP="0090625D">
      <w:pPr>
        <w:pStyle w:val="ListParagraph"/>
        <w:numPr>
          <w:ilvl w:val="0"/>
          <w:numId w:val="37"/>
        </w:numPr>
        <w:rPr>
          <w:lang w:val="en" w:bidi="en-US"/>
        </w:rPr>
      </w:pPr>
      <w:r w:rsidRPr="0090625D">
        <w:rPr>
          <w:lang w:val="en" w:bidi="en-US"/>
        </w:rPr>
        <w:t>Others involved in protecting the rights of older adults.</w:t>
      </w:r>
    </w:p>
    <w:p w14:paraId="4A11397A" w14:textId="77777777" w:rsidR="000B38B2" w:rsidRPr="004472A6" w:rsidRDefault="000B38B2" w:rsidP="000B38B2">
      <w:pPr>
        <w:keepNext/>
        <w:outlineLvl w:val="1"/>
        <w:rPr>
          <w:bCs/>
          <w:iCs/>
          <w:lang w:val="en" w:bidi="en-US"/>
        </w:rPr>
      </w:pPr>
    </w:p>
    <w:p w14:paraId="11D6E6F9" w14:textId="66ABC44C" w:rsidR="000B38B2" w:rsidRPr="004472A6" w:rsidRDefault="000B38B2" w:rsidP="0090625D">
      <w:pPr>
        <w:jc w:val="both"/>
        <w:rPr>
          <w:lang w:val="en" w:bidi="en-US"/>
        </w:rPr>
      </w:pPr>
      <w:r w:rsidRPr="004472A6">
        <w:rPr>
          <w:lang w:val="en" w:bidi="en-US"/>
        </w:rPr>
        <w:t xml:space="preserve">NCLER provides </w:t>
      </w:r>
      <w:r>
        <w:rPr>
          <w:lang w:val="en" w:bidi="en-US"/>
        </w:rPr>
        <w:t xml:space="preserve">legal </w:t>
      </w:r>
      <w:r w:rsidRPr="004472A6">
        <w:rPr>
          <w:lang w:val="en" w:bidi="en-US"/>
        </w:rPr>
        <w:t xml:space="preserve">case consultation, training, and technical assistance on a broad range of legal issues </w:t>
      </w:r>
      <w:r w:rsidR="00623B2C">
        <w:rPr>
          <w:lang w:val="en" w:bidi="en-US"/>
        </w:rPr>
        <w:t xml:space="preserve">and systems development issues.  </w:t>
      </w:r>
      <w:r w:rsidRPr="004472A6">
        <w:rPr>
          <w:lang w:val="en" w:bidi="en-US"/>
        </w:rPr>
        <w:t xml:space="preserve">NCLER assists professionals and advocates on a wide range of legal issues that </w:t>
      </w:r>
      <w:r>
        <w:rPr>
          <w:lang w:val="en" w:bidi="en-US"/>
        </w:rPr>
        <w:t>has included in 2017</w:t>
      </w:r>
      <w:r w:rsidRPr="004472A6">
        <w:rPr>
          <w:lang w:val="en" w:bidi="en-US"/>
        </w:rPr>
        <w:t>:</w:t>
      </w:r>
    </w:p>
    <w:p w14:paraId="7C679646" w14:textId="77777777" w:rsidR="000B38B2" w:rsidRPr="004472A6" w:rsidRDefault="000B38B2" w:rsidP="000B38B2">
      <w:pPr>
        <w:keepNext/>
        <w:outlineLvl w:val="1"/>
        <w:rPr>
          <w:bCs/>
          <w:iCs/>
          <w:lang w:val="en" w:bidi="en-US"/>
        </w:rPr>
      </w:pPr>
    </w:p>
    <w:p w14:paraId="2CFD07FF" w14:textId="77777777" w:rsidR="000B38B2" w:rsidRPr="0090625D" w:rsidRDefault="000B38B2" w:rsidP="0090625D">
      <w:pPr>
        <w:pStyle w:val="ListParagraph"/>
        <w:numPr>
          <w:ilvl w:val="0"/>
          <w:numId w:val="36"/>
        </w:numPr>
        <w:rPr>
          <w:lang w:val="en" w:bidi="en-US"/>
        </w:rPr>
      </w:pPr>
      <w:r w:rsidRPr="0090625D">
        <w:rPr>
          <w:lang w:val="en" w:bidi="en-US"/>
        </w:rPr>
        <w:t>Saving an older adult’s home from foreclosure;</w:t>
      </w:r>
    </w:p>
    <w:p w14:paraId="02289230" w14:textId="77777777" w:rsidR="000B38B2" w:rsidRPr="0090625D" w:rsidRDefault="000B38B2" w:rsidP="0090625D">
      <w:pPr>
        <w:pStyle w:val="ListParagraph"/>
        <w:numPr>
          <w:ilvl w:val="0"/>
          <w:numId w:val="36"/>
        </w:numPr>
        <w:rPr>
          <w:lang w:val="en" w:bidi="en-US"/>
        </w:rPr>
      </w:pPr>
      <w:r w:rsidRPr="0090625D">
        <w:rPr>
          <w:lang w:val="en" w:bidi="en-US"/>
        </w:rPr>
        <w:t>Protecting against consumer scams and creditor harassment;</w:t>
      </w:r>
    </w:p>
    <w:p w14:paraId="697CF907" w14:textId="77777777" w:rsidR="000B38B2" w:rsidRPr="0090625D" w:rsidRDefault="000B38B2" w:rsidP="0090625D">
      <w:pPr>
        <w:pStyle w:val="ListParagraph"/>
        <w:numPr>
          <w:ilvl w:val="0"/>
          <w:numId w:val="36"/>
        </w:numPr>
        <w:rPr>
          <w:lang w:val="en" w:bidi="en-US"/>
        </w:rPr>
      </w:pPr>
      <w:r w:rsidRPr="0090625D">
        <w:rPr>
          <w:lang w:val="en" w:bidi="en-US"/>
        </w:rPr>
        <w:t>Addressing elder abuse in the community and in long-term care facilities;</w:t>
      </w:r>
    </w:p>
    <w:p w14:paraId="7A6A6738" w14:textId="77777777" w:rsidR="000B38B2" w:rsidRPr="0090625D" w:rsidRDefault="000B38B2" w:rsidP="0090625D">
      <w:pPr>
        <w:pStyle w:val="ListParagraph"/>
        <w:numPr>
          <w:ilvl w:val="0"/>
          <w:numId w:val="36"/>
        </w:numPr>
        <w:rPr>
          <w:lang w:val="en" w:bidi="en-US"/>
        </w:rPr>
      </w:pPr>
      <w:r w:rsidRPr="0090625D">
        <w:rPr>
          <w:lang w:val="en" w:bidi="en-US"/>
        </w:rPr>
        <w:t>Accessing public benefits essential to financial security, independence, and health; and</w:t>
      </w:r>
    </w:p>
    <w:p w14:paraId="5F06D2D7" w14:textId="77777777" w:rsidR="000B38B2" w:rsidRPr="0090625D" w:rsidRDefault="000B38B2" w:rsidP="0090625D">
      <w:pPr>
        <w:pStyle w:val="ListParagraph"/>
        <w:numPr>
          <w:ilvl w:val="0"/>
          <w:numId w:val="36"/>
        </w:numPr>
        <w:rPr>
          <w:lang w:val="en" w:bidi="en-US"/>
        </w:rPr>
      </w:pPr>
      <w:r w:rsidRPr="0090625D">
        <w:rPr>
          <w:lang w:val="en" w:bidi="en-US"/>
        </w:rPr>
        <w:t>Creating advanced directives that help avoid guardianship and facilitate supported decision-making arrangements.</w:t>
      </w:r>
    </w:p>
    <w:p w14:paraId="23D379EB" w14:textId="77777777" w:rsidR="000B38B2" w:rsidRPr="004472A6" w:rsidRDefault="000B38B2" w:rsidP="000B38B2">
      <w:pPr>
        <w:keepNext/>
        <w:jc w:val="both"/>
        <w:outlineLvl w:val="1"/>
        <w:rPr>
          <w:bCs/>
          <w:iCs/>
          <w:lang w:val="en" w:bidi="en-US"/>
        </w:rPr>
      </w:pPr>
    </w:p>
    <w:p w14:paraId="02F8F0DC" w14:textId="7EA2886F" w:rsidR="000B38B2" w:rsidRPr="004472A6" w:rsidRDefault="000B38B2" w:rsidP="007053F2">
      <w:pPr>
        <w:jc w:val="both"/>
        <w:rPr>
          <w:bCs/>
          <w:iCs/>
          <w:lang w:val="en" w:bidi="en-US"/>
        </w:rPr>
      </w:pPr>
      <w:r w:rsidRPr="0090625D">
        <w:t>NCLER attorneys apply subject matter expertise to offer resources on high-priority legal issues areas impacting older adult</w:t>
      </w:r>
      <w:r w:rsidR="00623B2C">
        <w:t xml:space="preserve">s with economic or social need.  </w:t>
      </w:r>
      <w:r w:rsidRPr="0090625D">
        <w:t>NCLER provides expert technical</w:t>
      </w:r>
      <w:r w:rsidR="000238C9" w:rsidRPr="0090625D">
        <w:t xml:space="preserve"> </w:t>
      </w:r>
      <w:r w:rsidR="00AA01A8">
        <w:rPr>
          <w:bCs/>
          <w:iCs/>
          <w:lang w:val="en" w:bidi="en-US"/>
        </w:rPr>
        <w:t>as</w:t>
      </w:r>
      <w:r w:rsidRPr="004472A6">
        <w:rPr>
          <w:bCs/>
          <w:iCs/>
          <w:lang w:val="en" w:bidi="en-US"/>
        </w:rPr>
        <w:t>sistance on the efficient, cost-effective, and targeted provision of statewide legal and elder rights advocacy services.</w:t>
      </w:r>
    </w:p>
    <w:p w14:paraId="233CDC26" w14:textId="77777777" w:rsidR="000B38B2" w:rsidRPr="004472A6" w:rsidRDefault="000B38B2" w:rsidP="007053F2">
      <w:pPr>
        <w:jc w:val="both"/>
        <w:rPr>
          <w:bCs/>
          <w:iCs/>
          <w:lang w:val="en" w:bidi="en-US"/>
        </w:rPr>
      </w:pPr>
    </w:p>
    <w:p w14:paraId="70D6686F" w14:textId="1D63BD47" w:rsidR="000B38B2" w:rsidRPr="004472A6" w:rsidRDefault="000B38B2" w:rsidP="007053F2">
      <w:pPr>
        <w:jc w:val="both"/>
        <w:rPr>
          <w:bCs/>
          <w:iCs/>
          <w:lang w:val="en" w:bidi="en-US"/>
        </w:rPr>
      </w:pPr>
      <w:r w:rsidRPr="004472A6">
        <w:rPr>
          <w:bCs/>
          <w:iCs/>
          <w:lang w:val="en" w:bidi="en-US"/>
        </w:rPr>
        <w:t xml:space="preserve">The NCLER website, </w:t>
      </w:r>
      <w:r w:rsidRPr="004472A6">
        <w:rPr>
          <w:bCs/>
          <w:iCs/>
          <w:color w:val="0000FF"/>
          <w:lang w:val="en" w:bidi="en-US"/>
        </w:rPr>
        <w:t>ncler.acl.gov</w:t>
      </w:r>
      <w:r w:rsidRPr="004472A6">
        <w:rPr>
          <w:bCs/>
          <w:iCs/>
          <w:lang w:val="en" w:bidi="en-US"/>
        </w:rPr>
        <w:t>, serves as a</w:t>
      </w:r>
      <w:r>
        <w:rPr>
          <w:bCs/>
          <w:iCs/>
          <w:lang w:val="en" w:bidi="en-US"/>
        </w:rPr>
        <w:t>n</w:t>
      </w:r>
      <w:r w:rsidRPr="004472A6">
        <w:rPr>
          <w:bCs/>
          <w:iCs/>
          <w:lang w:val="en" w:bidi="en-US"/>
        </w:rPr>
        <w:t xml:space="preserve"> entry point to the national legal assistance </w:t>
      </w:r>
      <w:r>
        <w:rPr>
          <w:bCs/>
          <w:iCs/>
          <w:lang w:val="en" w:bidi="en-US"/>
        </w:rPr>
        <w:t xml:space="preserve">resource </w:t>
      </w:r>
      <w:r w:rsidRPr="004472A6">
        <w:rPr>
          <w:bCs/>
          <w:iCs/>
          <w:lang w:val="en" w:bidi="en-US"/>
        </w:rPr>
        <w:t>support system</w:t>
      </w:r>
      <w:r w:rsidR="00623B2C">
        <w:rPr>
          <w:bCs/>
          <w:iCs/>
          <w:lang w:val="en" w:bidi="en-US"/>
        </w:rPr>
        <w:t xml:space="preserve">.  </w:t>
      </w:r>
      <w:r w:rsidRPr="004472A6">
        <w:rPr>
          <w:bCs/>
          <w:iCs/>
          <w:lang w:val="en" w:bidi="en-US"/>
        </w:rPr>
        <w:t>NCLER serves the following core support functions for aging and legal networks:</w:t>
      </w:r>
    </w:p>
    <w:p w14:paraId="6C7157DE" w14:textId="77777777" w:rsidR="000B38B2" w:rsidRPr="004472A6" w:rsidRDefault="000B38B2" w:rsidP="000B38B2">
      <w:pPr>
        <w:keepNext/>
        <w:outlineLvl w:val="1"/>
        <w:rPr>
          <w:bCs/>
          <w:iCs/>
          <w:lang w:val="en" w:bidi="en-US"/>
        </w:rPr>
      </w:pPr>
    </w:p>
    <w:p w14:paraId="5344CF11" w14:textId="77777777" w:rsidR="000B38B2" w:rsidRPr="0090625D" w:rsidRDefault="000B38B2" w:rsidP="0090625D">
      <w:pPr>
        <w:pStyle w:val="ListParagraph"/>
        <w:numPr>
          <w:ilvl w:val="0"/>
          <w:numId w:val="35"/>
        </w:numPr>
        <w:rPr>
          <w:lang w:val="en" w:bidi="en-US"/>
        </w:rPr>
      </w:pPr>
      <w:r w:rsidRPr="0090625D">
        <w:rPr>
          <w:lang w:val="en" w:bidi="en-US"/>
        </w:rPr>
        <w:t>Case consultation for professionals and advocates in the field of law and aging to assist in the resolution of complex legal problems impacting older adults;</w:t>
      </w:r>
    </w:p>
    <w:p w14:paraId="11C89CEA" w14:textId="77777777" w:rsidR="000B38B2" w:rsidRPr="0090625D" w:rsidRDefault="000B38B2" w:rsidP="0090625D">
      <w:pPr>
        <w:pStyle w:val="ListParagraph"/>
        <w:numPr>
          <w:ilvl w:val="0"/>
          <w:numId w:val="35"/>
        </w:numPr>
        <w:rPr>
          <w:lang w:val="en" w:bidi="en-US"/>
        </w:rPr>
      </w:pPr>
      <w:r w:rsidRPr="0090625D">
        <w:rPr>
          <w:lang w:val="en" w:bidi="en-US"/>
        </w:rPr>
        <w:t>Legal training for professionals and advocates from aging and legal services networks on a wide range of legal and elder rights issues experienced by older Americans with economic and social need; and</w:t>
      </w:r>
    </w:p>
    <w:p w14:paraId="58387966" w14:textId="77777777" w:rsidR="000B38B2" w:rsidRPr="0090625D" w:rsidRDefault="000B38B2" w:rsidP="0090625D">
      <w:pPr>
        <w:pStyle w:val="ListParagraph"/>
        <w:numPr>
          <w:ilvl w:val="0"/>
          <w:numId w:val="35"/>
        </w:numPr>
        <w:rPr>
          <w:lang w:val="en" w:bidi="en-US"/>
        </w:rPr>
      </w:pPr>
      <w:r w:rsidRPr="0090625D">
        <w:rPr>
          <w:lang w:val="en" w:bidi="en-US"/>
        </w:rPr>
        <w:t>Technical assistance in the development of legal service delivery systems that address priority issues impacting older adults.</w:t>
      </w:r>
    </w:p>
    <w:p w14:paraId="09962755" w14:textId="77777777" w:rsidR="000B38B2" w:rsidRPr="004472A6" w:rsidRDefault="000B38B2" w:rsidP="000B38B2">
      <w:pPr>
        <w:keepNext/>
        <w:outlineLvl w:val="1"/>
        <w:rPr>
          <w:bCs/>
          <w:iCs/>
          <w:lang w:val="en" w:bidi="en-US"/>
        </w:rPr>
      </w:pPr>
    </w:p>
    <w:p w14:paraId="606FA338" w14:textId="11A056F2" w:rsidR="000B38B2" w:rsidRPr="004472A6" w:rsidRDefault="000B38B2" w:rsidP="0090625D">
      <w:pPr>
        <w:jc w:val="both"/>
        <w:rPr>
          <w:lang w:val="en" w:bidi="en-US"/>
        </w:rPr>
      </w:pPr>
      <w:r w:rsidRPr="004472A6">
        <w:rPr>
          <w:lang w:val="en" w:bidi="en-US"/>
        </w:rPr>
        <w:t>The provision of case consultation, training, technical assistance, and other legal resources enhances the ability of legal and aging service providers and advocates to help older adults maintain independence, live in their homes and communities, make their own decisions, and maintain their financial security</w:t>
      </w:r>
      <w:r w:rsidR="0090625D">
        <w:rPr>
          <w:lang w:val="en" w:bidi="en-US"/>
        </w:rPr>
        <w:t>.</w:t>
      </w:r>
    </w:p>
    <w:p w14:paraId="306A6C41" w14:textId="77777777" w:rsidR="008733D0" w:rsidRPr="00460974" w:rsidRDefault="008733D0" w:rsidP="00460974">
      <w:pPr>
        <w:jc w:val="both"/>
      </w:pPr>
    </w:p>
    <w:p w14:paraId="592037A2" w14:textId="52562BB6" w:rsidR="00460974" w:rsidRPr="000B38B2" w:rsidRDefault="00460974" w:rsidP="00916C9D">
      <w:pPr>
        <w:pStyle w:val="Heading2"/>
      </w:pPr>
      <w:bookmarkStart w:id="74" w:name="_Toc536443933"/>
      <w:bookmarkStart w:id="75" w:name="_Toc9929366"/>
      <w:r w:rsidRPr="00460974">
        <w:lastRenderedPageBreak/>
        <w:t>Model Approaches to Statewide Legal Assistance Systems</w:t>
      </w:r>
      <w:bookmarkEnd w:id="74"/>
      <w:bookmarkEnd w:id="75"/>
    </w:p>
    <w:bookmarkEnd w:id="72"/>
    <w:p w14:paraId="4291C05E" w14:textId="4405E95B" w:rsidR="000B38B2" w:rsidRPr="004472A6" w:rsidRDefault="000B38B2" w:rsidP="000B38B2">
      <w:pPr>
        <w:jc w:val="center"/>
        <w:rPr>
          <w:b/>
          <w:i/>
        </w:rPr>
      </w:pPr>
      <w:r w:rsidRPr="004472A6">
        <w:rPr>
          <w:b/>
          <w:i/>
        </w:rPr>
        <w:t>(FY 2017: $1,461,819)</w:t>
      </w:r>
    </w:p>
    <w:p w14:paraId="6C8DA951" w14:textId="77777777" w:rsidR="000B38B2" w:rsidRPr="004472A6" w:rsidRDefault="000B38B2" w:rsidP="000B38B2">
      <w:pPr>
        <w:jc w:val="both"/>
      </w:pPr>
    </w:p>
    <w:p w14:paraId="11A57A18" w14:textId="5431A15A" w:rsidR="000B38B2" w:rsidRPr="004472A6" w:rsidRDefault="000B38B2" w:rsidP="000B38B2">
      <w:pPr>
        <w:jc w:val="both"/>
      </w:pPr>
      <w:r w:rsidRPr="004472A6">
        <w:t>Model Approaches grants help states develop and implement statewide systems enhancements in the delivery of legal assistance to older adults with economic or social need experiencing priority legal issue</w:t>
      </w:r>
      <w:r>
        <w:t>s</w:t>
      </w:r>
      <w:r w:rsidRPr="004472A6">
        <w:t xml:space="preserve"> set fo</w:t>
      </w:r>
      <w:r w:rsidR="00623B2C">
        <w:t xml:space="preserve">rth in the Older Americans Act.  </w:t>
      </w:r>
      <w:r w:rsidRPr="004472A6">
        <w:t>Systems enhancements include i</w:t>
      </w:r>
      <w:r>
        <w:t>ntegrating Senior Legal Helplines</w:t>
      </w:r>
      <w:r w:rsidRPr="004472A6">
        <w:t xml:space="preserve">, which provide brief service, advice and counsel and a portal to full legal representation, along with other low and no-cost legal services delivery mechanisms into a broad spectrum comprising a state’s legal service delivery network. </w:t>
      </w:r>
    </w:p>
    <w:p w14:paraId="1449B354" w14:textId="77777777" w:rsidR="000B38B2" w:rsidRPr="004472A6" w:rsidRDefault="000B38B2" w:rsidP="000B38B2">
      <w:pPr>
        <w:jc w:val="both"/>
      </w:pPr>
    </w:p>
    <w:p w14:paraId="6A71515D" w14:textId="244B83FD" w:rsidR="000B38B2" w:rsidRPr="004472A6" w:rsidRDefault="000B38B2" w:rsidP="000B38B2">
      <w:pPr>
        <w:jc w:val="both"/>
      </w:pPr>
      <w:r w:rsidRPr="004472A6">
        <w:t xml:space="preserve">Model Approaches </w:t>
      </w:r>
      <w:r>
        <w:t xml:space="preserve">are led by </w:t>
      </w:r>
      <w:r w:rsidRPr="004472A6">
        <w:t>Legal Assistance Developers at the state level</w:t>
      </w:r>
      <w:r>
        <w:t xml:space="preserve"> and involve </w:t>
      </w:r>
      <w:r w:rsidRPr="004472A6">
        <w:t>project partners includ</w:t>
      </w:r>
      <w:r>
        <w:t>ing</w:t>
      </w:r>
      <w:r w:rsidRPr="004472A6">
        <w:t xml:space="preserve"> </w:t>
      </w:r>
      <w:r>
        <w:t xml:space="preserve">Older Americans Act </w:t>
      </w:r>
      <w:r w:rsidRPr="004472A6">
        <w:t>Title III-B</w:t>
      </w:r>
      <w:r>
        <w:t>-funded</w:t>
      </w:r>
      <w:r w:rsidRPr="004472A6">
        <w:t xml:space="preserve"> legal services providers</w:t>
      </w:r>
      <w:r w:rsidR="00623B2C">
        <w:t xml:space="preserve">.  </w:t>
      </w:r>
      <w:r w:rsidR="0090632A">
        <w:t>An</w:t>
      </w:r>
      <w:r w:rsidRPr="004472A6">
        <w:t xml:space="preserve"> example of </w:t>
      </w:r>
      <w:r>
        <w:t xml:space="preserve">how legal assistance providers in states receiving Model Approaches grants were able to empower their older clients </w:t>
      </w:r>
      <w:r w:rsidRPr="004472A6">
        <w:t>include:</w:t>
      </w:r>
    </w:p>
    <w:p w14:paraId="184B514D" w14:textId="77777777" w:rsidR="000B38B2" w:rsidRPr="007B6053" w:rsidRDefault="000B38B2" w:rsidP="000B38B2">
      <w:pPr>
        <w:jc w:val="both"/>
      </w:pPr>
    </w:p>
    <w:p w14:paraId="1C7ABBC2" w14:textId="7E90B275" w:rsidR="000B38B2" w:rsidRPr="009A4915" w:rsidRDefault="000B38B2" w:rsidP="0090625D">
      <w:pPr>
        <w:pStyle w:val="ListParagraph"/>
        <w:numPr>
          <w:ilvl w:val="0"/>
          <w:numId w:val="21"/>
        </w:numPr>
        <w:jc w:val="both"/>
      </w:pPr>
      <w:r w:rsidRPr="009A4915">
        <w:t>An Older Americans Act-funded legal assistance provider in Connecticut assisted in the resolution of a</w:t>
      </w:r>
      <w:r w:rsidRPr="009A4915">
        <w:rPr>
          <w:iCs/>
        </w:rPr>
        <w:t xml:space="preserve"> counterfeit check scam wherein an older adult received a letter stating that she had won a big prize. In order to collect the prize, she was told to deposit an attached $5,000 check into her bank account, draw it out in cash and send the money back </w:t>
      </w:r>
      <w:r w:rsidR="00623B2C">
        <w:rPr>
          <w:iCs/>
        </w:rPr>
        <w:t xml:space="preserve">to the company to cover “fees”.  </w:t>
      </w:r>
      <w:r w:rsidRPr="009A4915">
        <w:rPr>
          <w:iCs/>
        </w:rPr>
        <w:t>When she did so, the check bounced and the bank demanded she pay back the $5,000</w:t>
      </w:r>
      <w:r w:rsidR="00623B2C">
        <w:rPr>
          <w:iCs/>
        </w:rPr>
        <w:t xml:space="preserve">.  </w:t>
      </w:r>
      <w:r w:rsidRPr="009A4915">
        <w:rPr>
          <w:iCs/>
        </w:rPr>
        <w:t>Her only income was from Social Security, and she cou</w:t>
      </w:r>
      <w:r w:rsidR="00623B2C">
        <w:rPr>
          <w:iCs/>
        </w:rPr>
        <w:t xml:space="preserve">ldn’t afford to repay the bank.  </w:t>
      </w:r>
      <w:r w:rsidRPr="009A4915">
        <w:rPr>
          <w:iCs/>
        </w:rPr>
        <w:t>The legal assistance provider reached out to the bank, explaining that the older adult had been a victim of fraud, couldn’t afford to pay the bank back, and was judgment proof</w:t>
      </w:r>
      <w:r w:rsidR="00623B2C">
        <w:rPr>
          <w:iCs/>
        </w:rPr>
        <w:t xml:space="preserve">.  </w:t>
      </w:r>
      <w:r w:rsidRPr="009A4915">
        <w:rPr>
          <w:iCs/>
        </w:rPr>
        <w:t>The bank agreed to write off the loan debt and has not pursued repayment.</w:t>
      </w:r>
    </w:p>
    <w:p w14:paraId="459E6752" w14:textId="77777777" w:rsidR="00347A30" w:rsidRDefault="00347A30" w:rsidP="000B38B2">
      <w:pPr>
        <w:jc w:val="both"/>
        <w:rPr>
          <w:rFonts w:eastAsia="Calibri"/>
          <w:lang w:val="en"/>
        </w:rPr>
      </w:pPr>
    </w:p>
    <w:p w14:paraId="2B81D194" w14:textId="6696860D" w:rsidR="000B38B2" w:rsidRPr="004472A6" w:rsidRDefault="000B38B2" w:rsidP="000B38B2">
      <w:pPr>
        <w:jc w:val="both"/>
        <w:rPr>
          <w:rFonts w:eastAsia="Calibri"/>
          <w:lang w:val="en"/>
        </w:rPr>
      </w:pPr>
      <w:r w:rsidRPr="004472A6">
        <w:rPr>
          <w:rFonts w:eastAsia="Calibri"/>
          <w:lang w:val="en"/>
        </w:rPr>
        <w:t>Model Approaches gr</w:t>
      </w:r>
      <w:r w:rsidR="00623B2C">
        <w:rPr>
          <w:rFonts w:eastAsia="Calibri"/>
          <w:lang w:val="en"/>
        </w:rPr>
        <w:t xml:space="preserve">ants are awarded in two phases.  </w:t>
      </w:r>
      <w:r w:rsidRPr="004472A6">
        <w:rPr>
          <w:rFonts w:eastAsia="Calibri"/>
          <w:lang w:val="en"/>
        </w:rPr>
        <w:t>In accordance with the O</w:t>
      </w:r>
      <w:r>
        <w:rPr>
          <w:rFonts w:eastAsia="Calibri"/>
          <w:lang w:val="en"/>
        </w:rPr>
        <w:t xml:space="preserve">lder </w:t>
      </w:r>
      <w:r w:rsidRPr="004472A6">
        <w:rPr>
          <w:rFonts w:eastAsia="Calibri"/>
          <w:lang w:val="en"/>
        </w:rPr>
        <w:t>A</w:t>
      </w:r>
      <w:r>
        <w:rPr>
          <w:rFonts w:eastAsia="Calibri"/>
          <w:lang w:val="en"/>
        </w:rPr>
        <w:t xml:space="preserve">mericans </w:t>
      </w:r>
      <w:r w:rsidRPr="004472A6">
        <w:rPr>
          <w:rFonts w:eastAsia="Calibri"/>
          <w:lang w:val="en"/>
        </w:rPr>
        <w:t>A</w:t>
      </w:r>
      <w:r>
        <w:rPr>
          <w:rFonts w:eastAsia="Calibri"/>
          <w:lang w:val="en"/>
        </w:rPr>
        <w:t>ct</w:t>
      </w:r>
      <w:r w:rsidRPr="004472A6">
        <w:rPr>
          <w:rFonts w:eastAsia="Calibri"/>
          <w:lang w:val="en"/>
        </w:rPr>
        <w:t>, grantees work to direct these services towards older Americans with social or economic need, with particular emphasis upon low-inc</w:t>
      </w:r>
      <w:r>
        <w:rPr>
          <w:rFonts w:eastAsia="Calibri"/>
          <w:lang w:val="en"/>
        </w:rPr>
        <w:t>ome, minority, rural, homebound</w:t>
      </w:r>
      <w:r w:rsidRPr="004472A6">
        <w:rPr>
          <w:rFonts w:eastAsia="Calibri"/>
          <w:lang w:val="en"/>
        </w:rPr>
        <w:t>, and limited-English speaking older adults.</w:t>
      </w:r>
    </w:p>
    <w:p w14:paraId="2E51D4E9" w14:textId="77777777" w:rsidR="000B38B2" w:rsidRPr="004472A6" w:rsidRDefault="000B38B2" w:rsidP="000B38B2">
      <w:pPr>
        <w:jc w:val="both"/>
        <w:rPr>
          <w:rFonts w:eastAsia="Calibri"/>
          <w:lang w:val="en"/>
        </w:rPr>
      </w:pPr>
    </w:p>
    <w:p w14:paraId="1461C6B0" w14:textId="0A670F1D" w:rsidR="000B38B2" w:rsidRDefault="000B38B2" w:rsidP="000B38B2">
      <w:pPr>
        <w:jc w:val="both"/>
        <w:rPr>
          <w:rFonts w:eastAsia="Calibri"/>
          <w:lang w:val="en"/>
        </w:rPr>
      </w:pPr>
      <w:r w:rsidRPr="004472A6">
        <w:rPr>
          <w:rFonts w:eastAsia="Calibri"/>
          <w:lang w:val="en"/>
        </w:rPr>
        <w:t xml:space="preserve">In </w:t>
      </w:r>
      <w:r>
        <w:rPr>
          <w:rFonts w:eastAsia="Calibri"/>
          <w:lang w:val="en"/>
        </w:rPr>
        <w:t xml:space="preserve">FY </w:t>
      </w:r>
      <w:r w:rsidRPr="004472A6">
        <w:rPr>
          <w:rFonts w:eastAsia="Calibri"/>
          <w:lang w:val="en"/>
        </w:rPr>
        <w:t>201</w:t>
      </w:r>
      <w:r>
        <w:rPr>
          <w:rFonts w:eastAsia="Calibri"/>
          <w:lang w:val="en"/>
        </w:rPr>
        <w:t>7</w:t>
      </w:r>
      <w:r w:rsidRPr="004472A6">
        <w:rPr>
          <w:rFonts w:eastAsia="Calibri"/>
          <w:lang w:val="en"/>
        </w:rPr>
        <w:t>, two states (Tennessee and Wisconsin) were awarded Phase I grants.</w:t>
      </w:r>
      <w:r w:rsidR="00623B2C">
        <w:rPr>
          <w:rFonts w:eastAsia="Calibri"/>
          <w:lang w:val="en"/>
        </w:rPr>
        <w:t xml:space="preserve">  </w:t>
      </w:r>
      <w:r w:rsidRPr="004472A6">
        <w:rPr>
          <w:rFonts w:eastAsia="Calibri"/>
          <w:lang w:val="en"/>
        </w:rPr>
        <w:t xml:space="preserve">Phase I grantees work to develop statewide legal service delivery systems that coordinate efforts of Senior Legal Helplines, pro-bono attorneys, law school clinics, self-help sites, and </w:t>
      </w:r>
      <w:r w:rsidRPr="009A4915">
        <w:rPr>
          <w:rFonts w:eastAsia="Calibri"/>
          <w:lang w:val="en"/>
        </w:rPr>
        <w:t>Older Americans Act-funded legal services</w:t>
      </w:r>
      <w:r w:rsidRPr="004472A6">
        <w:rPr>
          <w:rFonts w:eastAsia="Calibri"/>
          <w:lang w:val="en"/>
        </w:rPr>
        <w:t xml:space="preserve"> providers to ensure maximum impact from limited resources</w:t>
      </w:r>
      <w:r w:rsidR="00C37C9F">
        <w:rPr>
          <w:rFonts w:eastAsia="Calibri"/>
          <w:lang w:val="en"/>
        </w:rPr>
        <w:t>.</w:t>
      </w:r>
      <w:r w:rsidRPr="004472A6">
        <w:rPr>
          <w:rFonts w:eastAsia="Calibri"/>
          <w:lang w:val="en"/>
        </w:rPr>
        <w:t xml:space="preserve"> </w:t>
      </w:r>
      <w:r w:rsidR="00C37C9F">
        <w:rPr>
          <w:rFonts w:eastAsia="Calibri"/>
          <w:lang w:val="en"/>
        </w:rPr>
        <w:t xml:space="preserve"> </w:t>
      </w:r>
      <w:r w:rsidRPr="004472A6">
        <w:rPr>
          <w:rFonts w:eastAsia="Calibri"/>
          <w:lang w:val="en"/>
        </w:rPr>
        <w:t xml:space="preserve">During </w:t>
      </w:r>
      <w:r>
        <w:rPr>
          <w:rFonts w:eastAsia="Calibri"/>
          <w:lang w:val="en"/>
        </w:rPr>
        <w:t>2017</w:t>
      </w:r>
      <w:r w:rsidRPr="004472A6">
        <w:rPr>
          <w:rFonts w:eastAsia="Calibri"/>
          <w:lang w:val="en"/>
        </w:rPr>
        <w:t xml:space="preserve">, </w:t>
      </w:r>
      <w:r>
        <w:rPr>
          <w:rFonts w:eastAsia="Calibri"/>
          <w:lang w:val="en"/>
        </w:rPr>
        <w:t>the</w:t>
      </w:r>
      <w:r w:rsidRPr="004472A6">
        <w:rPr>
          <w:rFonts w:eastAsia="Calibri"/>
          <w:lang w:val="en"/>
        </w:rPr>
        <w:t xml:space="preserve"> </w:t>
      </w:r>
      <w:r>
        <w:rPr>
          <w:rFonts w:eastAsia="Calibri"/>
          <w:lang w:val="en"/>
        </w:rPr>
        <w:t xml:space="preserve">grantees </w:t>
      </w:r>
      <w:r w:rsidRPr="004472A6">
        <w:rPr>
          <w:rFonts w:eastAsia="Calibri"/>
          <w:lang w:val="en"/>
        </w:rPr>
        <w:t xml:space="preserve">convened their stakeholders and </w:t>
      </w:r>
      <w:r>
        <w:rPr>
          <w:rFonts w:eastAsia="Calibri"/>
          <w:lang w:val="en"/>
        </w:rPr>
        <w:t>completed</w:t>
      </w:r>
      <w:r w:rsidRPr="004472A6">
        <w:rPr>
          <w:rFonts w:eastAsia="Calibri"/>
          <w:lang w:val="en"/>
        </w:rPr>
        <w:t xml:space="preserve"> a legal needs </w:t>
      </w:r>
      <w:r>
        <w:rPr>
          <w:rFonts w:eastAsia="Calibri"/>
          <w:lang w:val="en"/>
        </w:rPr>
        <w:t>assessment, and continued their</w:t>
      </w:r>
      <w:r w:rsidRPr="004472A6">
        <w:rPr>
          <w:rFonts w:eastAsia="Calibri"/>
          <w:lang w:val="en"/>
        </w:rPr>
        <w:t xml:space="preserve"> assessment</w:t>
      </w:r>
      <w:r>
        <w:rPr>
          <w:rFonts w:eastAsia="Calibri"/>
          <w:lang w:val="en"/>
        </w:rPr>
        <w:t>s</w:t>
      </w:r>
      <w:r w:rsidRPr="004472A6">
        <w:rPr>
          <w:rFonts w:eastAsia="Calibri"/>
          <w:lang w:val="en"/>
        </w:rPr>
        <w:t xml:space="preserve"> of the capacity of the existing </w:t>
      </w:r>
      <w:r>
        <w:rPr>
          <w:rFonts w:eastAsia="Calibri"/>
          <w:lang w:val="en"/>
        </w:rPr>
        <w:t xml:space="preserve">legal assistance </w:t>
      </w:r>
      <w:r w:rsidRPr="004472A6">
        <w:rPr>
          <w:rFonts w:eastAsia="Calibri"/>
          <w:lang w:val="en"/>
        </w:rPr>
        <w:t>network to provide legal assistance to older Americans with social or economic need on OAA-identified priority case types</w:t>
      </w:r>
      <w:r w:rsidRPr="004472A6">
        <w:rPr>
          <w:rFonts w:eastAsia="Calibri"/>
          <w:vertAlign w:val="superscript"/>
          <w:lang w:val="en"/>
        </w:rPr>
        <w:footnoteReference w:id="111"/>
      </w:r>
      <w:r w:rsidRPr="004472A6">
        <w:rPr>
          <w:rFonts w:eastAsia="Calibri"/>
          <w:lang w:val="en"/>
        </w:rPr>
        <w:t>.</w:t>
      </w:r>
      <w:r>
        <w:rPr>
          <w:rFonts w:eastAsia="Calibri"/>
          <w:lang w:val="en"/>
        </w:rPr>
        <w:t xml:space="preserve"> </w:t>
      </w:r>
    </w:p>
    <w:p w14:paraId="061011D4" w14:textId="77777777" w:rsidR="000B38B2" w:rsidRDefault="000B38B2" w:rsidP="000B38B2">
      <w:pPr>
        <w:pStyle w:val="ListParagraph"/>
        <w:jc w:val="both"/>
        <w:rPr>
          <w:rFonts w:eastAsia="Calibri"/>
          <w:lang w:val="en"/>
        </w:rPr>
      </w:pPr>
    </w:p>
    <w:p w14:paraId="318894DC" w14:textId="6B7E5882" w:rsidR="000B38B2" w:rsidRPr="009A4915" w:rsidRDefault="000B38B2" w:rsidP="0090625D">
      <w:pPr>
        <w:pStyle w:val="ListParagraph"/>
        <w:numPr>
          <w:ilvl w:val="0"/>
          <w:numId w:val="22"/>
        </w:numPr>
        <w:jc w:val="both"/>
        <w:rPr>
          <w:rFonts w:eastAsia="Calibri"/>
          <w:lang w:val="en"/>
        </w:rPr>
      </w:pPr>
      <w:r>
        <w:rPr>
          <w:rFonts w:eastAsia="Calibri"/>
          <w:lang w:val="en"/>
        </w:rPr>
        <w:t xml:space="preserve">In Tennessee, the legal assistance stakeholders convened for </w:t>
      </w:r>
      <w:r w:rsidR="0080414E">
        <w:rPr>
          <w:rFonts w:eastAsia="Calibri"/>
          <w:lang w:val="en"/>
        </w:rPr>
        <w:t xml:space="preserve">the </w:t>
      </w:r>
      <w:r>
        <w:rPr>
          <w:rFonts w:eastAsia="Calibri"/>
          <w:lang w:val="en"/>
        </w:rPr>
        <w:t xml:space="preserve">Model Approaches </w:t>
      </w:r>
      <w:r w:rsidR="0080414E">
        <w:rPr>
          <w:rFonts w:eastAsia="Calibri"/>
          <w:lang w:val="en"/>
        </w:rPr>
        <w:t xml:space="preserve">grant </w:t>
      </w:r>
      <w:r>
        <w:rPr>
          <w:rFonts w:eastAsia="Calibri"/>
          <w:lang w:val="en"/>
        </w:rPr>
        <w:t xml:space="preserve"> secured significant and sustained funding from a local source to support </w:t>
      </w:r>
      <w:r w:rsidRPr="009A4915">
        <w:rPr>
          <w:rFonts w:eastAsia="Calibri"/>
          <w:lang w:val="en"/>
        </w:rPr>
        <w:t xml:space="preserve">launch </w:t>
      </w:r>
      <w:r>
        <w:rPr>
          <w:rFonts w:eastAsia="Calibri"/>
          <w:lang w:val="en"/>
        </w:rPr>
        <w:t xml:space="preserve">of </w:t>
      </w:r>
      <w:r w:rsidRPr="009A4915">
        <w:rPr>
          <w:rFonts w:eastAsia="Calibri"/>
          <w:lang w:val="en"/>
        </w:rPr>
        <w:t>an elder-friendly component to their statewide toll-free legal aid helpline</w:t>
      </w:r>
      <w:r w:rsidR="00623B2C">
        <w:rPr>
          <w:rFonts w:eastAsia="Calibri"/>
          <w:lang w:val="en"/>
        </w:rPr>
        <w:t xml:space="preserve">.  </w:t>
      </w:r>
      <w:r>
        <w:rPr>
          <w:rFonts w:eastAsia="Calibri"/>
          <w:lang w:val="en"/>
        </w:rPr>
        <w:t xml:space="preserve">The senior component is </w:t>
      </w:r>
      <w:r w:rsidRPr="009A4915">
        <w:rPr>
          <w:rFonts w:eastAsia="Calibri"/>
          <w:lang w:val="en"/>
        </w:rPr>
        <w:t>fully integrated into Tennessee’s statewide legal aid hotline</w:t>
      </w:r>
      <w:r>
        <w:rPr>
          <w:rFonts w:eastAsia="Calibri"/>
          <w:lang w:val="en"/>
        </w:rPr>
        <w:t xml:space="preserve"> infrastructure</w:t>
      </w:r>
      <w:r w:rsidRPr="009A4915">
        <w:rPr>
          <w:rFonts w:eastAsia="Calibri"/>
          <w:lang w:val="en"/>
        </w:rPr>
        <w:t>, helping to ensure that older Tennesseans have access to a full range of needed legal assistance.</w:t>
      </w:r>
      <w:r w:rsidR="00623B2C">
        <w:rPr>
          <w:rFonts w:eastAsia="Calibri"/>
          <w:lang w:val="en"/>
        </w:rPr>
        <w:t xml:space="preserve">  </w:t>
      </w:r>
      <w:r>
        <w:rPr>
          <w:rFonts w:eastAsia="Calibri"/>
          <w:lang w:val="en"/>
        </w:rPr>
        <w:t>The funds are also used to increase the volume of complex cases the legal assistance providers are able to handle for older Tennesseans with economic and social need, including civil legal interventions to restore agency to those who have experienced elder abuse.</w:t>
      </w:r>
    </w:p>
    <w:p w14:paraId="6A3EAF13" w14:textId="77777777" w:rsidR="000B38B2" w:rsidRPr="004472A6" w:rsidRDefault="000B38B2" w:rsidP="000B38B2">
      <w:pPr>
        <w:jc w:val="both"/>
      </w:pPr>
    </w:p>
    <w:p w14:paraId="01CF5A0D" w14:textId="2EEAE719" w:rsidR="000B38B2" w:rsidRDefault="000B38B2" w:rsidP="000B38B2">
      <w:pPr>
        <w:jc w:val="both"/>
      </w:pPr>
      <w:r w:rsidRPr="004472A6">
        <w:t>In FY 201</w:t>
      </w:r>
      <w:r>
        <w:t>7</w:t>
      </w:r>
      <w:r w:rsidRPr="004472A6">
        <w:t xml:space="preserve">, </w:t>
      </w:r>
      <w:r>
        <w:t xml:space="preserve">the six </w:t>
      </w:r>
      <w:r w:rsidRPr="004472A6">
        <w:t>Model Approaches Phase II grants (Connecticut, Florida, Massachusetts, Pennsylvania, Vermont and Virginia) continue</w:t>
      </w:r>
      <w:r>
        <w:t>d</w:t>
      </w:r>
      <w:r w:rsidRPr="004472A6">
        <w:t xml:space="preserve"> the evolution of legal service delivery systems implemented through previous Model Approaches projects towards higher levels of capacity, performance and service delivery impact.</w:t>
      </w:r>
      <w:r w:rsidR="00623B2C">
        <w:t xml:space="preserve">  </w:t>
      </w:r>
      <w:r w:rsidRPr="004472A6">
        <w:t xml:space="preserve">Phase II Model Approaches grants are focused </w:t>
      </w:r>
      <w:r>
        <w:t xml:space="preserve">in part </w:t>
      </w:r>
      <w:r w:rsidRPr="004472A6">
        <w:t xml:space="preserve">on enhancing civil legal responses to complex issues that emerge </w:t>
      </w:r>
      <w:r w:rsidRPr="004472A6">
        <w:lastRenderedPageBreak/>
        <w:t>from elder abuse, negle</w:t>
      </w:r>
      <w:r w:rsidR="00623B2C">
        <w:t xml:space="preserve">ct, and financial exploitation.  </w:t>
      </w:r>
      <w:r w:rsidRPr="00786923">
        <w:t xml:space="preserve">Additionally, these grants seek to expand outreach to older adults with social or economic need and work to </w:t>
      </w:r>
      <w:r w:rsidRPr="009A4915">
        <w:t>create legal service delivery guidelines that bring the laws and regulations related to the provision of legal assistance under the Older Americans Act</w:t>
      </w:r>
      <w:r w:rsidR="00623B2C">
        <w:t xml:space="preserve"> to life within their states.  </w:t>
      </w:r>
      <w:r w:rsidRPr="00786923">
        <w:t xml:space="preserve">In 2017, </w:t>
      </w:r>
      <w:r w:rsidRPr="009A4915">
        <w:t>Phase II Model Approaches grantees completed capacity assessments that included recommendations for systemic enhancements to be implemented in Year 3 of their grants, and created legal services guidelines, as described above</w:t>
      </w:r>
      <w:r w:rsidR="00623B2C">
        <w:t xml:space="preserve">.  </w:t>
      </w:r>
      <w:r w:rsidRPr="009A4915">
        <w:t>They continued to implement their Senior Legal Helplines to provide legal advice and brief service to older adults, as well as referral to those who needed full service legal representation.</w:t>
      </w:r>
    </w:p>
    <w:p w14:paraId="0ABE58A7" w14:textId="77777777" w:rsidR="000B38B2" w:rsidRPr="009A4915" w:rsidRDefault="000B38B2" w:rsidP="000B38B2">
      <w:pPr>
        <w:pStyle w:val="ListParagraph"/>
        <w:keepNext/>
        <w:jc w:val="both"/>
      </w:pPr>
    </w:p>
    <w:p w14:paraId="435BAD6D" w14:textId="39347B9C" w:rsidR="000B38B2" w:rsidRPr="001F4935" w:rsidRDefault="000B38B2" w:rsidP="0090625D">
      <w:pPr>
        <w:pStyle w:val="ListParagraph"/>
        <w:keepNext/>
        <w:numPr>
          <w:ilvl w:val="0"/>
          <w:numId w:val="21"/>
        </w:numPr>
        <w:jc w:val="both"/>
      </w:pPr>
      <w:r w:rsidRPr="001F4935">
        <w:rPr>
          <w:color w:val="000000"/>
        </w:rPr>
        <w:t xml:space="preserve">Florida’s Model Approaches </w:t>
      </w:r>
      <w:r>
        <w:rPr>
          <w:color w:val="000000"/>
        </w:rPr>
        <w:t xml:space="preserve">grant </w:t>
      </w:r>
      <w:r w:rsidRPr="001F4935">
        <w:rPr>
          <w:color w:val="000000"/>
        </w:rPr>
        <w:t>implement</w:t>
      </w:r>
      <w:r>
        <w:rPr>
          <w:color w:val="000000"/>
        </w:rPr>
        <w:t xml:space="preserve">ed </w:t>
      </w:r>
      <w:r w:rsidRPr="001F4935">
        <w:rPr>
          <w:color w:val="000000"/>
        </w:rPr>
        <w:t>a medical-legal partnership focused on</w:t>
      </w:r>
      <w:r w:rsidR="00C37C9F">
        <w:rPr>
          <w:color w:val="000000"/>
        </w:rPr>
        <w:t xml:space="preserve"> the </w:t>
      </w:r>
      <w:r w:rsidRPr="001F4935">
        <w:rPr>
          <w:color w:val="000000"/>
        </w:rPr>
        <w:t xml:space="preserve">older population </w:t>
      </w:r>
      <w:r w:rsidR="00C37C9F">
        <w:rPr>
          <w:color w:val="000000"/>
        </w:rPr>
        <w:t>in</w:t>
      </w:r>
      <w:r w:rsidRPr="001F4935">
        <w:rPr>
          <w:color w:val="000000"/>
        </w:rPr>
        <w:t xml:space="preserve"> the </w:t>
      </w:r>
      <w:r w:rsidRPr="002656BE">
        <w:rPr>
          <w:color w:val="000000"/>
        </w:rPr>
        <w:t>Gainesville area. Three Rivers Legal Services partners</w:t>
      </w:r>
      <w:r w:rsidR="00C37C9F">
        <w:rPr>
          <w:color w:val="000000"/>
        </w:rPr>
        <w:t xml:space="preserve"> with </w:t>
      </w:r>
      <w:r w:rsidR="00C37C9F" w:rsidRPr="002656BE">
        <w:rPr>
          <w:color w:val="000000"/>
        </w:rPr>
        <w:t>the University of Florida medical Center in Gainesville</w:t>
      </w:r>
      <w:r w:rsidRPr="002656BE">
        <w:rPr>
          <w:color w:val="000000"/>
        </w:rPr>
        <w:t xml:space="preserve"> for regularly scheduled onsite consultations with individuals and clinicians</w:t>
      </w:r>
      <w:r w:rsidR="00623B2C">
        <w:rPr>
          <w:color w:val="000000"/>
        </w:rPr>
        <w:t xml:space="preserve">.  </w:t>
      </w:r>
      <w:r w:rsidRPr="002656BE">
        <w:rPr>
          <w:color w:val="000000"/>
        </w:rPr>
        <w:t>The legal assistance program conducts direct intake, refers for more in-depth legal assistance; and consults with clinical staff about the needs of qualified patients</w:t>
      </w:r>
      <w:r w:rsidR="001B2DC3">
        <w:rPr>
          <w:color w:val="000000"/>
        </w:rPr>
        <w:t xml:space="preserve">. </w:t>
      </w:r>
      <w:r w:rsidRPr="002656BE">
        <w:rPr>
          <w:color w:val="000000"/>
        </w:rPr>
        <w:t>Joint trainings are offered on how to recognize and address priority legal issues as defined in the Older Americans Act and the interplay with social determinants of health</w:t>
      </w:r>
      <w:r w:rsidR="00623B2C">
        <w:rPr>
          <w:color w:val="000000"/>
        </w:rPr>
        <w:t xml:space="preserve">.  </w:t>
      </w:r>
      <w:r w:rsidRPr="002656BE">
        <w:rPr>
          <w:color w:val="000000"/>
        </w:rPr>
        <w:t>Th</w:t>
      </w:r>
      <w:r>
        <w:rPr>
          <w:color w:val="000000"/>
        </w:rPr>
        <w:t>e Medical legal partnership</w:t>
      </w:r>
      <w:r w:rsidRPr="001F4935">
        <w:rPr>
          <w:color w:val="000000"/>
        </w:rPr>
        <w:t xml:space="preserve"> model provide</w:t>
      </w:r>
      <w:r>
        <w:rPr>
          <w:color w:val="000000"/>
        </w:rPr>
        <w:t>s</w:t>
      </w:r>
      <w:r w:rsidRPr="001F4935">
        <w:rPr>
          <w:color w:val="000000"/>
        </w:rPr>
        <w:t xml:space="preserve"> </w:t>
      </w:r>
      <w:r>
        <w:rPr>
          <w:color w:val="000000"/>
        </w:rPr>
        <w:t>streamlined</w:t>
      </w:r>
      <w:r w:rsidRPr="001F4935">
        <w:rPr>
          <w:color w:val="000000"/>
        </w:rPr>
        <w:t xml:space="preserve"> access to legal services for </w:t>
      </w:r>
      <w:r w:rsidR="00CA672B">
        <w:rPr>
          <w:color w:val="000000"/>
        </w:rPr>
        <w:t xml:space="preserve">older, </w:t>
      </w:r>
      <w:r w:rsidRPr="001F4935">
        <w:rPr>
          <w:color w:val="000000"/>
        </w:rPr>
        <w:t>low-income patients while helping to improve health outcomes by addressing</w:t>
      </w:r>
      <w:r w:rsidR="00623B2C">
        <w:rPr>
          <w:color w:val="000000"/>
        </w:rPr>
        <w:t xml:space="preserve"> social and legal determinants.  </w:t>
      </w:r>
      <w:r>
        <w:rPr>
          <w:color w:val="000000"/>
        </w:rPr>
        <w:t>The Gainesville Medical Legal Partnership is one of only three nationwide that focuses on older populations.</w:t>
      </w:r>
    </w:p>
    <w:p w14:paraId="693FACA1" w14:textId="77777777" w:rsidR="008733D0" w:rsidRDefault="008733D0" w:rsidP="00FB1981"/>
    <w:p w14:paraId="11F5A7AF" w14:textId="1765F113" w:rsidR="00FB1981" w:rsidRPr="000B38B2" w:rsidRDefault="00FB1981" w:rsidP="00916C9D">
      <w:pPr>
        <w:pStyle w:val="Heading2"/>
      </w:pPr>
      <w:bookmarkStart w:id="76" w:name="_Toc436738891"/>
      <w:bookmarkStart w:id="77" w:name="_Toc536443934"/>
      <w:bookmarkStart w:id="78" w:name="_Toc9929367"/>
      <w:r w:rsidRPr="00FB1981">
        <w:t>Pension Counseling and Information Program</w:t>
      </w:r>
      <w:bookmarkEnd w:id="76"/>
      <w:bookmarkEnd w:id="77"/>
      <w:bookmarkEnd w:id="78"/>
    </w:p>
    <w:p w14:paraId="3547168C" w14:textId="5257F9F8" w:rsidR="00D223C8" w:rsidRPr="000B38B2" w:rsidRDefault="00D223C8" w:rsidP="000B38B2">
      <w:pPr>
        <w:jc w:val="center"/>
      </w:pPr>
      <w:bookmarkStart w:id="79" w:name="_Toc536443935"/>
      <w:bookmarkStart w:id="80" w:name="_Toc436738895"/>
      <w:bookmarkStart w:id="81" w:name="_Toc284574154"/>
      <w:bookmarkEnd w:id="62"/>
      <w:bookmarkEnd w:id="63"/>
      <w:bookmarkEnd w:id="64"/>
      <w:r w:rsidRPr="000813FB">
        <w:rPr>
          <w:b/>
          <w:i/>
        </w:rPr>
        <w:t>(FY 2017: $1,515,137)</w:t>
      </w:r>
    </w:p>
    <w:p w14:paraId="0338D9AC" w14:textId="77777777" w:rsidR="00D223C8" w:rsidRPr="000813FB" w:rsidRDefault="00D223C8" w:rsidP="00D223C8">
      <w:r w:rsidRPr="000813FB">
        <w:t xml:space="preserve"> </w:t>
      </w:r>
    </w:p>
    <w:p w14:paraId="370342AC" w14:textId="13052071" w:rsidR="00D223C8" w:rsidRPr="000813FB" w:rsidRDefault="00D223C8" w:rsidP="00D223C8">
      <w:pPr>
        <w:jc w:val="both"/>
      </w:pPr>
      <w:r w:rsidRPr="000813FB">
        <w:t>In 1992, Congress directed AoA to develop demonstration projects specifically designed to help ind</w:t>
      </w:r>
      <w:r w:rsidR="00623B2C">
        <w:t xml:space="preserve">ividuals with pension problems.  </w:t>
      </w:r>
      <w:r w:rsidRPr="000813FB">
        <w:t xml:space="preserve">These demonstrations were so successful that Congress established pension counseling as a permanent program under Title II of the OAA in 2000. </w:t>
      </w:r>
    </w:p>
    <w:p w14:paraId="13219A41" w14:textId="77777777" w:rsidR="00D223C8" w:rsidRPr="000813FB" w:rsidRDefault="00D223C8" w:rsidP="00D223C8">
      <w:pPr>
        <w:jc w:val="both"/>
      </w:pPr>
      <w:r w:rsidRPr="000813FB">
        <w:t xml:space="preserve"> </w:t>
      </w:r>
    </w:p>
    <w:p w14:paraId="0B276AF6" w14:textId="3974C38F" w:rsidR="00D223C8" w:rsidRPr="000813FB" w:rsidRDefault="00D223C8" w:rsidP="00D223C8">
      <w:pPr>
        <w:jc w:val="both"/>
      </w:pPr>
      <w:r w:rsidRPr="000813FB">
        <w:t>Today, there are more than 700,000 private (as well as thousands of public) pension and retirem</w:t>
      </w:r>
      <w:r w:rsidR="00623B2C">
        <w:t xml:space="preserve">ent plans in the United States.  </w:t>
      </w:r>
      <w:r w:rsidRPr="000813FB">
        <w:t>Thousands of Americans reach retirement age each year, only to be told that they will not receive the pension</w:t>
      </w:r>
      <w:r w:rsidR="00623B2C">
        <w:t xml:space="preserve"> benefits they expected.  </w:t>
      </w:r>
      <w:r w:rsidRPr="000813FB">
        <w:t xml:space="preserve">Because individuals have generally worked for several employers, which may have merged, sold their plans, or gone bankrupt, it is very difficult for most people to know where to get help in finding out whether or not they are receiving all of the pension benefits to which they are entitled. </w:t>
      </w:r>
    </w:p>
    <w:p w14:paraId="023F0D74" w14:textId="77777777" w:rsidR="00D223C8" w:rsidRPr="000813FB" w:rsidRDefault="00D223C8" w:rsidP="00D223C8">
      <w:pPr>
        <w:jc w:val="both"/>
      </w:pPr>
      <w:r w:rsidRPr="000813FB">
        <w:t xml:space="preserve"> </w:t>
      </w:r>
    </w:p>
    <w:p w14:paraId="47F3C374" w14:textId="48E076DE" w:rsidR="00D223C8" w:rsidRPr="000813FB" w:rsidRDefault="00D223C8" w:rsidP="00D223C8">
      <w:pPr>
        <w:jc w:val="both"/>
      </w:pPr>
      <w:r w:rsidRPr="000813FB">
        <w:t xml:space="preserve">Benefits from employer-sponsored pensions and retirement savings plans are as critical today to the retirement security of Americans as they were when the pension counseling program was first </w:t>
      </w:r>
      <w:r w:rsidR="00623B2C">
        <w:t xml:space="preserve">established.  </w:t>
      </w:r>
      <w:r w:rsidRPr="000813FB">
        <w:t>The pension questions which people face are just as complex, and good help is just as hard to find – even more so for those with</w:t>
      </w:r>
      <w:r w:rsidR="00623B2C">
        <w:t xml:space="preserve"> only modest benefits at stake.  </w:t>
      </w:r>
      <w:r w:rsidRPr="000813FB">
        <w:t>The role of the Pension Counseling and Information Program</w:t>
      </w:r>
      <w:r w:rsidR="00C37C9F">
        <w:t xml:space="preserve"> (PCIP)</w:t>
      </w:r>
      <w:r w:rsidRPr="000813FB">
        <w:t xml:space="preserve"> is to help ensure that all older Americans have access to the help they need in order to secure the employer-sponsored retirement benefits they have earned --- benefits that are critical to their ability to live independently and with dignity after a lifetime of productive employ</w:t>
      </w:r>
      <w:r w:rsidR="00623B2C">
        <w:t xml:space="preserve">ment.  </w:t>
      </w:r>
      <w:r w:rsidRPr="000813FB">
        <w:t>The Pension Counseling and Information Program provides help that would be otherwise unavailable, by assisting individuals in understanding and e</w:t>
      </w:r>
      <w:r w:rsidR="00623B2C">
        <w:t xml:space="preserve">xercising their pension rights.  </w:t>
      </w:r>
      <w:r w:rsidRPr="000813FB">
        <w:t>The program promotes the financial security of older individuals by offering them the help they need to receive the pen</w:t>
      </w:r>
      <w:r w:rsidR="00623B2C">
        <w:t xml:space="preserve">sion benefits they have earned.  </w:t>
      </w:r>
      <w:r w:rsidRPr="000813FB">
        <w:t>The income, in turn, provides increased opportunities for choice and independence</w:t>
      </w:r>
      <w:r w:rsidR="001B2DC3">
        <w:t xml:space="preserve">. </w:t>
      </w:r>
    </w:p>
    <w:p w14:paraId="6D9E0857" w14:textId="77777777" w:rsidR="00D223C8" w:rsidRPr="000813FB" w:rsidRDefault="00D223C8" w:rsidP="00D223C8">
      <w:pPr>
        <w:jc w:val="both"/>
      </w:pPr>
    </w:p>
    <w:p w14:paraId="62B2E239" w14:textId="6C2903AB" w:rsidR="00D223C8" w:rsidRPr="000813FB" w:rsidRDefault="00D223C8" w:rsidP="00D223C8">
      <w:pPr>
        <w:jc w:val="both"/>
      </w:pPr>
      <w:r w:rsidRPr="000813FB">
        <w:t>AoA currently funds six regional counseling projects covering 30 states and a technical assistance resource center to assist older Americans in accessing information about their retirement benefits and to help them negotiate with former employers or pens</w:t>
      </w:r>
      <w:r w:rsidR="00623B2C">
        <w:t xml:space="preserve">ion plans for due compensation.  </w:t>
      </w:r>
      <w:r w:rsidRPr="000813FB">
        <w:t>The six regional counseling projects are:</w:t>
      </w:r>
    </w:p>
    <w:p w14:paraId="039D7EDA" w14:textId="77777777" w:rsidR="00D223C8" w:rsidRPr="000813FB" w:rsidRDefault="00D223C8" w:rsidP="00D223C8">
      <w:pPr>
        <w:jc w:val="both"/>
      </w:pPr>
    </w:p>
    <w:p w14:paraId="4C181203" w14:textId="77777777" w:rsidR="00D223C8" w:rsidRPr="000813FB" w:rsidRDefault="00D223C8" w:rsidP="000B38B2">
      <w:pPr>
        <w:numPr>
          <w:ilvl w:val="0"/>
          <w:numId w:val="15"/>
        </w:numPr>
        <w:contextualSpacing/>
        <w:jc w:val="both"/>
      </w:pPr>
      <w:r w:rsidRPr="000813FB">
        <w:lastRenderedPageBreak/>
        <w:t>The Mid-American Pension Rights Project, serving Michigan, Ohio, Indiana, Tennessee, Pennsylvania, and Kentucky;</w:t>
      </w:r>
    </w:p>
    <w:p w14:paraId="5277EC5C" w14:textId="77777777" w:rsidR="00D223C8" w:rsidRPr="000813FB" w:rsidRDefault="00D223C8" w:rsidP="000B38B2">
      <w:pPr>
        <w:numPr>
          <w:ilvl w:val="0"/>
          <w:numId w:val="15"/>
        </w:numPr>
        <w:contextualSpacing/>
        <w:jc w:val="both"/>
      </w:pPr>
      <w:r w:rsidRPr="000813FB">
        <w:t>The New England Pension Assistance Project, serving Connecticut, Maine, Massachusetts, New Hampshire, Rhode Island and Vermont (and also supporting pensioners in Illinois);</w:t>
      </w:r>
    </w:p>
    <w:p w14:paraId="5DB35525" w14:textId="77777777" w:rsidR="00D223C8" w:rsidRPr="000813FB" w:rsidRDefault="00D223C8" w:rsidP="000B38B2">
      <w:pPr>
        <w:numPr>
          <w:ilvl w:val="0"/>
          <w:numId w:val="15"/>
        </w:numPr>
        <w:contextualSpacing/>
        <w:jc w:val="both"/>
      </w:pPr>
      <w:r w:rsidRPr="000813FB">
        <w:t>The South Central Pension Rights Project, serving Arkansas, Louisiana, Missouri, New Mexico, Oklahoma and Texas;</w:t>
      </w:r>
    </w:p>
    <w:p w14:paraId="43D65079" w14:textId="77777777" w:rsidR="00D223C8" w:rsidRPr="000813FB" w:rsidRDefault="00D223C8" w:rsidP="000B38B2">
      <w:pPr>
        <w:numPr>
          <w:ilvl w:val="0"/>
          <w:numId w:val="15"/>
        </w:numPr>
        <w:contextualSpacing/>
        <w:jc w:val="both"/>
      </w:pPr>
      <w:r w:rsidRPr="000813FB">
        <w:t xml:space="preserve">The Upper Midwest Pension Rights Office, serving Iowa, Minnesota, North Dakota, South Dakota, and Wisconsin; </w:t>
      </w:r>
    </w:p>
    <w:p w14:paraId="0FD9F83E" w14:textId="77777777" w:rsidR="00D223C8" w:rsidRPr="000813FB" w:rsidRDefault="00D223C8" w:rsidP="000B38B2">
      <w:pPr>
        <w:numPr>
          <w:ilvl w:val="0"/>
          <w:numId w:val="15"/>
        </w:numPr>
        <w:contextualSpacing/>
        <w:jc w:val="both"/>
      </w:pPr>
      <w:r w:rsidRPr="000813FB">
        <w:t>The Mid-Atlantic Pension Counseling Project, serving New York and New Jersey; and,</w:t>
      </w:r>
    </w:p>
    <w:p w14:paraId="38152489" w14:textId="77777777" w:rsidR="00D223C8" w:rsidRPr="000813FB" w:rsidRDefault="00D223C8" w:rsidP="000B38B2">
      <w:pPr>
        <w:numPr>
          <w:ilvl w:val="0"/>
          <w:numId w:val="15"/>
        </w:numPr>
        <w:contextualSpacing/>
        <w:jc w:val="both"/>
      </w:pPr>
      <w:r w:rsidRPr="000813FB">
        <w:t>The Western States Pension Counseling Project, serving Arizona, California, Hawaii, and Nevada.</w:t>
      </w:r>
    </w:p>
    <w:p w14:paraId="1E277696" w14:textId="77777777" w:rsidR="00D223C8" w:rsidRPr="000813FB" w:rsidRDefault="00D223C8" w:rsidP="00D223C8">
      <w:pPr>
        <w:ind w:left="720"/>
        <w:contextualSpacing/>
        <w:jc w:val="both"/>
      </w:pPr>
    </w:p>
    <w:p w14:paraId="6AFD11A9" w14:textId="77777777" w:rsidR="00D223C8" w:rsidRPr="000813FB" w:rsidRDefault="00D223C8" w:rsidP="00D223C8">
      <w:pPr>
        <w:jc w:val="both"/>
      </w:pPr>
      <w:r w:rsidRPr="000813FB">
        <w:t xml:space="preserve">The projects help with cases that private pension professionals are reluctant to take, where the benefits in question are small, as is often the case with low-income workers and those with limited English proficiency, but to whom these modest amounts make a huge difference in maintaining their financial security and independence. </w:t>
      </w:r>
    </w:p>
    <w:p w14:paraId="099B70F1" w14:textId="77777777" w:rsidR="00D223C8" w:rsidRPr="000813FB" w:rsidRDefault="00D223C8" w:rsidP="00D223C8">
      <w:pPr>
        <w:jc w:val="both"/>
      </w:pPr>
      <w:r w:rsidRPr="000813FB">
        <w:t xml:space="preserve"> </w:t>
      </w:r>
    </w:p>
    <w:p w14:paraId="2B487A6F" w14:textId="55A13D4F" w:rsidR="00D223C8" w:rsidRPr="003256DB" w:rsidRDefault="00D223C8" w:rsidP="00D223C8">
      <w:pPr>
        <w:jc w:val="both"/>
      </w:pPr>
      <w:r w:rsidRPr="003256DB">
        <w:t>Data show that since the program’s inception in 1993 through 2017, the Pension Counseling projects have recovered $243 million in retirement benefits</w:t>
      </w:r>
      <w:r w:rsidR="00623B2C">
        <w:t xml:space="preserve"> for more than 60,000 retirees.  </w:t>
      </w:r>
      <w:r w:rsidRPr="003256DB">
        <w:t xml:space="preserve">With a relatively small federal investment, the program as a whole has brought in a return of more than $9.00 for every federal </w:t>
      </w:r>
      <w:r w:rsidR="000E5BAB">
        <w:t xml:space="preserve">dollar invested in the program.  </w:t>
      </w:r>
      <w:r w:rsidRPr="003256DB">
        <w:t>These recoveries demonstrate that pension counseling is not only necessary, but that it can be provid</w:t>
      </w:r>
      <w:r w:rsidR="000E5BAB">
        <w:t xml:space="preserve">ed efficiently and effectively.  </w:t>
      </w:r>
      <w:r w:rsidRPr="003256DB">
        <w:t>Some projects demonstrate an even higher return. For example, the Mid-America Pension Rights Project, operated by ElderLaw Michigan, calculated for their reporting period of July 1, 2017-December 21, 2017, recovering 26 individual pension benefits presently valued at $1,391,208.00—a return of $14 for every federal dollar invested in</w:t>
      </w:r>
      <w:r w:rsidR="000E5BAB">
        <w:t xml:space="preserve"> the operation of this project.  </w:t>
      </w:r>
      <w:r w:rsidRPr="003256DB">
        <w:t>In addition to the dollars recovered by PCIP-funded organizations on behalf of clients, ACL/AoA is able to measure efficacy of the program through number of clients served, which are tracked on a bi-annual basis through 6-month progress reports of project successes, recovered funds, and client intake.</w:t>
      </w:r>
    </w:p>
    <w:p w14:paraId="168DC699" w14:textId="77777777" w:rsidR="00D223C8" w:rsidRDefault="00D223C8" w:rsidP="00D223C8">
      <w:pPr>
        <w:ind w:left="360"/>
        <w:jc w:val="both"/>
      </w:pPr>
    </w:p>
    <w:p w14:paraId="58089FFE" w14:textId="24E52F44" w:rsidR="00D223C8" w:rsidRDefault="00D223C8" w:rsidP="00D223C8">
      <w:pPr>
        <w:jc w:val="both"/>
      </w:pPr>
      <w:r w:rsidRPr="000813FB">
        <w:t>The impact of the projects’ work is best illustrated through presentation of cases successfully resolved during this period:</w:t>
      </w:r>
    </w:p>
    <w:p w14:paraId="0752FF46" w14:textId="77777777" w:rsidR="0047073D" w:rsidRPr="000813FB" w:rsidRDefault="0047073D" w:rsidP="00D223C8">
      <w:pPr>
        <w:jc w:val="both"/>
      </w:pPr>
    </w:p>
    <w:p w14:paraId="5DEEA6E4" w14:textId="69C5BE07" w:rsidR="00D223C8" w:rsidRPr="000813FB" w:rsidRDefault="00D223C8" w:rsidP="000B38B2">
      <w:pPr>
        <w:numPr>
          <w:ilvl w:val="0"/>
          <w:numId w:val="16"/>
        </w:numPr>
        <w:contextualSpacing/>
      </w:pPr>
      <w:r w:rsidRPr="000813FB">
        <w:t>The New England Pension Assistance Project successfully provided help to a woman with disabilities from Connecticut who had been receiving benefits from her ex-husband’s plan pursuant to a qualified domestic relations order (QDRO) since 2003. In 2015, the plan notified her that she had been receiving the wrong benefit and had been</w:t>
      </w:r>
      <w:r w:rsidR="000E5BAB">
        <w:t xml:space="preserve"> overpaid by more than $22,000.  </w:t>
      </w:r>
      <w:r w:rsidRPr="000813FB">
        <w:t>The plan increasingly lowered her monthly benefit to correct for the alle</w:t>
      </w:r>
      <w:r w:rsidR="000E5BAB">
        <w:t xml:space="preserve">ged overpayment, plus interest.  </w:t>
      </w:r>
      <w:r w:rsidRPr="000813FB">
        <w:t>This was insufficient for the client to make ends meet, so she contacted her Congressman, w</w:t>
      </w:r>
      <w:r w:rsidR="000E5BAB">
        <w:t xml:space="preserve">ho referred her to the project.  </w:t>
      </w:r>
      <w:r w:rsidRPr="000813FB">
        <w:t>With the help of the project, the plan agreed to stop further recoupment and restore her monthly benefit to a livable sum.</w:t>
      </w:r>
    </w:p>
    <w:p w14:paraId="27856DF1" w14:textId="77777777" w:rsidR="00D223C8" w:rsidRPr="000813FB" w:rsidRDefault="00D223C8" w:rsidP="00D223C8">
      <w:pPr>
        <w:ind w:left="720"/>
        <w:contextualSpacing/>
      </w:pPr>
    </w:p>
    <w:p w14:paraId="44D78CB8" w14:textId="30CC9F76" w:rsidR="00D223C8" w:rsidRPr="005B72A4" w:rsidRDefault="00D223C8" w:rsidP="0090625D">
      <w:pPr>
        <w:pStyle w:val="ListParagraph"/>
        <w:numPr>
          <w:ilvl w:val="0"/>
          <w:numId w:val="20"/>
        </w:numPr>
        <w:jc w:val="both"/>
      </w:pPr>
      <w:r w:rsidRPr="005B72A4">
        <w:t>The Upper Midwest Pension Rights Project</w:t>
      </w:r>
      <w:r w:rsidRPr="005B72A4">
        <w:rPr>
          <w:bCs/>
        </w:rPr>
        <w:t xml:space="preserve"> was able to help an older adult obtain a significant amount of money from </w:t>
      </w:r>
      <w:r w:rsidR="000E5BAB">
        <w:rPr>
          <w:bCs/>
        </w:rPr>
        <w:t xml:space="preserve">a former spouse’s pension plan.  </w:t>
      </w:r>
      <w:r w:rsidRPr="005B72A4">
        <w:rPr>
          <w:bCs/>
        </w:rPr>
        <w:t>The project provided support to a client in drafting a QDRO f</w:t>
      </w:r>
      <w:r w:rsidR="000E5BAB">
        <w:rPr>
          <w:bCs/>
        </w:rPr>
        <w:t xml:space="preserve">or a Defined Contribution Plan.  </w:t>
      </w:r>
      <w:r w:rsidRPr="005B72A4">
        <w:rPr>
          <w:bCs/>
        </w:rPr>
        <w:t>The Project drafted the QDRO for the client, got the QDRO approved, and assisted the client in obtaining the benefit for a total of $69,190.</w:t>
      </w:r>
    </w:p>
    <w:p w14:paraId="1C3E4457" w14:textId="77777777" w:rsidR="00D223C8" w:rsidRDefault="00D223C8" w:rsidP="00D223C8">
      <w:pPr>
        <w:jc w:val="both"/>
      </w:pPr>
    </w:p>
    <w:p w14:paraId="1BD07AC0" w14:textId="2ECA6C5D" w:rsidR="00D223C8" w:rsidRPr="000813FB" w:rsidRDefault="00D223C8" w:rsidP="00D223C8">
      <w:pPr>
        <w:jc w:val="both"/>
      </w:pPr>
      <w:r w:rsidRPr="000813FB">
        <w:t>A critical component of the program is the National Pension Assistance Resource Center (the Center) which provides support to the counseling projects and facilitates coordination among the projects, SUAs, AAAs, legal services providers, and others by providing substantive legal training, technical assistance,</w:t>
      </w:r>
      <w:r w:rsidR="0034127A">
        <w:t xml:space="preserve"> and programmatic consultation.  </w:t>
      </w:r>
      <w:r w:rsidRPr="000813FB">
        <w:t xml:space="preserve">The Center also assists individuals in states not currently served by AoA’s pension counseling projects by providing nationwide referral and information services, both by telephone and through the </w:t>
      </w:r>
      <w:r w:rsidRPr="000813FB">
        <w:rPr>
          <w:i/>
        </w:rPr>
        <w:lastRenderedPageBreak/>
        <w:t>PensionHelp America</w:t>
      </w:r>
      <w:r w:rsidRPr="000813FB">
        <w:t xml:space="preserve"> website, a nationwide database of pension assistance and information resources:  </w:t>
      </w:r>
      <w:hyperlink r:id="rId21" w:history="1">
        <w:r w:rsidRPr="000813FB">
          <w:rPr>
            <w:color w:val="0000FF"/>
            <w:u w:val="single"/>
          </w:rPr>
          <w:t>http://www.PensionHelp.org</w:t>
        </w:r>
      </w:hyperlink>
      <w:r w:rsidRPr="000813FB">
        <w:rPr>
          <w:color w:val="0000FF"/>
          <w:u w:val="single"/>
        </w:rPr>
        <w:t>.</w:t>
      </w:r>
      <w:r w:rsidRPr="000813FB">
        <w:t xml:space="preserve">. </w:t>
      </w:r>
    </w:p>
    <w:p w14:paraId="2801D39F" w14:textId="77777777" w:rsidR="00D223C8" w:rsidRPr="000813FB" w:rsidRDefault="00D223C8" w:rsidP="00D223C8">
      <w:pPr>
        <w:spacing w:after="200" w:line="276" w:lineRule="auto"/>
        <w:rPr>
          <w:rFonts w:ascii="Calibri" w:eastAsia="Calibri" w:hAnsi="Calibri"/>
        </w:rPr>
      </w:pPr>
    </w:p>
    <w:p w14:paraId="69203341" w14:textId="77777777" w:rsidR="00D223C8" w:rsidRDefault="00D223C8" w:rsidP="00D223C8">
      <w:r w:rsidRPr="000813FB">
        <w:rPr>
          <w:spacing w:val="-2"/>
        </w:rPr>
        <w:br w:type="page"/>
      </w:r>
    </w:p>
    <w:p w14:paraId="49AEADB9" w14:textId="57EF0B19" w:rsidR="003F3BD7" w:rsidRPr="00137CD4" w:rsidRDefault="003F3BD7" w:rsidP="00916C9D">
      <w:pPr>
        <w:pStyle w:val="Heading2"/>
        <w:rPr>
          <w:spacing w:val="-2"/>
        </w:rPr>
      </w:pPr>
      <w:bookmarkStart w:id="82" w:name="_Toc9929368"/>
      <w:r w:rsidRPr="003F3BD7">
        <w:lastRenderedPageBreak/>
        <w:t>Long-Term Care Ombudsman Program</w:t>
      </w:r>
      <w:bookmarkEnd w:id="79"/>
      <w:bookmarkEnd w:id="82"/>
    </w:p>
    <w:p w14:paraId="4D4B6FCB" w14:textId="3252D79C" w:rsidR="003F3BD7" w:rsidRPr="003F3BD7" w:rsidRDefault="00787BDF" w:rsidP="003F3BD7">
      <w:pPr>
        <w:jc w:val="center"/>
        <w:rPr>
          <w:b/>
        </w:rPr>
      </w:pPr>
      <w:r w:rsidRPr="005725DA">
        <w:rPr>
          <w:b/>
        </w:rPr>
        <w:t>(FY 2017: $ 15,814,316</w:t>
      </w:r>
      <w:r w:rsidR="003F3BD7" w:rsidRPr="003F3BD7">
        <w:rPr>
          <w:b/>
        </w:rPr>
        <w:t>)</w:t>
      </w:r>
      <w:r w:rsidR="003F3BD7" w:rsidRPr="003F3BD7">
        <w:rPr>
          <w:b/>
          <w:vertAlign w:val="superscript"/>
        </w:rPr>
        <w:footnoteReference w:id="112"/>
      </w:r>
    </w:p>
    <w:p w14:paraId="2CFCFFFE" w14:textId="77777777" w:rsidR="003256DB" w:rsidRDefault="003256DB" w:rsidP="0083249C">
      <w:pPr>
        <w:jc w:val="both"/>
      </w:pPr>
    </w:p>
    <w:p w14:paraId="25EA371D" w14:textId="6FA3C0EC" w:rsidR="0083249C" w:rsidRPr="0083249C" w:rsidRDefault="0083249C" w:rsidP="0083249C">
      <w:pPr>
        <w:jc w:val="both"/>
      </w:pPr>
      <w:r w:rsidRPr="0083249C">
        <w:t>State Long-Term Care (LTC) Ombudsman programs work to resolve problems related to the health, safety, welfare and rights of individuals who live in long-term care facilities (i.e. nursing homes, board and care, assisted living and other</w:t>
      </w:r>
      <w:r w:rsidR="00011BE2">
        <w:t xml:space="preserve"> residential care communities).  </w:t>
      </w:r>
      <w:r w:rsidRPr="0083249C">
        <w:t xml:space="preserve">LTC Ombudsman programs promote policies and consumer protections to improve long-term services and supports (LTSS) at facility, local, state and national levels and play an important role in elder justice networks. </w:t>
      </w:r>
    </w:p>
    <w:p w14:paraId="255112A0" w14:textId="77777777" w:rsidR="0083249C" w:rsidRPr="0083249C" w:rsidRDefault="0083249C" w:rsidP="0083249C">
      <w:pPr>
        <w:jc w:val="both"/>
      </w:pPr>
    </w:p>
    <w:p w14:paraId="32445BB8" w14:textId="3AE8EAAE" w:rsidR="0083249C" w:rsidRPr="0083249C" w:rsidRDefault="0083249C" w:rsidP="0083249C">
      <w:pPr>
        <w:jc w:val="both"/>
      </w:pPr>
      <w:r w:rsidRPr="0083249C">
        <w:t>Begun in 1972 as a demonstration program, today the LTC Ombudsman program operates in all states, the District of Columbia, Puerto Rico and Guam, under the authorization of the OAA</w:t>
      </w:r>
      <w:r w:rsidR="00011BE2">
        <w:t xml:space="preserve">.  </w:t>
      </w:r>
      <w:r w:rsidRPr="0083249C">
        <w:t>Each state has an Office of the State LTC Ombudsman (Office), headed by a full-time State LTC Ombudsman (Ombudsman) who</w:t>
      </w:r>
      <w:r w:rsidR="00011BE2">
        <w:t xml:space="preserve"> directs the program statewide.  </w:t>
      </w:r>
      <w:r w:rsidRPr="0083249C">
        <w:t>Across the nation, staff and thousands of volunteers designated by their State Ombudsman provide service</w:t>
      </w:r>
      <w:r w:rsidR="00C37C9F">
        <w:t>s</w:t>
      </w:r>
      <w:r w:rsidRPr="0083249C">
        <w:t xml:space="preserve"> to residents.</w:t>
      </w:r>
    </w:p>
    <w:p w14:paraId="037F6249" w14:textId="77777777" w:rsidR="0083249C" w:rsidRPr="0083249C" w:rsidRDefault="0083249C" w:rsidP="0083249C">
      <w:pPr>
        <w:jc w:val="both"/>
      </w:pPr>
    </w:p>
    <w:p w14:paraId="48EA4616" w14:textId="77777777" w:rsidR="0083249C" w:rsidRPr="0083249C" w:rsidRDefault="0083249C" w:rsidP="0083249C">
      <w:pPr>
        <w:jc w:val="both"/>
      </w:pPr>
      <w:r w:rsidRPr="0083249C">
        <w:t>The OAA requires LTC Ombudsman programs to:</w:t>
      </w:r>
    </w:p>
    <w:p w14:paraId="5E8FA357" w14:textId="77777777" w:rsidR="0083249C" w:rsidRPr="0083249C" w:rsidRDefault="0083249C" w:rsidP="0083249C">
      <w:pPr>
        <w:jc w:val="both"/>
      </w:pPr>
    </w:p>
    <w:p w14:paraId="477A2948" w14:textId="77777777" w:rsidR="0083249C" w:rsidRPr="0083249C" w:rsidRDefault="0083249C" w:rsidP="0083249C">
      <w:pPr>
        <w:numPr>
          <w:ilvl w:val="0"/>
          <w:numId w:val="17"/>
        </w:numPr>
        <w:jc w:val="both"/>
      </w:pPr>
      <w:r w:rsidRPr="0083249C">
        <w:t>Identify, investigate and resolve complaints made by or on behalf of residents.</w:t>
      </w:r>
    </w:p>
    <w:p w14:paraId="348E7F7B" w14:textId="77777777" w:rsidR="0083249C" w:rsidRPr="0083249C" w:rsidRDefault="0083249C" w:rsidP="0083249C">
      <w:pPr>
        <w:numPr>
          <w:ilvl w:val="0"/>
          <w:numId w:val="17"/>
        </w:numPr>
        <w:jc w:val="both"/>
      </w:pPr>
      <w:r w:rsidRPr="0083249C">
        <w:t>Provide information to residents about long-term services and supports.</w:t>
      </w:r>
    </w:p>
    <w:p w14:paraId="59BD60BB" w14:textId="77777777" w:rsidR="0083249C" w:rsidRPr="0083249C" w:rsidRDefault="0083249C" w:rsidP="0083249C">
      <w:pPr>
        <w:numPr>
          <w:ilvl w:val="0"/>
          <w:numId w:val="17"/>
        </w:numPr>
        <w:jc w:val="both"/>
      </w:pPr>
      <w:r w:rsidRPr="0083249C">
        <w:t>Ensure that residents have regular and timely access to ombudsman services.</w:t>
      </w:r>
    </w:p>
    <w:p w14:paraId="5134D7F9" w14:textId="77777777" w:rsidR="0083249C" w:rsidRPr="0083249C" w:rsidRDefault="0083249C" w:rsidP="0083249C">
      <w:pPr>
        <w:numPr>
          <w:ilvl w:val="0"/>
          <w:numId w:val="17"/>
        </w:numPr>
        <w:jc w:val="both"/>
      </w:pPr>
      <w:r w:rsidRPr="0083249C">
        <w:t>Represent the interests of residents before governmental agencies and seek administrative, legal and other remedies to protect residents and</w:t>
      </w:r>
    </w:p>
    <w:p w14:paraId="734E56D4" w14:textId="77777777" w:rsidR="0083249C" w:rsidRPr="0083249C" w:rsidRDefault="0083249C" w:rsidP="0083249C">
      <w:pPr>
        <w:numPr>
          <w:ilvl w:val="0"/>
          <w:numId w:val="17"/>
        </w:numPr>
        <w:jc w:val="both"/>
      </w:pPr>
      <w:r w:rsidRPr="0083249C">
        <w:t>Analyze, comment on, and recommend changes in laws and regulations pertaining to the health, safety, welfare and rights of residents.</w:t>
      </w:r>
    </w:p>
    <w:p w14:paraId="1F65E805" w14:textId="77777777" w:rsidR="0083249C" w:rsidRPr="0083249C" w:rsidRDefault="0083249C" w:rsidP="0083249C">
      <w:pPr>
        <w:jc w:val="both"/>
      </w:pPr>
    </w:p>
    <w:p w14:paraId="2382DBF7" w14:textId="77777777" w:rsidR="0083249C" w:rsidRPr="0083249C" w:rsidRDefault="0083249C" w:rsidP="0083249C">
      <w:pPr>
        <w:jc w:val="both"/>
        <w:rPr>
          <w:u w:val="single"/>
        </w:rPr>
      </w:pPr>
      <w:r w:rsidRPr="0083249C">
        <w:rPr>
          <w:u w:val="single"/>
        </w:rPr>
        <w:t>Improving and Evaluating Ombudsman Program Services</w:t>
      </w:r>
    </w:p>
    <w:p w14:paraId="6E3D4588" w14:textId="77777777" w:rsidR="0083249C" w:rsidRPr="0083249C" w:rsidRDefault="0083249C" w:rsidP="0083249C">
      <w:pPr>
        <w:jc w:val="both"/>
      </w:pPr>
    </w:p>
    <w:p w14:paraId="3FA15217" w14:textId="61984B7C" w:rsidR="0083249C" w:rsidRPr="0083249C" w:rsidRDefault="0083249C" w:rsidP="0083249C">
      <w:pPr>
        <w:jc w:val="both"/>
      </w:pPr>
      <w:r w:rsidRPr="0083249C">
        <w:t>In order to improve the quality and effectiveness of LTC Ombudsman program services to residents, ACL is undertaking the implementation of a LTC Ombudsman program evaluation in order to understan</w:t>
      </w:r>
      <w:r w:rsidR="00011BE2">
        <w:t xml:space="preserve">d service delivery models.  </w:t>
      </w:r>
      <w:r w:rsidRPr="0083249C">
        <w:t>This process evaluation will help ACL lay the foundation to evaluate</w:t>
      </w:r>
      <w:r w:rsidR="00011BE2">
        <w:t xml:space="preserve"> program impact and efficiency.  </w:t>
      </w:r>
      <w:r w:rsidRPr="0083249C">
        <w:t>Not since the Institute of Medicine’s 1995 report, has there been a comprehensive, national evalu</w:t>
      </w:r>
      <w:r w:rsidR="00011BE2">
        <w:t xml:space="preserve">ation of the Ombudsman program.  </w:t>
      </w:r>
      <w:r w:rsidRPr="0083249C">
        <w:t>ACL completed its evaluation design in 20</w:t>
      </w:r>
      <w:r w:rsidR="0047073D">
        <w:t>13, anticipates completing</w:t>
      </w:r>
      <w:r w:rsidRPr="0083249C">
        <w:t xml:space="preserve"> the process evaluation in 2019</w:t>
      </w:r>
      <w:r w:rsidR="0047073D">
        <w:t>,</w:t>
      </w:r>
      <w:r w:rsidRPr="0083249C">
        <w:t xml:space="preserve"> and is beginning an </w:t>
      </w:r>
      <w:r w:rsidR="00C37C9F">
        <w:t>o</w:t>
      </w:r>
      <w:r w:rsidR="003422D0">
        <w:t>utcome</w:t>
      </w:r>
      <w:r w:rsidRPr="0083249C">
        <w:t xml:space="preserve"> evaluation to obtain the perspectives of residents, their families and facility staff</w:t>
      </w:r>
      <w:r w:rsidR="00011BE2">
        <w:t xml:space="preserve">.  </w:t>
      </w:r>
      <w:r w:rsidRPr="0083249C">
        <w:t>Anticipated completion of the Outcome evaluation is 2021.</w:t>
      </w:r>
    </w:p>
    <w:p w14:paraId="183C10AF" w14:textId="7D59BEA6" w:rsidR="0083249C" w:rsidRPr="0083249C" w:rsidRDefault="0083249C" w:rsidP="0083249C">
      <w:pPr>
        <w:jc w:val="both"/>
      </w:pPr>
    </w:p>
    <w:p w14:paraId="5358CA89" w14:textId="77777777" w:rsidR="0083249C" w:rsidRPr="0083249C" w:rsidRDefault="0083249C" w:rsidP="0083249C">
      <w:pPr>
        <w:jc w:val="both"/>
        <w:rPr>
          <w:u w:val="single"/>
        </w:rPr>
      </w:pPr>
      <w:r w:rsidRPr="0083249C">
        <w:rPr>
          <w:u w:val="single"/>
        </w:rPr>
        <w:t>Complaint Investigation and Resolution</w:t>
      </w:r>
    </w:p>
    <w:p w14:paraId="105ED61E" w14:textId="77777777" w:rsidR="0083249C" w:rsidRPr="0083249C" w:rsidRDefault="0083249C" w:rsidP="0083249C">
      <w:pPr>
        <w:jc w:val="both"/>
      </w:pPr>
    </w:p>
    <w:p w14:paraId="21490967" w14:textId="45878A39" w:rsidR="0083249C" w:rsidRPr="0083249C" w:rsidRDefault="0083249C" w:rsidP="0083249C">
      <w:pPr>
        <w:jc w:val="both"/>
      </w:pPr>
      <w:r w:rsidRPr="0083249C">
        <w:t>LTC Ombudsman programs provide a person-centered alternative dispute resolution service, working with (or on behalf of) long-term care facility residents to resolve complaints</w:t>
      </w:r>
      <w:r w:rsidR="00011BE2">
        <w:t xml:space="preserve">.  </w:t>
      </w:r>
      <w:r w:rsidRPr="0083249C">
        <w:t>Ombudsman programs nationwide:</w:t>
      </w:r>
    </w:p>
    <w:p w14:paraId="09FA795B" w14:textId="77777777" w:rsidR="0083249C" w:rsidRPr="0083249C" w:rsidRDefault="0083249C" w:rsidP="0083249C">
      <w:pPr>
        <w:jc w:val="both"/>
      </w:pPr>
    </w:p>
    <w:p w14:paraId="690E4FBA" w14:textId="77777777" w:rsidR="0083249C" w:rsidRPr="0083249C" w:rsidRDefault="0083249C" w:rsidP="0090625D">
      <w:pPr>
        <w:numPr>
          <w:ilvl w:val="0"/>
          <w:numId w:val="23"/>
        </w:numPr>
        <w:jc w:val="both"/>
      </w:pPr>
      <w:r w:rsidRPr="0083249C">
        <w:t>Completed resolution work on 201,460</w:t>
      </w:r>
      <w:r w:rsidRPr="0083249C">
        <w:rPr>
          <w:vertAlign w:val="superscript"/>
        </w:rPr>
        <w:footnoteReference w:id="113"/>
      </w:r>
      <w:r w:rsidRPr="0083249C">
        <w:t xml:space="preserve"> complaints and resolved 73 percent of these complaints to the full or partial satisfaction of the resident or complainant.</w:t>
      </w:r>
    </w:p>
    <w:p w14:paraId="65159132" w14:textId="5C30D1AD" w:rsidR="0083249C" w:rsidRPr="0083249C" w:rsidRDefault="0047073D" w:rsidP="0090625D">
      <w:pPr>
        <w:numPr>
          <w:ilvl w:val="0"/>
          <w:numId w:val="23"/>
        </w:numPr>
        <w:jc w:val="both"/>
      </w:pPr>
      <w:r>
        <w:lastRenderedPageBreak/>
        <w:t>Sixty-eight</w:t>
      </w:r>
      <w:r w:rsidR="0083249C" w:rsidRPr="0083249C">
        <w:t xml:space="preserve"> percent of complaint resolution work occurred in nursing facility settings; 30 percent occurred in board and care, assisted living or other residential care communities; and 2 percent were associated with non-facility settings or services to facility residents by an outside provider</w:t>
      </w:r>
      <w:r w:rsidR="001B2DC3">
        <w:t xml:space="preserve">. </w:t>
      </w:r>
    </w:p>
    <w:p w14:paraId="07702A52" w14:textId="77777777" w:rsidR="0083249C" w:rsidRPr="0083249C" w:rsidRDefault="0083249C" w:rsidP="0090625D">
      <w:pPr>
        <w:numPr>
          <w:ilvl w:val="0"/>
          <w:numId w:val="23"/>
        </w:numPr>
        <w:jc w:val="both"/>
      </w:pPr>
      <w:r w:rsidRPr="0083249C">
        <w:t>Residents were the primary complainant in nursing facilities (42 percent) and in board and care, assisted living and other residential care communities (35 percent).</w:t>
      </w:r>
      <w:r w:rsidRPr="0083249C">
        <w:rPr>
          <w:vertAlign w:val="superscript"/>
        </w:rPr>
        <w:footnoteReference w:id="114"/>
      </w:r>
    </w:p>
    <w:p w14:paraId="751448A1" w14:textId="77777777" w:rsidR="0083249C" w:rsidRPr="0083249C" w:rsidRDefault="0083249C" w:rsidP="0083249C">
      <w:pPr>
        <w:jc w:val="both"/>
      </w:pPr>
    </w:p>
    <w:p w14:paraId="26333536" w14:textId="77777777" w:rsidR="0083249C" w:rsidRPr="0083249C" w:rsidRDefault="0083249C" w:rsidP="0083249C">
      <w:pPr>
        <w:jc w:val="both"/>
      </w:pPr>
      <w:r w:rsidRPr="0083249C">
        <w:t xml:space="preserve">The five most frequent nursing facility complaints handled by Ombudsman programs were: </w:t>
      </w:r>
    </w:p>
    <w:p w14:paraId="158D21AD" w14:textId="77777777" w:rsidR="0083249C" w:rsidRPr="0083249C" w:rsidRDefault="0083249C" w:rsidP="0083249C">
      <w:pPr>
        <w:jc w:val="both"/>
      </w:pPr>
    </w:p>
    <w:p w14:paraId="6251A125" w14:textId="77777777" w:rsidR="0083249C" w:rsidRPr="0083249C" w:rsidRDefault="0083249C" w:rsidP="0090625D">
      <w:pPr>
        <w:numPr>
          <w:ilvl w:val="0"/>
          <w:numId w:val="24"/>
        </w:numPr>
        <w:jc w:val="both"/>
      </w:pPr>
      <w:r w:rsidRPr="0083249C">
        <w:t>Improper eviction or inadequate discharge/planning.</w:t>
      </w:r>
    </w:p>
    <w:p w14:paraId="709FE43A" w14:textId="77777777" w:rsidR="0083249C" w:rsidRPr="0083249C" w:rsidRDefault="0083249C" w:rsidP="0090625D">
      <w:pPr>
        <w:numPr>
          <w:ilvl w:val="0"/>
          <w:numId w:val="24"/>
        </w:numPr>
        <w:jc w:val="both"/>
      </w:pPr>
      <w:r w:rsidRPr="0083249C">
        <w:t>Unanswered requests for assistance.</w:t>
      </w:r>
    </w:p>
    <w:p w14:paraId="41037277" w14:textId="77777777" w:rsidR="0083249C" w:rsidRPr="0083249C" w:rsidRDefault="0083249C" w:rsidP="0090625D">
      <w:pPr>
        <w:numPr>
          <w:ilvl w:val="0"/>
          <w:numId w:val="24"/>
        </w:numPr>
        <w:jc w:val="both"/>
      </w:pPr>
      <w:r w:rsidRPr="0083249C">
        <w:t>Lack of respect for residents, poor staff attitudes.</w:t>
      </w:r>
    </w:p>
    <w:p w14:paraId="3C4B2090" w14:textId="77777777" w:rsidR="0083249C" w:rsidRPr="0083249C" w:rsidRDefault="0083249C" w:rsidP="0090625D">
      <w:pPr>
        <w:numPr>
          <w:ilvl w:val="0"/>
          <w:numId w:val="24"/>
        </w:numPr>
        <w:jc w:val="both"/>
      </w:pPr>
      <w:r w:rsidRPr="0083249C">
        <w:t xml:space="preserve">Administration and organization of medications and </w:t>
      </w:r>
    </w:p>
    <w:p w14:paraId="292D0C48" w14:textId="77777777" w:rsidR="0083249C" w:rsidRPr="0083249C" w:rsidRDefault="0083249C" w:rsidP="0090625D">
      <w:pPr>
        <w:numPr>
          <w:ilvl w:val="0"/>
          <w:numId w:val="24"/>
        </w:numPr>
        <w:jc w:val="both"/>
      </w:pPr>
      <w:r w:rsidRPr="0083249C">
        <w:t>Quality of life, specifically resident/roommate conflict.</w:t>
      </w:r>
    </w:p>
    <w:p w14:paraId="403CE313" w14:textId="77777777" w:rsidR="0083249C" w:rsidRPr="0083249C" w:rsidRDefault="0083249C" w:rsidP="0083249C">
      <w:pPr>
        <w:jc w:val="both"/>
      </w:pPr>
    </w:p>
    <w:p w14:paraId="7AE01D3A" w14:textId="77777777" w:rsidR="0083249C" w:rsidRPr="0083249C" w:rsidRDefault="0083249C" w:rsidP="0083249C">
      <w:pPr>
        <w:jc w:val="both"/>
      </w:pPr>
      <w:r w:rsidRPr="0083249C">
        <w:t>The five most frequent complaints in board and care, assisted living, and other residential care communities handled by Ombudsman programs were:</w:t>
      </w:r>
    </w:p>
    <w:p w14:paraId="02CE254C" w14:textId="77777777" w:rsidR="0083249C" w:rsidRPr="0083249C" w:rsidRDefault="0083249C" w:rsidP="0083249C">
      <w:pPr>
        <w:jc w:val="both"/>
      </w:pPr>
    </w:p>
    <w:p w14:paraId="39798563" w14:textId="77777777" w:rsidR="0083249C" w:rsidRPr="0083249C" w:rsidRDefault="0083249C" w:rsidP="0090625D">
      <w:pPr>
        <w:numPr>
          <w:ilvl w:val="0"/>
          <w:numId w:val="25"/>
        </w:numPr>
        <w:jc w:val="both"/>
      </w:pPr>
      <w:r w:rsidRPr="0083249C">
        <w:t>Improper eviction or inadequate discharge planning.</w:t>
      </w:r>
    </w:p>
    <w:p w14:paraId="05FF0A53" w14:textId="77777777" w:rsidR="0083249C" w:rsidRPr="0083249C" w:rsidRDefault="0083249C" w:rsidP="0090625D">
      <w:pPr>
        <w:numPr>
          <w:ilvl w:val="0"/>
          <w:numId w:val="25"/>
        </w:numPr>
        <w:jc w:val="both"/>
      </w:pPr>
      <w:r w:rsidRPr="0083249C">
        <w:t>Administration and organization of medications.</w:t>
      </w:r>
    </w:p>
    <w:p w14:paraId="243BD717" w14:textId="77777777" w:rsidR="0083249C" w:rsidRPr="0083249C" w:rsidRDefault="0083249C" w:rsidP="0090625D">
      <w:pPr>
        <w:numPr>
          <w:ilvl w:val="0"/>
          <w:numId w:val="25"/>
        </w:numPr>
        <w:jc w:val="both"/>
      </w:pPr>
      <w:r w:rsidRPr="0083249C">
        <w:t>Quality, quantity, variation and choice of food.</w:t>
      </w:r>
    </w:p>
    <w:p w14:paraId="26B74507" w14:textId="77777777" w:rsidR="0083249C" w:rsidRPr="0083249C" w:rsidRDefault="0083249C" w:rsidP="0090625D">
      <w:pPr>
        <w:numPr>
          <w:ilvl w:val="0"/>
          <w:numId w:val="25"/>
        </w:numPr>
        <w:jc w:val="both"/>
      </w:pPr>
      <w:r w:rsidRPr="0083249C">
        <w:t>Lack of respect for residents, poor staff attitudes and</w:t>
      </w:r>
    </w:p>
    <w:p w14:paraId="5FDFF5CF" w14:textId="77777777" w:rsidR="0083249C" w:rsidRPr="0083249C" w:rsidRDefault="0083249C" w:rsidP="0090625D">
      <w:pPr>
        <w:numPr>
          <w:ilvl w:val="0"/>
          <w:numId w:val="25"/>
        </w:numPr>
        <w:jc w:val="both"/>
      </w:pPr>
      <w:r w:rsidRPr="0083249C">
        <w:t xml:space="preserve">Building or equipment in disrepair or hazardous. </w:t>
      </w:r>
    </w:p>
    <w:p w14:paraId="2DE5DEFE" w14:textId="77777777" w:rsidR="0083249C" w:rsidRPr="0083249C" w:rsidRDefault="0083249C" w:rsidP="0083249C">
      <w:pPr>
        <w:jc w:val="both"/>
      </w:pPr>
    </w:p>
    <w:p w14:paraId="67550C41" w14:textId="6DE825C4" w:rsidR="0083249C" w:rsidRPr="0083249C" w:rsidRDefault="0083249C" w:rsidP="0083249C">
      <w:pPr>
        <w:jc w:val="both"/>
      </w:pPr>
      <w:r w:rsidRPr="0083249C">
        <w:t>Long-Term Care Ombudsman programs devote significant effort to addressing improper discharge and eviction. This complaint is the most common among both nursing home and board and care residents in FY 2017 and is best illustrated by example o</w:t>
      </w:r>
      <w:r w:rsidR="0090632A">
        <w:t>f a successful case resolution.</w:t>
      </w:r>
    </w:p>
    <w:p w14:paraId="44C408F5" w14:textId="77777777" w:rsidR="0083249C" w:rsidRPr="0083249C" w:rsidRDefault="0083249C" w:rsidP="0083249C">
      <w:pPr>
        <w:jc w:val="both"/>
      </w:pPr>
    </w:p>
    <w:p w14:paraId="2F9875B3" w14:textId="2ED82442" w:rsidR="0083249C" w:rsidRPr="0083249C" w:rsidRDefault="0083249C" w:rsidP="0090625D">
      <w:pPr>
        <w:numPr>
          <w:ilvl w:val="0"/>
          <w:numId w:val="26"/>
        </w:numPr>
        <w:jc w:val="both"/>
      </w:pPr>
      <w:r w:rsidRPr="0083249C">
        <w:t>During the course of a routine visits the volunteer representative of the Office of Ombudsman met with a resident and her family</w:t>
      </w:r>
      <w:r w:rsidR="00B154D7">
        <w:t xml:space="preserve">.  </w:t>
      </w:r>
      <w:r w:rsidRPr="0083249C">
        <w:t>She learned that the resident was given a discharge notice; she had 30 days to find a new home</w:t>
      </w:r>
      <w:r w:rsidR="00B154D7">
        <w:t xml:space="preserve">.  </w:t>
      </w:r>
      <w:r w:rsidRPr="0083249C">
        <w:t>The facility reason for discharge was that they could no longer “meet her needs.”  The family wanted to contest the discharge and requested Ombudsman program interven</w:t>
      </w:r>
      <w:r w:rsidR="00B154D7">
        <w:t xml:space="preserve">tion.  </w:t>
      </w:r>
      <w:r w:rsidRPr="0083249C">
        <w:t>The resident has Alzheimer’s disease and the facility was not providing the individualized</w:t>
      </w:r>
      <w:r w:rsidR="00B154D7">
        <w:t xml:space="preserve"> care necessary to support her.  </w:t>
      </w:r>
      <w:r w:rsidRPr="0083249C">
        <w:t>The persistence of the volunteer representative of the Office was instrumental in a successful resolution</w:t>
      </w:r>
      <w:r w:rsidR="00B154D7">
        <w:t xml:space="preserve">.  </w:t>
      </w:r>
      <w:r w:rsidRPr="0083249C">
        <w:t xml:space="preserve">She identified and followed up to ensure that staffing changes, addressing shower safety, lowering the dosage of medications which caused sleepiness, and providing assistance </w:t>
      </w:r>
      <w:r w:rsidR="00B154D7">
        <w:t xml:space="preserve">at meal times were implemented.  </w:t>
      </w:r>
      <w:r w:rsidRPr="0083249C">
        <w:t>Her advocacy helped the resident and with the implementation of new care practices, made a p</w:t>
      </w:r>
      <w:r w:rsidR="0047073D">
        <w:t>ositive impact for all resident</w:t>
      </w:r>
      <w:r w:rsidRPr="0083249C">
        <w:t xml:space="preserve">s living in this facility. </w:t>
      </w:r>
    </w:p>
    <w:p w14:paraId="06E80D93" w14:textId="77777777" w:rsidR="0083249C" w:rsidRPr="0083249C" w:rsidRDefault="0083249C" w:rsidP="0083249C">
      <w:pPr>
        <w:jc w:val="both"/>
      </w:pPr>
    </w:p>
    <w:p w14:paraId="0F5D8710" w14:textId="77777777" w:rsidR="0083249C" w:rsidRPr="0083249C" w:rsidRDefault="0083249C" w:rsidP="0083249C">
      <w:pPr>
        <w:jc w:val="both"/>
      </w:pPr>
      <w:r w:rsidRPr="0083249C">
        <w:t>Ombudsman program strategies to address inappropriate discharges include developing task forces, proposing legislation, training both hospital social workers and long-term care facility staff on relevant requirements; and training residents and their families on their rights regarding discharge and transitioning out of a long-term care facility.</w:t>
      </w:r>
    </w:p>
    <w:p w14:paraId="12132F4E" w14:textId="77777777" w:rsidR="0083249C" w:rsidRPr="0083249C" w:rsidRDefault="0083249C" w:rsidP="0083249C">
      <w:pPr>
        <w:jc w:val="both"/>
      </w:pPr>
    </w:p>
    <w:p w14:paraId="050A898C" w14:textId="77777777" w:rsidR="0083249C" w:rsidRPr="0083249C" w:rsidRDefault="0083249C" w:rsidP="0083249C">
      <w:pPr>
        <w:jc w:val="both"/>
        <w:rPr>
          <w:u w:val="single"/>
        </w:rPr>
      </w:pPr>
      <w:r w:rsidRPr="0083249C">
        <w:rPr>
          <w:u w:val="single"/>
        </w:rPr>
        <w:t>Ombudsman Program Activities</w:t>
      </w:r>
    </w:p>
    <w:p w14:paraId="004B7AE8" w14:textId="77777777" w:rsidR="0083249C" w:rsidRPr="0083249C" w:rsidRDefault="0083249C" w:rsidP="0083249C">
      <w:pPr>
        <w:jc w:val="both"/>
      </w:pPr>
    </w:p>
    <w:p w14:paraId="6AB6CEDA" w14:textId="0749F720" w:rsidR="0083249C" w:rsidRPr="0083249C" w:rsidRDefault="0083249C" w:rsidP="0083249C">
      <w:pPr>
        <w:jc w:val="both"/>
      </w:pPr>
      <w:r w:rsidRPr="0083249C">
        <w:lastRenderedPageBreak/>
        <w:t>In addition to resolving complaints, LTC Ombudsman programs provide services that prevent problems for residents and serve as a resource on rights, qual</w:t>
      </w:r>
      <w:r w:rsidR="00C86C08">
        <w:t xml:space="preserve">ity care and community options.  </w:t>
      </w:r>
      <w:r w:rsidRPr="0083249C">
        <w:t>In FY 2017, LTC Ombudsman programs provided:</w:t>
      </w:r>
    </w:p>
    <w:p w14:paraId="022A605C" w14:textId="77777777" w:rsidR="0083249C" w:rsidRPr="0083249C" w:rsidRDefault="0083249C" w:rsidP="0083249C">
      <w:pPr>
        <w:jc w:val="both"/>
      </w:pPr>
    </w:p>
    <w:p w14:paraId="2EBF5F26" w14:textId="1E04A128" w:rsidR="0083249C" w:rsidRPr="0083249C" w:rsidRDefault="0083249C" w:rsidP="0090625D">
      <w:pPr>
        <w:numPr>
          <w:ilvl w:val="0"/>
          <w:numId w:val="26"/>
        </w:numPr>
        <w:jc w:val="both"/>
      </w:pPr>
      <w:r w:rsidRPr="0083249C">
        <w:t xml:space="preserve">Routine visits to 68 percent of nursing facilities and 30 percent of board and care, assisted living, and other residential care </w:t>
      </w:r>
      <w:r w:rsidR="00C86C08">
        <w:t xml:space="preserve">communities at least quarterly.  </w:t>
      </w:r>
      <w:r w:rsidRPr="0083249C">
        <w:t>These visits ensure that residents have regular access to ombudsman services</w:t>
      </w:r>
      <w:r w:rsidR="001B2DC3">
        <w:t xml:space="preserve">. </w:t>
      </w:r>
      <w:r w:rsidRPr="0083249C">
        <w:t xml:space="preserve"> </w:t>
      </w:r>
    </w:p>
    <w:p w14:paraId="7EB1F158" w14:textId="77777777" w:rsidR="0083249C" w:rsidRPr="0083249C" w:rsidRDefault="0083249C" w:rsidP="0090625D">
      <w:pPr>
        <w:numPr>
          <w:ilvl w:val="0"/>
          <w:numId w:val="26"/>
        </w:numPr>
        <w:jc w:val="both"/>
      </w:pPr>
      <w:r w:rsidRPr="0083249C">
        <w:t xml:space="preserve">Information and assistance to individuals (over 402,000 instances) on topics such as long-term services and supports options; Medicaid eligibility; discharge and eviction rights; and other federal and state policies affecting residents. </w:t>
      </w:r>
    </w:p>
    <w:p w14:paraId="0B84CB30" w14:textId="77777777" w:rsidR="0083249C" w:rsidRPr="0083249C" w:rsidRDefault="0083249C" w:rsidP="0090625D">
      <w:pPr>
        <w:numPr>
          <w:ilvl w:val="0"/>
          <w:numId w:val="26"/>
        </w:numPr>
        <w:jc w:val="both"/>
      </w:pPr>
      <w:r w:rsidRPr="0083249C">
        <w:t>Consultations and information to long-term care facility staff (over 127,068 instances), on topics such as residents’ rights, person-centered care practices, and discharge and eviction questions.</w:t>
      </w:r>
    </w:p>
    <w:p w14:paraId="00739AA0" w14:textId="77777777" w:rsidR="0083249C" w:rsidRPr="0083249C" w:rsidRDefault="0083249C" w:rsidP="0090625D">
      <w:pPr>
        <w:numPr>
          <w:ilvl w:val="0"/>
          <w:numId w:val="26"/>
        </w:numPr>
        <w:jc w:val="both"/>
      </w:pPr>
      <w:r w:rsidRPr="0083249C">
        <w:t>Resident and family council support, providing technical assistance, training and information to resident councils (21,211 sessions) and family councils (1,788 sessions).</w:t>
      </w:r>
    </w:p>
    <w:p w14:paraId="6DFFA9B7" w14:textId="77777777" w:rsidR="0083249C" w:rsidRPr="0083249C" w:rsidRDefault="0083249C" w:rsidP="0090625D">
      <w:pPr>
        <w:numPr>
          <w:ilvl w:val="0"/>
          <w:numId w:val="26"/>
        </w:numPr>
        <w:jc w:val="both"/>
      </w:pPr>
      <w:r w:rsidRPr="0083249C">
        <w:t>Training of long-term care facility staff (4,426 sessions).</w:t>
      </w:r>
    </w:p>
    <w:p w14:paraId="041EB72A" w14:textId="77777777" w:rsidR="0083249C" w:rsidRPr="0083249C" w:rsidRDefault="0083249C" w:rsidP="0090625D">
      <w:pPr>
        <w:numPr>
          <w:ilvl w:val="0"/>
          <w:numId w:val="26"/>
        </w:numPr>
        <w:jc w:val="both"/>
      </w:pPr>
      <w:r w:rsidRPr="0083249C">
        <w:t xml:space="preserve">Community education ( 10,170 sessions); and </w:t>
      </w:r>
    </w:p>
    <w:p w14:paraId="296571A5" w14:textId="77777777" w:rsidR="0083249C" w:rsidRPr="0083249C" w:rsidRDefault="0083249C" w:rsidP="0090625D">
      <w:pPr>
        <w:numPr>
          <w:ilvl w:val="0"/>
          <w:numId w:val="26"/>
        </w:numPr>
        <w:jc w:val="both"/>
      </w:pPr>
      <w:r w:rsidRPr="0083249C">
        <w:t>Coordination with licensing and survey entities, participating in 17,703 facility survey-related activities as resident advocates.</w:t>
      </w:r>
    </w:p>
    <w:p w14:paraId="33C580F0" w14:textId="77777777" w:rsidR="0083249C" w:rsidRPr="0083249C" w:rsidRDefault="0083249C" w:rsidP="0083249C">
      <w:pPr>
        <w:jc w:val="both"/>
      </w:pPr>
    </w:p>
    <w:p w14:paraId="3AF0414B" w14:textId="77777777" w:rsidR="0083249C" w:rsidRPr="0083249C" w:rsidRDefault="0083249C" w:rsidP="0083249C">
      <w:pPr>
        <w:jc w:val="both"/>
        <w:rPr>
          <w:u w:val="single"/>
        </w:rPr>
      </w:pPr>
      <w:r w:rsidRPr="0083249C">
        <w:rPr>
          <w:u w:val="single"/>
        </w:rPr>
        <w:t>Systems Advocacy</w:t>
      </w:r>
    </w:p>
    <w:p w14:paraId="2E05A660" w14:textId="77777777" w:rsidR="0083249C" w:rsidRPr="0083249C" w:rsidRDefault="0083249C" w:rsidP="0083249C">
      <w:pPr>
        <w:jc w:val="both"/>
      </w:pPr>
    </w:p>
    <w:p w14:paraId="29CC7955" w14:textId="0EC6ECFF" w:rsidR="0083249C" w:rsidRPr="0083249C" w:rsidRDefault="0083249C" w:rsidP="0083249C">
      <w:pPr>
        <w:jc w:val="both"/>
      </w:pPr>
      <w:r w:rsidRPr="0083249C">
        <w:t>In addition to individual problem resolution, Ombudsman programs advocate for resident int</w:t>
      </w:r>
      <w:r w:rsidR="00C86C08">
        <w:t xml:space="preserve">erests in public policy arenas.  </w:t>
      </w:r>
      <w:r w:rsidRPr="0083249C">
        <w:t>The OAA requires Ombudsman programs to analyze, comment on and recommend changes in laws, regulations, and government policies and actions to benefit residents. In addition to addressing improper evictions, Ombudsman programs reported on work to address systems-level issues, including:</w:t>
      </w:r>
    </w:p>
    <w:p w14:paraId="24577E28" w14:textId="77777777" w:rsidR="0083249C" w:rsidRPr="0083249C" w:rsidRDefault="0083249C" w:rsidP="0083249C">
      <w:pPr>
        <w:jc w:val="both"/>
      </w:pPr>
    </w:p>
    <w:p w14:paraId="4B8F9AEC" w14:textId="1458A5E8" w:rsidR="0083249C" w:rsidRPr="0083249C" w:rsidRDefault="0083249C" w:rsidP="0090625D">
      <w:pPr>
        <w:numPr>
          <w:ilvl w:val="0"/>
          <w:numId w:val="27"/>
        </w:numPr>
        <w:jc w:val="both"/>
      </w:pPr>
      <w:r w:rsidRPr="0083249C">
        <w:t>Response to substance abuse and drug diversion; state Ombudsman programs are beginning to see the impact of substance abuse, resident challenges with access to pain medication and problems with drug diversion</w:t>
      </w:r>
      <w:r w:rsidR="00C86C08">
        <w:t xml:space="preserve">.  </w:t>
      </w:r>
      <w:r w:rsidRPr="0083249C">
        <w:t>Ombudsman programs report that they are establishing relationships with other governmental agencies to develop practices and education to combat these problems.</w:t>
      </w:r>
    </w:p>
    <w:p w14:paraId="64BE017E" w14:textId="528D3F85" w:rsidR="0083249C" w:rsidRPr="0083249C" w:rsidRDefault="0083249C" w:rsidP="0083249C">
      <w:pPr>
        <w:jc w:val="both"/>
      </w:pPr>
    </w:p>
    <w:p w14:paraId="684C2220" w14:textId="2A383F25" w:rsidR="0083249C" w:rsidRDefault="0083249C" w:rsidP="0090625D">
      <w:pPr>
        <w:numPr>
          <w:ilvl w:val="0"/>
          <w:numId w:val="27"/>
        </w:numPr>
        <w:jc w:val="both"/>
      </w:pPr>
      <w:r w:rsidRPr="0083249C">
        <w:t>Care requests - LTC Ombudsman programs worked to resolve over 9</w:t>
      </w:r>
      <w:r w:rsidR="00C37C9F">
        <w:t>,</w:t>
      </w:r>
      <w:r w:rsidRPr="0083249C">
        <w:t>600 complaints related to unanswered req</w:t>
      </w:r>
      <w:r w:rsidR="00C86C08">
        <w:t xml:space="preserve">uests for assistance with care.  </w:t>
      </w:r>
      <w:r w:rsidRPr="0083249C">
        <w:t>Many Ombudsman programs note that the failure to respond to requests for assistance is due to the shortage of both direct care and nursing staff and facilities often resort to using staff from an agency, which often results in a lack of person-centeredness an</w:t>
      </w:r>
      <w:r w:rsidR="00C86C08">
        <w:t xml:space="preserve">d consistency in care provided.  </w:t>
      </w:r>
      <w:r w:rsidRPr="0083249C">
        <w:t xml:space="preserve">State Ombudsmen attribute staffing shortages to the growing demand for long-term services and supports coupled with a shrinking labor pool, generally low wages, and  they frequently observe inadequate training and limited on the job support which impact resident care and retention of qualified nursing staff. </w:t>
      </w:r>
    </w:p>
    <w:p w14:paraId="3DB591C0" w14:textId="1BB52FA6" w:rsidR="0090632A" w:rsidRPr="0083249C" w:rsidRDefault="0090632A" w:rsidP="0090632A">
      <w:pPr>
        <w:jc w:val="both"/>
      </w:pPr>
    </w:p>
    <w:p w14:paraId="4BC62048" w14:textId="77777777" w:rsidR="0083249C" w:rsidRPr="0083249C" w:rsidRDefault="0083249C" w:rsidP="0090625D">
      <w:pPr>
        <w:numPr>
          <w:ilvl w:val="0"/>
          <w:numId w:val="27"/>
        </w:numPr>
        <w:jc w:val="both"/>
      </w:pPr>
      <w:r w:rsidRPr="0083249C">
        <w:t xml:space="preserve">Examples of systems-level work to prevent or respond to staffing shortages included: </w:t>
      </w:r>
    </w:p>
    <w:p w14:paraId="0AD15143" w14:textId="77777777" w:rsidR="0083249C" w:rsidRPr="0083249C" w:rsidRDefault="0083249C" w:rsidP="0083249C">
      <w:pPr>
        <w:jc w:val="both"/>
      </w:pPr>
    </w:p>
    <w:p w14:paraId="1B27286C" w14:textId="23B9F589" w:rsidR="0083249C" w:rsidRPr="0083249C" w:rsidRDefault="0083249C" w:rsidP="0090625D">
      <w:pPr>
        <w:numPr>
          <w:ilvl w:val="0"/>
          <w:numId w:val="28"/>
        </w:numPr>
        <w:jc w:val="both"/>
      </w:pPr>
      <w:r w:rsidRPr="0083249C">
        <w:t>Working in partnership with both the long-term care provider industry, state agencies, including workforce commissions, to identify solutions to the workforce shortage; including workforce preparedness to care for persons living with dementia or other cognitive brain injuries</w:t>
      </w:r>
      <w:r w:rsidR="001B2DC3">
        <w:t xml:space="preserve">. </w:t>
      </w:r>
      <w:r w:rsidRPr="0083249C">
        <w:t xml:space="preserve"> </w:t>
      </w:r>
    </w:p>
    <w:p w14:paraId="484669BC" w14:textId="77777777" w:rsidR="0083249C" w:rsidRPr="0083249C" w:rsidRDefault="0083249C" w:rsidP="0090625D">
      <w:pPr>
        <w:numPr>
          <w:ilvl w:val="0"/>
          <w:numId w:val="28"/>
        </w:numPr>
        <w:jc w:val="both"/>
      </w:pPr>
      <w:r w:rsidRPr="0083249C">
        <w:t>Advocating for improved state laws or regulations to support adequate staffing; and</w:t>
      </w:r>
    </w:p>
    <w:p w14:paraId="50533B78" w14:textId="77777777" w:rsidR="0083249C" w:rsidRPr="0083249C" w:rsidRDefault="0083249C" w:rsidP="0090625D">
      <w:pPr>
        <w:numPr>
          <w:ilvl w:val="0"/>
          <w:numId w:val="28"/>
        </w:numPr>
        <w:jc w:val="both"/>
      </w:pPr>
      <w:r w:rsidRPr="0083249C">
        <w:t xml:space="preserve">Training facility staff on topics such as abuse prevention, person-centered care, and dementia care. </w:t>
      </w:r>
    </w:p>
    <w:p w14:paraId="241D5332" w14:textId="77777777" w:rsidR="0083249C" w:rsidRPr="0083249C" w:rsidRDefault="0083249C" w:rsidP="0083249C">
      <w:pPr>
        <w:jc w:val="both"/>
      </w:pPr>
    </w:p>
    <w:p w14:paraId="140D6E86" w14:textId="77777777" w:rsidR="0083249C" w:rsidRPr="0083249C" w:rsidRDefault="0083249C" w:rsidP="0090625D">
      <w:pPr>
        <w:numPr>
          <w:ilvl w:val="0"/>
          <w:numId w:val="29"/>
        </w:numPr>
        <w:jc w:val="both"/>
      </w:pPr>
      <w:r w:rsidRPr="0083249C">
        <w:lastRenderedPageBreak/>
        <w:t xml:space="preserve">Facility closures and Ombudsman responses - Ombudsman interventions include supporting residents as they move to a new setting, frequently upon very short notice. Ombudsman programs often participate as part of a team that responds to facility closures. Teams also generally include case managers, licensing and survey and other community partners such as the Aging and Disability Resource Centers. </w:t>
      </w:r>
    </w:p>
    <w:p w14:paraId="0D6D01B7" w14:textId="02DC464D" w:rsidR="0083249C" w:rsidRPr="0083249C" w:rsidRDefault="0083249C" w:rsidP="0083249C">
      <w:pPr>
        <w:jc w:val="both"/>
      </w:pPr>
    </w:p>
    <w:p w14:paraId="29E79203" w14:textId="77777777" w:rsidR="0083249C" w:rsidRPr="0083249C" w:rsidRDefault="0083249C" w:rsidP="0090625D">
      <w:pPr>
        <w:numPr>
          <w:ilvl w:val="0"/>
          <w:numId w:val="29"/>
        </w:numPr>
        <w:jc w:val="both"/>
      </w:pPr>
      <w:r w:rsidRPr="0083249C">
        <w:t xml:space="preserve">Community responses to elder abuse - Service on statewide or local multi-disciplinary teams, Financial Abuse Specialist Teams (FAST) and similar community networks to address financial exploitation and other forms of abuse. </w:t>
      </w:r>
    </w:p>
    <w:p w14:paraId="33D95056" w14:textId="77777777" w:rsidR="0083249C" w:rsidRPr="0083249C" w:rsidRDefault="0083249C" w:rsidP="0083249C">
      <w:pPr>
        <w:jc w:val="both"/>
      </w:pPr>
    </w:p>
    <w:p w14:paraId="32EBC584" w14:textId="34B97717" w:rsidR="0083249C" w:rsidRPr="0083249C" w:rsidRDefault="0083249C" w:rsidP="0090625D">
      <w:pPr>
        <w:numPr>
          <w:ilvl w:val="0"/>
          <w:numId w:val="33"/>
        </w:numPr>
        <w:jc w:val="both"/>
      </w:pPr>
      <w:r w:rsidRPr="0083249C">
        <w:t>A local Ombudsman program attorney housed in a legal services agency focused her work on issues related to substitute decision-making and financial exploitation</w:t>
      </w:r>
      <w:r w:rsidR="00AA2D62">
        <w:t xml:space="preserve">.  </w:t>
      </w:r>
      <w:r w:rsidRPr="0083249C">
        <w:t>Within a short period, it became clear that there was a dearth of legal resources for victims of financial exploitation in their state</w:t>
      </w:r>
      <w:r w:rsidR="001268E9">
        <w:t xml:space="preserve">.  </w:t>
      </w:r>
      <w:r w:rsidRPr="0083249C">
        <w:t>With additional federal grant funds through the Victims of Crime Act (VOCA) the program was able to hire two additional attorneys to address the issues of financial exp</w:t>
      </w:r>
      <w:r w:rsidR="001268E9">
        <w:t xml:space="preserve">loitation throughout the state.  </w:t>
      </w:r>
      <w:r w:rsidRPr="0083249C">
        <w:t>The attorney assigned to the Ombudsman Program mentors these newer attorneys and works closely with them to identify issues, develop litigation strategies, working to limit exploitation and, when appropriate, assisting victims in the criminal prosecution of their exploiters</w:t>
      </w:r>
      <w:r w:rsidR="001268E9">
        <w:t xml:space="preserve">.  </w:t>
      </w:r>
      <w:r w:rsidRPr="0083249C">
        <w:t>As a direct result, of the Ombudsman Program’s financial exploitation work, the legal services agency developed a new financial exploitation “unit” to serve vulnerable individuals in any setting</w:t>
      </w:r>
      <w:r w:rsidR="001B2DC3">
        <w:t xml:space="preserve">. </w:t>
      </w:r>
    </w:p>
    <w:p w14:paraId="1A051D5E" w14:textId="77777777" w:rsidR="0083249C" w:rsidRPr="0083249C" w:rsidRDefault="0083249C" w:rsidP="0083249C">
      <w:pPr>
        <w:jc w:val="both"/>
      </w:pPr>
    </w:p>
    <w:p w14:paraId="51444C68" w14:textId="77777777" w:rsidR="0083249C" w:rsidRPr="0083249C" w:rsidRDefault="0083249C" w:rsidP="0083249C">
      <w:pPr>
        <w:jc w:val="both"/>
        <w:rPr>
          <w:u w:val="single"/>
        </w:rPr>
      </w:pPr>
      <w:r w:rsidRPr="0083249C">
        <w:rPr>
          <w:u w:val="single"/>
        </w:rPr>
        <w:t>How LTC Ombudsman Programs Operate</w:t>
      </w:r>
    </w:p>
    <w:p w14:paraId="44340088" w14:textId="77777777" w:rsidR="0083249C" w:rsidRPr="0083249C" w:rsidRDefault="0083249C" w:rsidP="0083249C">
      <w:pPr>
        <w:jc w:val="both"/>
      </w:pPr>
    </w:p>
    <w:p w14:paraId="1A053794" w14:textId="787DB06C" w:rsidR="0083249C" w:rsidRPr="0083249C" w:rsidRDefault="0083249C" w:rsidP="0083249C">
      <w:pPr>
        <w:jc w:val="both"/>
      </w:pPr>
      <w:r w:rsidRPr="0083249C">
        <w:t>There are 53 State LTC Ombudsman programs (in 50 states, plus the District of Co</w:t>
      </w:r>
      <w:r w:rsidR="001268E9">
        <w:t xml:space="preserve">lumbia, Puerto Rico, and Guam).  </w:t>
      </w:r>
      <w:r w:rsidRPr="0083249C">
        <w:t>In most states, the Office of t</w:t>
      </w:r>
      <w:r w:rsidR="0047073D">
        <w:t>he State LTC Ombudsman is</w:t>
      </w:r>
      <w:r w:rsidRPr="0083249C">
        <w:t xml:space="preserve"> within the state unit on aging or another state agency.</w:t>
      </w:r>
      <w:r w:rsidR="0047073D">
        <w:t xml:space="preserve"> In others, the Office resides</w:t>
      </w:r>
      <w:r w:rsidRPr="0083249C">
        <w:t xml:space="preserve"> </w:t>
      </w:r>
      <w:r w:rsidR="001268E9">
        <w:t xml:space="preserve">in a private non-profit agency.  </w:t>
      </w:r>
      <w:r w:rsidRPr="0083249C">
        <w:t>Most states have contracts with or through area agencies on aging to provide direct ombudsman servi</w:t>
      </w:r>
      <w:r w:rsidR="001268E9">
        <w:t xml:space="preserve">ces to residents.  </w:t>
      </w:r>
      <w:r w:rsidRPr="0083249C">
        <w:t>There are 523 designated local Ombudsman entities.</w:t>
      </w:r>
    </w:p>
    <w:p w14:paraId="5531D7E5" w14:textId="77777777" w:rsidR="0083249C" w:rsidRPr="0083249C" w:rsidRDefault="0083249C" w:rsidP="0083249C">
      <w:pPr>
        <w:jc w:val="both"/>
      </w:pPr>
    </w:p>
    <w:p w14:paraId="74344FB1" w14:textId="031689DC" w:rsidR="0083249C" w:rsidRPr="0083249C" w:rsidRDefault="0083249C" w:rsidP="0083249C">
      <w:pPr>
        <w:jc w:val="both"/>
      </w:pPr>
      <w:r w:rsidRPr="0083249C">
        <w:t>In FY 2017, 1,319 full-time equivalent staff and 6,623 volunteers -- all trained and designated to investigate and resolve complaints and provide Ombudsman program services to residents.</w:t>
      </w:r>
      <w:r w:rsidR="00B72036">
        <w:t xml:space="preserve">  </w:t>
      </w:r>
      <w:r w:rsidRPr="0083249C">
        <w:t>An additional 2,185 volunteers also served residents or assisted in program operations in ways other than complaint resolution</w:t>
      </w:r>
      <w:r w:rsidR="001B2DC3">
        <w:t xml:space="preserve">. </w:t>
      </w:r>
    </w:p>
    <w:p w14:paraId="15E241E6" w14:textId="77777777" w:rsidR="0083249C" w:rsidRPr="0083249C" w:rsidRDefault="0083249C" w:rsidP="0083249C">
      <w:pPr>
        <w:jc w:val="both"/>
      </w:pPr>
    </w:p>
    <w:p w14:paraId="2406CD21" w14:textId="2A11569B" w:rsidR="0083249C" w:rsidRPr="0083249C" w:rsidRDefault="0083249C" w:rsidP="0083249C">
      <w:pPr>
        <w:jc w:val="both"/>
      </w:pPr>
      <w:r w:rsidRPr="0083249C">
        <w:t xml:space="preserve">Total FY 2017 funds expended from all sources nationwide were $106,681,267, an overall increase of </w:t>
      </w:r>
      <w:r w:rsidR="00D11367">
        <w:t>five</w:t>
      </w:r>
      <w:r w:rsidRPr="0083249C">
        <w:t xml:space="preserve"> percent from the FY 2016</w:t>
      </w:r>
      <w:r w:rsidR="00B72036">
        <w:t xml:space="preserve"> level.  </w:t>
      </w:r>
      <w:r w:rsidRPr="0083249C">
        <w:t>The federal sources represented over half</w:t>
      </w:r>
      <w:r w:rsidR="00D11367">
        <w:t xml:space="preserve"> (50.4 percent)</w:t>
      </w:r>
      <w:r w:rsidRPr="0083249C">
        <w:t xml:space="preserve"> of the program expenditures</w:t>
      </w:r>
      <w:r w:rsidR="00D11367">
        <w:t xml:space="preserve"> </w:t>
      </w:r>
      <w:r w:rsidR="00B72036">
        <w:t xml:space="preserve">expended in FY 2017.  </w:t>
      </w:r>
      <w:r w:rsidRPr="0083249C">
        <w:t xml:space="preserve">States provided 43 percent of funds, and other non-federal sources funded the remaining </w:t>
      </w:r>
      <w:r w:rsidR="00D11367">
        <w:t>seven</w:t>
      </w:r>
      <w:r w:rsidRPr="0083249C">
        <w:t xml:space="preserve"> percent. </w:t>
      </w:r>
    </w:p>
    <w:p w14:paraId="33F823C9" w14:textId="77777777" w:rsidR="0083249C" w:rsidRPr="0083249C" w:rsidRDefault="0083249C" w:rsidP="0083249C">
      <w:pPr>
        <w:jc w:val="both"/>
      </w:pPr>
    </w:p>
    <w:p w14:paraId="5181A3B8" w14:textId="77777777" w:rsidR="0083249C" w:rsidRPr="0083249C" w:rsidRDefault="0083249C" w:rsidP="0083249C">
      <w:pPr>
        <w:jc w:val="both"/>
        <w:rPr>
          <w:u w:val="single"/>
        </w:rPr>
      </w:pPr>
      <w:r w:rsidRPr="0083249C">
        <w:rPr>
          <w:u w:val="single"/>
        </w:rPr>
        <w:t>National Long-Term Care Ombudsman Resource Center Activities</w:t>
      </w:r>
    </w:p>
    <w:p w14:paraId="7572B18B" w14:textId="77777777" w:rsidR="0083249C" w:rsidRPr="0083249C" w:rsidRDefault="0083249C" w:rsidP="0083249C">
      <w:pPr>
        <w:jc w:val="both"/>
      </w:pPr>
    </w:p>
    <w:p w14:paraId="4C120A52" w14:textId="6604A79A" w:rsidR="0083249C" w:rsidRPr="0083249C" w:rsidRDefault="0083249C" w:rsidP="0083249C">
      <w:pPr>
        <w:jc w:val="both"/>
      </w:pPr>
      <w:r w:rsidRPr="0083249C">
        <w:t>To effectively problem-solve with and for residents, Ombudsman programs must remain up-to-date on the late</w:t>
      </w:r>
      <w:r w:rsidR="00B72036">
        <w:t xml:space="preserve">st long-term care developments.  </w:t>
      </w:r>
      <w:r w:rsidRPr="0083249C">
        <w:t>Therefore, ACL supports the National Ombudsman Resource Center (NORC), which provides training, technical assistance, and program management e</w:t>
      </w:r>
      <w:r w:rsidR="00B72036">
        <w:t xml:space="preserve">xpertise to Ombudsman programs.  </w:t>
      </w:r>
      <w:r w:rsidRPr="0083249C">
        <w:t>In FY 2017, the National Consumer Voice for Quality Long-Term Care operated the NORC in coordination with the National Association of States United for Aging and Disabilities (NASUAD).</w:t>
      </w:r>
    </w:p>
    <w:p w14:paraId="6B22CA1F" w14:textId="77777777" w:rsidR="0083249C" w:rsidRPr="0083249C" w:rsidRDefault="0083249C" w:rsidP="0083249C">
      <w:pPr>
        <w:jc w:val="both"/>
      </w:pPr>
    </w:p>
    <w:p w14:paraId="30B0FB67" w14:textId="595B4BB4" w:rsidR="0083249C" w:rsidRPr="0083249C" w:rsidRDefault="0083249C" w:rsidP="0083249C">
      <w:pPr>
        <w:jc w:val="both"/>
      </w:pPr>
      <w:r w:rsidRPr="0083249C">
        <w:t xml:space="preserve">In FY 2017, </w:t>
      </w:r>
      <w:r w:rsidR="0090632A">
        <w:t xml:space="preserve">the </w:t>
      </w:r>
      <w:r w:rsidRPr="0083249C">
        <w:t>NORC provided training and technical assistance to Ombudsman programs on such issues as:</w:t>
      </w:r>
    </w:p>
    <w:p w14:paraId="10A966E0" w14:textId="77777777" w:rsidR="0083249C" w:rsidRPr="0083249C" w:rsidRDefault="0083249C" w:rsidP="0083249C">
      <w:pPr>
        <w:jc w:val="both"/>
      </w:pPr>
    </w:p>
    <w:p w14:paraId="4DDC6BA7" w14:textId="77777777" w:rsidR="0083249C" w:rsidRPr="0083249C" w:rsidRDefault="0083249C" w:rsidP="0090625D">
      <w:pPr>
        <w:numPr>
          <w:ilvl w:val="0"/>
          <w:numId w:val="30"/>
        </w:numPr>
        <w:jc w:val="both"/>
      </w:pPr>
      <w:r w:rsidRPr="0083249C">
        <w:t>Implementation of ACL’s final rule for State LTC Ombudsman programs;</w:t>
      </w:r>
    </w:p>
    <w:p w14:paraId="1C1ABC10" w14:textId="77777777" w:rsidR="0083249C" w:rsidRPr="0083249C" w:rsidRDefault="0083249C" w:rsidP="0090625D">
      <w:pPr>
        <w:numPr>
          <w:ilvl w:val="0"/>
          <w:numId w:val="30"/>
        </w:numPr>
        <w:jc w:val="both"/>
      </w:pPr>
      <w:r w:rsidRPr="0083249C">
        <w:t>Volunteer management  and technical assistance including risk management;</w:t>
      </w:r>
    </w:p>
    <w:p w14:paraId="48AD75D9" w14:textId="77777777" w:rsidR="0083249C" w:rsidRPr="0083249C" w:rsidRDefault="0083249C" w:rsidP="0090625D">
      <w:pPr>
        <w:numPr>
          <w:ilvl w:val="0"/>
          <w:numId w:val="30"/>
        </w:numPr>
        <w:jc w:val="both"/>
      </w:pPr>
      <w:r w:rsidRPr="0083249C">
        <w:lastRenderedPageBreak/>
        <w:t>Approaches to complaint resolution, with a focus on strategies to address improper discharge and eviction.</w:t>
      </w:r>
    </w:p>
    <w:p w14:paraId="418EDCF9" w14:textId="77777777" w:rsidR="0083249C" w:rsidRPr="0083249C" w:rsidRDefault="0083249C" w:rsidP="0083249C">
      <w:pPr>
        <w:jc w:val="both"/>
      </w:pPr>
    </w:p>
    <w:p w14:paraId="20C01FD0" w14:textId="5DD05387" w:rsidR="0083249C" w:rsidRPr="0083249C" w:rsidRDefault="0083249C" w:rsidP="0083249C">
      <w:pPr>
        <w:jc w:val="both"/>
      </w:pPr>
      <w:r w:rsidRPr="0083249C">
        <w:t>Additionally, the NORC provided quarterly orientation training for all new ombudsmen, and developed resource materials, the NORC website (</w:t>
      </w:r>
      <w:hyperlink r:id="rId22" w:history="1">
        <w:r w:rsidRPr="001F2AA0">
          <w:rPr>
            <w:rStyle w:val="Hyperlink"/>
          </w:rPr>
          <w:t>www.ltcombudsman.org</w:t>
        </w:r>
      </w:hyperlink>
      <w:r w:rsidRPr="0083249C">
        <w:t>), and quarterly newsletters customized for Ombudsman program staff and volunteers.</w:t>
      </w:r>
    </w:p>
    <w:p w14:paraId="059142DC" w14:textId="77777777" w:rsidR="0083249C" w:rsidRPr="0083249C" w:rsidRDefault="0083249C" w:rsidP="0083249C">
      <w:pPr>
        <w:jc w:val="both"/>
      </w:pPr>
    </w:p>
    <w:p w14:paraId="30BEB2A9" w14:textId="77777777" w:rsidR="0083249C" w:rsidRPr="0083249C" w:rsidRDefault="0083249C" w:rsidP="0083249C">
      <w:pPr>
        <w:jc w:val="both"/>
        <w:rPr>
          <w:u w:val="single"/>
        </w:rPr>
      </w:pPr>
      <w:r w:rsidRPr="0083249C">
        <w:rPr>
          <w:u w:val="single"/>
        </w:rPr>
        <w:t>Program Results and Challenges</w:t>
      </w:r>
    </w:p>
    <w:p w14:paraId="1ED8D4D7" w14:textId="77777777" w:rsidR="0083249C" w:rsidRPr="0083249C" w:rsidRDefault="0083249C" w:rsidP="0083249C">
      <w:pPr>
        <w:jc w:val="both"/>
      </w:pPr>
    </w:p>
    <w:p w14:paraId="7F69EE9B" w14:textId="77777777" w:rsidR="0083249C" w:rsidRPr="0083249C" w:rsidRDefault="0083249C" w:rsidP="0090625D">
      <w:pPr>
        <w:numPr>
          <w:ilvl w:val="0"/>
          <w:numId w:val="31"/>
        </w:numPr>
        <w:jc w:val="both"/>
      </w:pPr>
      <w:r w:rsidRPr="0083249C">
        <w:t xml:space="preserve">Volunteers help the program engage the local community. </w:t>
      </w:r>
    </w:p>
    <w:p w14:paraId="1DF39A7C" w14:textId="77777777" w:rsidR="0083249C" w:rsidRPr="0083249C" w:rsidRDefault="0083249C" w:rsidP="0083249C">
      <w:pPr>
        <w:jc w:val="both"/>
      </w:pPr>
    </w:p>
    <w:p w14:paraId="257A495C" w14:textId="18F41A6E" w:rsidR="0083249C" w:rsidRPr="0083249C" w:rsidRDefault="0083249C" w:rsidP="0083249C">
      <w:pPr>
        <w:jc w:val="both"/>
      </w:pPr>
      <w:r w:rsidRPr="0083249C">
        <w:t>Thousands of volunteers across the county donated their time, talents, and energy to visit residents, listen to their concerns and t</w:t>
      </w:r>
      <w:r w:rsidR="00B72036">
        <w:t xml:space="preserve">ake action to resolve problems.  </w:t>
      </w:r>
      <w:r w:rsidRPr="0083249C">
        <w:t>Volunteers frequently provide residents with regular access to ombudsman services and provide cost-effective, community-based compla</w:t>
      </w:r>
      <w:r w:rsidR="00B72036">
        <w:t xml:space="preserve">int resolution.  </w:t>
      </w:r>
      <w:r w:rsidRPr="0083249C">
        <w:t>Volunteers also engage in broader program initiatives as described by a state Ombudsman in the following state example.</w:t>
      </w:r>
    </w:p>
    <w:p w14:paraId="5F5D1EBE" w14:textId="77777777" w:rsidR="0083249C" w:rsidRPr="0083249C" w:rsidRDefault="0083249C" w:rsidP="0083249C">
      <w:pPr>
        <w:jc w:val="both"/>
      </w:pPr>
    </w:p>
    <w:p w14:paraId="12715470" w14:textId="51D27BC0" w:rsidR="0083249C" w:rsidRPr="0083249C" w:rsidRDefault="0083249C" w:rsidP="0090625D">
      <w:pPr>
        <w:numPr>
          <w:ilvl w:val="0"/>
          <w:numId w:val="32"/>
        </w:numPr>
        <w:jc w:val="both"/>
      </w:pPr>
      <w:r w:rsidRPr="0083249C">
        <w:t xml:space="preserve">Several residents said they were not receiving enough food at meal times. During her visit, the volunteer Ombudsman representative observed small portions that may have met dietician's recommendations but left </w:t>
      </w:r>
      <w:r w:rsidR="00B72036">
        <w:t xml:space="preserve">several residents still hungry.  </w:t>
      </w:r>
      <w:r w:rsidRPr="0083249C">
        <w:t>After talks with the facility administrator, he agreed to offer extra porti</w:t>
      </w:r>
      <w:r w:rsidR="00B72036">
        <w:t xml:space="preserve">ons at meal times as requested.  </w:t>
      </w:r>
      <w:r w:rsidRPr="0083249C">
        <w:t>Because of her persistence, the Ombudsman representative was able to ensure residents were happy and no longer left hungry.</w:t>
      </w:r>
    </w:p>
    <w:p w14:paraId="2AD09329" w14:textId="1C7F8460" w:rsidR="0083249C" w:rsidRPr="0083249C" w:rsidRDefault="0083249C" w:rsidP="0083249C">
      <w:pPr>
        <w:jc w:val="both"/>
      </w:pPr>
    </w:p>
    <w:p w14:paraId="1EAA4A89" w14:textId="77777777" w:rsidR="0083249C" w:rsidRPr="0083249C" w:rsidRDefault="0083249C" w:rsidP="0090625D">
      <w:pPr>
        <w:numPr>
          <w:ilvl w:val="0"/>
          <w:numId w:val="31"/>
        </w:numPr>
        <w:jc w:val="both"/>
      </w:pPr>
      <w:r w:rsidRPr="0083249C">
        <w:t xml:space="preserve">Ombudsman programs solve problems at the facility level. </w:t>
      </w:r>
    </w:p>
    <w:p w14:paraId="05FA3DEB" w14:textId="77777777" w:rsidR="0083249C" w:rsidRPr="0083249C" w:rsidRDefault="0083249C" w:rsidP="0083249C">
      <w:pPr>
        <w:jc w:val="both"/>
      </w:pPr>
    </w:p>
    <w:p w14:paraId="6C26132C" w14:textId="561F5E39" w:rsidR="0083249C" w:rsidRPr="0083249C" w:rsidRDefault="0083249C" w:rsidP="0083249C">
      <w:pPr>
        <w:jc w:val="both"/>
      </w:pPr>
      <w:r w:rsidRPr="0083249C">
        <w:t>Ombudsman programs resolve hundreds of thousands of complaints eve</w:t>
      </w:r>
      <w:r w:rsidR="00B72036">
        <w:t xml:space="preserve">ry year on behalf of residents.  </w:t>
      </w:r>
      <w:r w:rsidRPr="0083249C">
        <w:t>The largest group that requested Ombudsman services to resolve complaints were residents themselves, indicating that residents depend on the program to he</w:t>
      </w:r>
      <w:r w:rsidR="00B72036">
        <w:t xml:space="preserve">lp them resolve their concerns.  </w:t>
      </w:r>
      <w:r w:rsidRPr="0083249C">
        <w:t>By resolving the vast majority of these complaints to the satisfaction of the resident or complainant, the work of Ombudsmen improved the quality of life and quality of care for many residents of our nati</w:t>
      </w:r>
      <w:r w:rsidR="00B72036">
        <w:t xml:space="preserve">on’s long-term care facilities.  </w:t>
      </w:r>
      <w:r w:rsidRPr="0083249C">
        <w:t>O</w:t>
      </w:r>
      <w:r w:rsidR="00455736">
        <w:t>ften, O</w:t>
      </w:r>
      <w:r w:rsidRPr="0083249C">
        <w:t>mbudsm</w:t>
      </w:r>
      <w:r w:rsidR="00455736">
        <w:t xml:space="preserve">en resolve complaints </w:t>
      </w:r>
      <w:r w:rsidRPr="0083249C">
        <w:t xml:space="preserve">without outside intervention, which can save on regulatory and legal costs while achieving the resident’s desired outcome. </w:t>
      </w:r>
    </w:p>
    <w:p w14:paraId="0BBA5EAC" w14:textId="77777777" w:rsidR="0083249C" w:rsidRPr="0083249C" w:rsidRDefault="0083249C" w:rsidP="0083249C">
      <w:pPr>
        <w:jc w:val="both"/>
      </w:pPr>
    </w:p>
    <w:p w14:paraId="07CE9E51" w14:textId="77777777" w:rsidR="0083249C" w:rsidRPr="0083249C" w:rsidRDefault="0083249C" w:rsidP="0090625D">
      <w:pPr>
        <w:numPr>
          <w:ilvl w:val="0"/>
          <w:numId w:val="31"/>
        </w:numPr>
        <w:jc w:val="both"/>
      </w:pPr>
      <w:r w:rsidRPr="0083249C">
        <w:t xml:space="preserve">Growth in home and community-based services (HCBS) and Medicaid managed Long-Term Services and Supports (LTSS) increase demands for ombudsman services. </w:t>
      </w:r>
    </w:p>
    <w:p w14:paraId="1C9C34E3" w14:textId="77777777" w:rsidR="0083249C" w:rsidRPr="0083249C" w:rsidRDefault="0083249C" w:rsidP="0083249C">
      <w:pPr>
        <w:jc w:val="both"/>
      </w:pPr>
    </w:p>
    <w:p w14:paraId="2FA5A96E" w14:textId="377D3EA7" w:rsidR="0083249C" w:rsidRPr="0083249C" w:rsidRDefault="0083249C" w:rsidP="0083249C">
      <w:pPr>
        <w:jc w:val="both"/>
      </w:pPr>
      <w:r w:rsidRPr="0083249C">
        <w:t>Federal and state policy changes -- including the promotion of Medicaid HCBS through waivers and other statutory options, the rapid growth of Medicaid managed LTSS, and demonstration projects to serve persons receiving both Medicare and Medicaid (i.e. Financial Alignment Initiative, sometimes called the “duals demonstrations”) are creating opportunities, as well as some new chal</w:t>
      </w:r>
      <w:r w:rsidR="00B72036">
        <w:t xml:space="preserve">lenges, for Ombudsman programs.  </w:t>
      </w:r>
      <w:r w:rsidRPr="0083249C">
        <w:t>As these services expand and provide more options for residents, Ombudsmen work to represent their interests and concerns and to ensure that strong beneficiary support systems are in place.</w:t>
      </w:r>
    </w:p>
    <w:p w14:paraId="0161A6F3" w14:textId="77777777" w:rsidR="0083249C" w:rsidRPr="0083249C" w:rsidRDefault="0083249C" w:rsidP="0083249C">
      <w:pPr>
        <w:jc w:val="both"/>
      </w:pPr>
    </w:p>
    <w:p w14:paraId="1A4E5E6B" w14:textId="2875F0CE" w:rsidR="0083249C" w:rsidRPr="0083249C" w:rsidRDefault="0083249C" w:rsidP="0083249C">
      <w:pPr>
        <w:jc w:val="both"/>
      </w:pPr>
      <w:r w:rsidRPr="0083249C">
        <w:t>Increasingly, individuals live in residential settings other than nursing homes, including board and care homes, assisted living facilities, and other residential care communities (known by vario</w:t>
      </w:r>
      <w:r w:rsidR="00B72036">
        <w:t xml:space="preserve">us names under state laws).  </w:t>
      </w:r>
      <w:r w:rsidRPr="0083249C">
        <w:t xml:space="preserve">As a result, LTC Ombudsman programs report increasing work, both at the individual complaint and the systems levels on behalf of these types of residential settings. </w:t>
      </w:r>
    </w:p>
    <w:p w14:paraId="4B88F3CE" w14:textId="77777777" w:rsidR="0083249C" w:rsidRPr="0083249C" w:rsidRDefault="0083249C" w:rsidP="0083249C">
      <w:pPr>
        <w:jc w:val="both"/>
      </w:pPr>
    </w:p>
    <w:p w14:paraId="5FFE0F5F" w14:textId="763445C8" w:rsidR="0083249C" w:rsidRPr="0083249C" w:rsidRDefault="0083249C" w:rsidP="0083249C">
      <w:pPr>
        <w:jc w:val="both"/>
      </w:pPr>
      <w:r w:rsidRPr="0083249C">
        <w:t>In additional to complaints about care and dignity, Ombudsman programs report challenges with other consumer protections such as a lack of supplies, including food, lack of staff and multiple violations which often lead to facility closure</w:t>
      </w:r>
      <w:r w:rsidR="001B2DC3">
        <w:t xml:space="preserve">. </w:t>
      </w:r>
    </w:p>
    <w:p w14:paraId="30A09677" w14:textId="77777777" w:rsidR="0083249C" w:rsidRPr="0083249C" w:rsidRDefault="0083249C" w:rsidP="0083249C">
      <w:pPr>
        <w:jc w:val="both"/>
      </w:pPr>
    </w:p>
    <w:p w14:paraId="1BB91CBD" w14:textId="77777777" w:rsidR="0083249C" w:rsidRPr="0083249C" w:rsidRDefault="0083249C" w:rsidP="0083249C">
      <w:pPr>
        <w:jc w:val="both"/>
      </w:pPr>
      <w:r w:rsidRPr="0083249C">
        <w:t>These case examples illustrates the effectiveness of Ombudsman program complaint resolution during this period:</w:t>
      </w:r>
    </w:p>
    <w:p w14:paraId="27903968" w14:textId="77777777" w:rsidR="0083249C" w:rsidRPr="0083249C" w:rsidRDefault="0083249C" w:rsidP="0083249C">
      <w:pPr>
        <w:jc w:val="both"/>
      </w:pPr>
    </w:p>
    <w:p w14:paraId="62F70DD7" w14:textId="670D905A" w:rsidR="0083249C" w:rsidRPr="0083249C" w:rsidRDefault="0083249C" w:rsidP="0090625D">
      <w:pPr>
        <w:numPr>
          <w:ilvl w:val="0"/>
          <w:numId w:val="34"/>
        </w:numPr>
        <w:jc w:val="both"/>
      </w:pPr>
      <w:r w:rsidRPr="0083249C">
        <w:t>A board and care home voluntarily closed when unable to address significant deficiencies</w:t>
      </w:r>
      <w:r w:rsidR="001B2DC3">
        <w:t xml:space="preserve">. </w:t>
      </w:r>
      <w:r w:rsidRPr="0083249C">
        <w:t>Resident relocation across multiple counties was further complicated because of the home’s chronic infestation with bed bugs.</w:t>
      </w:r>
      <w:r w:rsidR="00B72036">
        <w:t xml:space="preserve">  </w:t>
      </w:r>
      <w:r w:rsidRPr="0083249C">
        <w:t>Many facilities agreed to accept the residents, but refused to allow them to bring their personal items with them, out of concern for re-infestation</w:t>
      </w:r>
      <w:r w:rsidR="00B72036">
        <w:t xml:space="preserve">.  </w:t>
      </w:r>
      <w:r w:rsidRPr="0083249C">
        <w:t>The residents filed a complaint with the local Ombudsman program to assist them in retrieving their personal items</w:t>
      </w:r>
      <w:r w:rsidR="00B72036">
        <w:t xml:space="preserve">.  </w:t>
      </w:r>
      <w:r w:rsidRPr="0083249C">
        <w:t>Sadly, for some of the residents this marked their third involuntary relocation in less than two years</w:t>
      </w:r>
      <w:r w:rsidR="00B72036">
        <w:t xml:space="preserve">.  </w:t>
      </w:r>
      <w:r w:rsidRPr="0083249C">
        <w:t>Many of the residents had low income and had no means by which to replace their personal items, while other family mementos were irreplaceable</w:t>
      </w:r>
      <w:r w:rsidR="00B72036">
        <w:t xml:space="preserve">.  </w:t>
      </w:r>
      <w:r w:rsidRPr="0083249C">
        <w:t>The local Ombudsman program worked with multiple agencies, charitable organizations, the State Office, and the Office of the Secretary of Aging to procure bed bug treatment for their cherished personal effects</w:t>
      </w:r>
      <w:r w:rsidR="00B72036">
        <w:t xml:space="preserve">.  </w:t>
      </w:r>
      <w:r w:rsidRPr="0083249C">
        <w:t>Once treated, the residents were able to retrieve their personal items and create a semblance of home in their new facility</w:t>
      </w:r>
      <w:r w:rsidR="001B2DC3">
        <w:t xml:space="preserve">. </w:t>
      </w:r>
    </w:p>
    <w:p w14:paraId="3ADAE0C0" w14:textId="77777777" w:rsidR="0083249C" w:rsidRPr="0083249C" w:rsidRDefault="0083249C" w:rsidP="0083249C">
      <w:pPr>
        <w:jc w:val="both"/>
      </w:pPr>
    </w:p>
    <w:p w14:paraId="79ECF1F3" w14:textId="3E828555" w:rsidR="0083249C" w:rsidRPr="0083249C" w:rsidRDefault="0083249C" w:rsidP="0090625D">
      <w:pPr>
        <w:numPr>
          <w:ilvl w:val="0"/>
          <w:numId w:val="34"/>
        </w:numPr>
        <w:jc w:val="both"/>
      </w:pPr>
      <w:r w:rsidRPr="0083249C">
        <w:t>Nursing home residents encountered daily hazards when attempting to go out into the neighborhood because there was no sidewalk, only a busy road and in fact, a car hit one resident</w:t>
      </w:r>
      <w:r w:rsidR="00B72036">
        <w:t xml:space="preserve">.  </w:t>
      </w:r>
      <w:r w:rsidRPr="0083249C">
        <w:t>This resident</w:t>
      </w:r>
      <w:r w:rsidR="00D11367">
        <w:t>s</w:t>
      </w:r>
      <w:r w:rsidRPr="0083249C">
        <w:t xml:space="preserve"> became motivated to see a change to improve their safety and contacted the local Ombudsman program for assistance</w:t>
      </w:r>
      <w:r w:rsidR="00B72036">
        <w:t xml:space="preserve">.  </w:t>
      </w:r>
      <w:r w:rsidRPr="0083249C">
        <w:t>The Ombudsman program worked with the resident</w:t>
      </w:r>
      <w:r w:rsidR="00D11367">
        <w:t>s</w:t>
      </w:r>
      <w:r w:rsidRPr="0083249C">
        <w:t>, their local Ombudsman advisory council and then involved city leaders with the result being a new safe sidewalk outside the facility</w:t>
      </w:r>
      <w:r w:rsidR="00B72036">
        <w:t xml:space="preserve">.  </w:t>
      </w:r>
      <w:r w:rsidRPr="0083249C">
        <w:t xml:space="preserve">Now residents can travel with greater freedom and safety. </w:t>
      </w:r>
    </w:p>
    <w:p w14:paraId="120AED11" w14:textId="77777777" w:rsidR="0083249C" w:rsidRPr="0083249C" w:rsidRDefault="0083249C" w:rsidP="0083249C">
      <w:pPr>
        <w:jc w:val="both"/>
      </w:pPr>
    </w:p>
    <w:p w14:paraId="48356D55" w14:textId="31113E75" w:rsidR="0083249C" w:rsidRPr="0083249C" w:rsidRDefault="0083249C" w:rsidP="0083249C">
      <w:pPr>
        <w:jc w:val="both"/>
      </w:pPr>
      <w:r w:rsidRPr="0083249C">
        <w:t>In addition to service in these residential settings, 12 states have expanded their laws to authorize the LTC Ombudsman program to se</w:t>
      </w:r>
      <w:r w:rsidR="00B72036">
        <w:t xml:space="preserve">rve individuals receiving HCBS.  </w:t>
      </w:r>
      <w:r w:rsidRPr="0083249C">
        <w:t xml:space="preserve">In four states, LTC Ombudsman programs expanded to serve individuals participating in Medicare-Medicaid or in Medicare-Medicaid plans offered under the Financial Alignment Initiative, regardless of where they reside. </w:t>
      </w:r>
    </w:p>
    <w:p w14:paraId="44B02CA5" w14:textId="77777777" w:rsidR="0083249C" w:rsidRPr="0083249C" w:rsidRDefault="0083249C" w:rsidP="0083249C">
      <w:pPr>
        <w:jc w:val="both"/>
      </w:pPr>
    </w:p>
    <w:p w14:paraId="35AD9CD2" w14:textId="77777777" w:rsidR="0083249C" w:rsidRPr="0083249C" w:rsidRDefault="0083249C" w:rsidP="0090625D">
      <w:pPr>
        <w:numPr>
          <w:ilvl w:val="0"/>
          <w:numId w:val="31"/>
        </w:numPr>
        <w:jc w:val="both"/>
      </w:pPr>
      <w:r w:rsidRPr="0083249C">
        <w:t xml:space="preserve">Ombudsman programs are credible sources of information. </w:t>
      </w:r>
    </w:p>
    <w:p w14:paraId="6065E6D3" w14:textId="77777777" w:rsidR="0083249C" w:rsidRPr="0083249C" w:rsidRDefault="0083249C" w:rsidP="0083249C">
      <w:pPr>
        <w:jc w:val="both"/>
      </w:pPr>
    </w:p>
    <w:p w14:paraId="405511E1" w14:textId="7FAAB6DF" w:rsidR="0083249C" w:rsidRPr="0083249C" w:rsidRDefault="0083249C" w:rsidP="0083249C">
      <w:pPr>
        <w:jc w:val="both"/>
      </w:pPr>
      <w:r w:rsidRPr="0083249C">
        <w:t>Ombudsman programs serve as a credible source of information for residents (including through resident councils), their families (including through family</w:t>
      </w:r>
      <w:r w:rsidR="00B72036">
        <w:t xml:space="preserve"> councils), and facility staff.  </w:t>
      </w:r>
      <w:r w:rsidRPr="0083249C">
        <w:t>Based on their extensive experience resolving resident problems, ombudsmen represented resident interests to policymakers, influencing public policy related to long-term care.</w:t>
      </w:r>
    </w:p>
    <w:p w14:paraId="1A9BCDCA" w14:textId="77777777" w:rsidR="0083249C" w:rsidRPr="0083249C" w:rsidRDefault="0083249C" w:rsidP="0083249C">
      <w:pPr>
        <w:jc w:val="both"/>
      </w:pPr>
    </w:p>
    <w:p w14:paraId="66328B2F" w14:textId="77777777" w:rsidR="0083249C" w:rsidRPr="0083249C" w:rsidRDefault="0083249C" w:rsidP="0090625D">
      <w:pPr>
        <w:numPr>
          <w:ilvl w:val="0"/>
          <w:numId w:val="31"/>
        </w:numPr>
        <w:jc w:val="both"/>
      </w:pPr>
      <w:r w:rsidRPr="0083249C">
        <w:t>Ombudsman programs leverage federal dollars.</w:t>
      </w:r>
    </w:p>
    <w:p w14:paraId="3C126AE2" w14:textId="77777777" w:rsidR="0083249C" w:rsidRPr="0083249C" w:rsidRDefault="0083249C" w:rsidP="0083249C">
      <w:pPr>
        <w:jc w:val="both"/>
      </w:pPr>
    </w:p>
    <w:p w14:paraId="299B2DA7" w14:textId="098A24C1" w:rsidR="0083249C" w:rsidRPr="0083249C" w:rsidRDefault="0083249C" w:rsidP="0083249C">
      <w:pPr>
        <w:jc w:val="both"/>
      </w:pPr>
      <w:r w:rsidRPr="0083249C">
        <w:t>Federal funds leveraged resources from other sources for ombudsman programs. During FY 2017, 49 percent of program expenditures</w:t>
      </w:r>
      <w:r w:rsidR="00B72036">
        <w:t xml:space="preserve"> came from non-federal sources.  </w:t>
      </w:r>
      <w:r w:rsidRPr="0083249C">
        <w:t>The Ombudsman program’s significant use of volunteers, furth</w:t>
      </w:r>
      <w:r w:rsidR="00B72036">
        <w:t xml:space="preserve">er leverages limited resources.  </w:t>
      </w:r>
      <w:r w:rsidRPr="0083249C">
        <w:t>The value of volunteer time contributed to the program nationwide in FY 2017 was nearly $15 million.</w:t>
      </w:r>
      <w:r w:rsidRPr="0083249C">
        <w:rPr>
          <w:vertAlign w:val="superscript"/>
        </w:rPr>
        <w:footnoteReference w:id="115"/>
      </w:r>
      <w:r w:rsidRPr="0083249C">
        <w:t xml:space="preserve">    </w:t>
      </w:r>
    </w:p>
    <w:p w14:paraId="620C9390" w14:textId="77777777" w:rsidR="003F3BD7" w:rsidRPr="003F3BD7" w:rsidRDefault="003F3BD7" w:rsidP="003F3BD7">
      <w:pPr>
        <w:jc w:val="both"/>
      </w:pPr>
    </w:p>
    <w:p w14:paraId="020EC450" w14:textId="77777777" w:rsidR="002573F3" w:rsidRPr="00762933" w:rsidRDefault="002573F3" w:rsidP="00762933">
      <w:pPr>
        <w:jc w:val="both"/>
        <w:rPr>
          <w:rFonts w:asciiTheme="minorHAnsi" w:eastAsiaTheme="minorHAnsi" w:hAnsiTheme="minorHAnsi" w:cstheme="minorBidi"/>
          <w:sz w:val="22"/>
          <w:szCs w:val="22"/>
        </w:rPr>
      </w:pPr>
    </w:p>
    <w:p w14:paraId="626B1509" w14:textId="77777777" w:rsidR="00A35C3D" w:rsidRPr="00AD0670" w:rsidRDefault="00A35C3D" w:rsidP="0095499F">
      <w:pPr>
        <w:pStyle w:val="Heading1"/>
      </w:pPr>
      <w:bookmarkStart w:id="83" w:name="_Toc536443936"/>
      <w:bookmarkStart w:id="84" w:name="_Toc9929369"/>
      <w:r w:rsidRPr="00AD0670">
        <w:t>PART IV: SUPPORTING THE NATIONAL</w:t>
      </w:r>
      <w:bookmarkEnd w:id="80"/>
      <w:bookmarkEnd w:id="83"/>
      <w:bookmarkEnd w:id="84"/>
    </w:p>
    <w:p w14:paraId="4112EAE3" w14:textId="77777777" w:rsidR="00A35C3D" w:rsidRPr="00C5754A" w:rsidRDefault="00A35C3D" w:rsidP="0095499F">
      <w:pPr>
        <w:pStyle w:val="Heading1"/>
      </w:pPr>
      <w:bookmarkStart w:id="85" w:name="_Toc536443937"/>
      <w:bookmarkStart w:id="86" w:name="_Toc9929370"/>
      <w:r w:rsidRPr="00C5754A">
        <w:t>AGING SERVICES NETWORK</w:t>
      </w:r>
      <w:bookmarkEnd w:id="85"/>
      <w:bookmarkEnd w:id="86"/>
    </w:p>
    <w:p w14:paraId="0DC9E088" w14:textId="77777777" w:rsidR="00A35C3D" w:rsidRPr="0004723E" w:rsidRDefault="00A35C3D" w:rsidP="00A35C3D">
      <w:pPr>
        <w:contextualSpacing/>
        <w:jc w:val="center"/>
      </w:pPr>
    </w:p>
    <w:p w14:paraId="14B7819F" w14:textId="59C9F03F" w:rsidR="00A35C3D" w:rsidRPr="0004723E" w:rsidRDefault="00A35C3D" w:rsidP="00A35C3D">
      <w:pPr>
        <w:contextualSpacing/>
        <w:jc w:val="both"/>
        <w:rPr>
          <w:iCs/>
        </w:rPr>
      </w:pPr>
      <w:r w:rsidRPr="0004723E">
        <w:rPr>
          <w:iCs/>
        </w:rPr>
        <w:lastRenderedPageBreak/>
        <w:t>Older Americans face</w:t>
      </w:r>
      <w:r w:rsidR="0090632A">
        <w:rPr>
          <w:iCs/>
        </w:rPr>
        <w:t xml:space="preserve"> myriad</w:t>
      </w:r>
      <w:r w:rsidRPr="0004723E">
        <w:rPr>
          <w:iCs/>
        </w:rPr>
        <w:t xml:space="preserve"> choices when trying to determine the right services and supports to assist them to remain active and in</w:t>
      </w:r>
      <w:r w:rsidR="004C6F4D">
        <w:rPr>
          <w:iCs/>
        </w:rPr>
        <w:t>dependent in their communities</w:t>
      </w:r>
      <w:r w:rsidR="00B72036">
        <w:rPr>
          <w:iCs/>
        </w:rPr>
        <w:t xml:space="preserve">.  </w:t>
      </w:r>
      <w:r w:rsidRPr="0004723E">
        <w:rPr>
          <w:iCs/>
        </w:rPr>
        <w:t xml:space="preserve">As the number of </w:t>
      </w:r>
      <w:r>
        <w:rPr>
          <w:iCs/>
        </w:rPr>
        <w:t>choices</w:t>
      </w:r>
      <w:r w:rsidRPr="0004723E">
        <w:rPr>
          <w:iCs/>
        </w:rPr>
        <w:t xml:space="preserve"> available to assist them grows, so too does the complexity of navigating these programs and </w:t>
      </w:r>
      <w:r>
        <w:rPr>
          <w:iCs/>
        </w:rPr>
        <w:t>selecting</w:t>
      </w:r>
      <w:r w:rsidRPr="0004723E">
        <w:rPr>
          <w:iCs/>
        </w:rPr>
        <w:t xml:space="preserve"> among them to determine which best suit the needs of </w:t>
      </w:r>
      <w:r>
        <w:rPr>
          <w:iCs/>
        </w:rPr>
        <w:t>each individual</w:t>
      </w:r>
      <w:r w:rsidRPr="0004723E">
        <w:rPr>
          <w:iCs/>
        </w:rPr>
        <w:t xml:space="preserve">. </w:t>
      </w:r>
    </w:p>
    <w:p w14:paraId="5EF47DC9" w14:textId="77777777" w:rsidR="00A35C3D" w:rsidRPr="0004723E" w:rsidRDefault="00A35C3D" w:rsidP="00A35C3D">
      <w:pPr>
        <w:contextualSpacing/>
        <w:jc w:val="both"/>
      </w:pPr>
    </w:p>
    <w:p w14:paraId="648A7DBB" w14:textId="31650E5A" w:rsidR="00A35C3D" w:rsidRDefault="00A35C3D" w:rsidP="00A35C3D">
      <w:pPr>
        <w:contextualSpacing/>
        <w:jc w:val="both"/>
      </w:pPr>
      <w:r w:rsidRPr="0004723E">
        <w:t xml:space="preserve">A key part </w:t>
      </w:r>
      <w:r>
        <w:t>of AoA’</w:t>
      </w:r>
      <w:r w:rsidRPr="0004723E">
        <w:t>s emphasis on community living is providing consumers with the information</w:t>
      </w:r>
      <w:r>
        <w:t xml:space="preserve"> and assistance</w:t>
      </w:r>
      <w:r w:rsidRPr="0004723E">
        <w:t xml:space="preserve"> they need to make decisions about their independence and connecting </w:t>
      </w:r>
      <w:r>
        <w:t xml:space="preserve">them </w:t>
      </w:r>
      <w:r w:rsidR="004C6F4D">
        <w:t>with the right services</w:t>
      </w:r>
      <w:r w:rsidR="00B72036">
        <w:t xml:space="preserve">.  </w:t>
      </w:r>
      <w:r>
        <w:t xml:space="preserve">An </w:t>
      </w:r>
      <w:r w:rsidRPr="0004723E">
        <w:t>Aging and Disability Resource Centers</w:t>
      </w:r>
      <w:r>
        <w:t xml:space="preserve"> (ADRCs)</w:t>
      </w:r>
      <w:r w:rsidRPr="0004723E">
        <w:t xml:space="preserve"> </w:t>
      </w:r>
      <w:r>
        <w:t xml:space="preserve">system </w:t>
      </w:r>
      <w:r w:rsidRPr="0004723E">
        <w:t>help</w:t>
      </w:r>
      <w:r>
        <w:t>s</w:t>
      </w:r>
      <w:r w:rsidRPr="0004723E">
        <w:t xml:space="preserve"> to address this need by providing information, outreach, and assistance to </w:t>
      </w:r>
      <w:r w:rsidR="003B586D">
        <w:t>older adults</w:t>
      </w:r>
      <w:r w:rsidRPr="0004723E">
        <w:t xml:space="preserve"> and </w:t>
      </w:r>
      <w:r>
        <w:t>people</w:t>
      </w:r>
      <w:r w:rsidRPr="0004723E">
        <w:t xml:space="preserve"> with disabilities </w:t>
      </w:r>
      <w:r>
        <w:t>so that they can access</w:t>
      </w:r>
      <w:r w:rsidRPr="0004723E">
        <w:t xml:space="preserve"> the services ne</w:t>
      </w:r>
      <w:r w:rsidR="004C6F4D">
        <w:t>cessary for their independence</w:t>
      </w:r>
      <w:r w:rsidR="00B72036">
        <w:t xml:space="preserve">.  </w:t>
      </w:r>
      <w:r w:rsidRPr="0004723E">
        <w:t>ADRCs serve as community-level “one stop shop” entry points into long-term care</w:t>
      </w:r>
      <w:r w:rsidR="00A767B0">
        <w:t>,</w:t>
      </w:r>
      <w:r>
        <w:t xml:space="preserve"> including</w:t>
      </w:r>
      <w:r w:rsidR="008970B6">
        <w:t xml:space="preserve"> cost-effective</w:t>
      </w:r>
      <w:r>
        <w:t xml:space="preserve"> home and community-based services that can enable people to remain in their homes</w:t>
      </w:r>
      <w:r w:rsidR="00A767B0">
        <w:t>,</w:t>
      </w:r>
      <w:r>
        <w:t xml:space="preserve"> </w:t>
      </w:r>
      <w:r w:rsidRPr="0004723E">
        <w:t xml:space="preserve">for people of all ages who have chronic conditions and disabilities. </w:t>
      </w:r>
    </w:p>
    <w:p w14:paraId="3006567C" w14:textId="77777777" w:rsidR="00A35C3D" w:rsidRDefault="00A35C3D" w:rsidP="00A35C3D">
      <w:pPr>
        <w:contextualSpacing/>
        <w:jc w:val="both"/>
      </w:pPr>
    </w:p>
    <w:p w14:paraId="7E30ADEE" w14:textId="77777777" w:rsidR="00BB7EDF" w:rsidRPr="003A6AE1" w:rsidRDefault="00BB7EDF" w:rsidP="00916C9D">
      <w:pPr>
        <w:pStyle w:val="Heading2"/>
      </w:pPr>
      <w:bookmarkStart w:id="87" w:name="_Toc436738896"/>
      <w:bookmarkStart w:id="88" w:name="_Toc536443938"/>
      <w:bookmarkStart w:id="89" w:name="_Toc9929371"/>
      <w:r w:rsidRPr="003A6AE1">
        <w:t>Aging and Disability Resource Centers/No Wrong Door System</w:t>
      </w:r>
      <w:bookmarkEnd w:id="87"/>
      <w:bookmarkEnd w:id="88"/>
      <w:bookmarkEnd w:id="89"/>
    </w:p>
    <w:p w14:paraId="2C8D9054" w14:textId="78435BDD" w:rsidR="00BB7EDF" w:rsidRPr="00F36715" w:rsidRDefault="00BB7EDF" w:rsidP="00BB7EDF">
      <w:pPr>
        <w:contextualSpacing/>
        <w:jc w:val="center"/>
        <w:rPr>
          <w:b/>
          <w:i/>
        </w:rPr>
      </w:pPr>
      <w:r w:rsidRPr="00F36715">
        <w:rPr>
          <w:b/>
          <w:i/>
        </w:rPr>
        <w:t>(FY 201</w:t>
      </w:r>
      <w:r w:rsidR="00A068F7">
        <w:rPr>
          <w:b/>
          <w:i/>
        </w:rPr>
        <w:t>7</w:t>
      </w:r>
      <w:r w:rsidRPr="00F36715">
        <w:rPr>
          <w:b/>
          <w:i/>
        </w:rPr>
        <w:t xml:space="preserve"> $6,</w:t>
      </w:r>
      <w:r w:rsidR="001211E2">
        <w:rPr>
          <w:b/>
          <w:i/>
        </w:rPr>
        <w:t>1</w:t>
      </w:r>
      <w:r w:rsidR="0090632A">
        <w:rPr>
          <w:b/>
          <w:i/>
        </w:rPr>
        <w:t>05</w:t>
      </w:r>
      <w:r w:rsidRPr="00F36715">
        <w:rPr>
          <w:b/>
          <w:i/>
        </w:rPr>
        <w:t>,000)</w:t>
      </w:r>
    </w:p>
    <w:p w14:paraId="719031F1" w14:textId="244F590F" w:rsidR="00A068F7" w:rsidRDefault="00A068F7" w:rsidP="00A068F7">
      <w:pPr>
        <w:contextualSpacing/>
        <w:jc w:val="both"/>
      </w:pPr>
    </w:p>
    <w:p w14:paraId="43D8E2F6" w14:textId="6FF39675" w:rsidR="00A068F7" w:rsidRPr="001776DA" w:rsidRDefault="00A068F7" w:rsidP="00A068F7">
      <w:pPr>
        <w:contextualSpacing/>
        <w:jc w:val="both"/>
      </w:pPr>
      <w:r w:rsidRPr="001776DA">
        <w:t>The ADRC/No Wrong Door system</w:t>
      </w:r>
      <w:r w:rsidRPr="001776DA">
        <w:rPr>
          <w:vertAlign w:val="superscript"/>
        </w:rPr>
        <w:footnoteReference w:id="116"/>
      </w:r>
      <w:r w:rsidRPr="001776DA">
        <w:t xml:space="preserve"> supports state efforts to help individuals and caregivers connect to long-term services and supports (LTSS) as well as develop more efficient and cost</w:t>
      </w:r>
      <w:r w:rsidR="00B72036">
        <w:t xml:space="preserve">-effective LTSS access systems.  </w:t>
      </w:r>
      <w:r w:rsidRPr="001776DA">
        <w:t>The current LTSS system involves numerous funding streams administered by federal, state and local agencies using different access processes involving screening, intake, needs assessment, service planning,</w:t>
      </w:r>
      <w:r w:rsidR="00B72036">
        <w:t xml:space="preserve"> and eligibility determination.  </w:t>
      </w:r>
      <w:r w:rsidRPr="00EC3201">
        <w:rPr>
          <w:sz w:val="23"/>
          <w:szCs w:val="23"/>
        </w:rPr>
        <w:t xml:space="preserve">In </w:t>
      </w:r>
      <w:r>
        <w:rPr>
          <w:sz w:val="23"/>
          <w:szCs w:val="23"/>
        </w:rPr>
        <w:t>2016</w:t>
      </w:r>
      <w:r w:rsidRPr="00EC3201">
        <w:rPr>
          <w:sz w:val="23"/>
          <w:szCs w:val="23"/>
        </w:rPr>
        <w:t xml:space="preserve">, the United States </w:t>
      </w:r>
      <w:r>
        <w:rPr>
          <w:sz w:val="23"/>
          <w:szCs w:val="23"/>
        </w:rPr>
        <w:t xml:space="preserve">spent </w:t>
      </w:r>
      <w:r w:rsidRPr="00EC3201">
        <w:rPr>
          <w:sz w:val="23"/>
          <w:szCs w:val="23"/>
        </w:rPr>
        <w:t>an estimated $</w:t>
      </w:r>
      <w:r>
        <w:rPr>
          <w:sz w:val="23"/>
          <w:szCs w:val="23"/>
        </w:rPr>
        <w:t>366</w:t>
      </w:r>
      <w:r w:rsidRPr="00EC3201">
        <w:rPr>
          <w:sz w:val="23"/>
          <w:szCs w:val="23"/>
        </w:rPr>
        <w:t xml:space="preserve"> billion on </w:t>
      </w:r>
      <w:r>
        <w:rPr>
          <w:sz w:val="23"/>
          <w:szCs w:val="23"/>
        </w:rPr>
        <w:t>Long Term Services and Supports</w:t>
      </w:r>
      <w:r w:rsidRPr="00EC3201">
        <w:rPr>
          <w:sz w:val="23"/>
          <w:szCs w:val="23"/>
        </w:rPr>
        <w:t xml:space="preserve"> </w:t>
      </w:r>
      <w:r>
        <w:rPr>
          <w:sz w:val="23"/>
          <w:szCs w:val="23"/>
        </w:rPr>
        <w:t>(</w:t>
      </w:r>
      <w:r w:rsidRPr="00EC3201">
        <w:rPr>
          <w:sz w:val="23"/>
          <w:szCs w:val="23"/>
        </w:rPr>
        <w:t>LTSS</w:t>
      </w:r>
      <w:r>
        <w:rPr>
          <w:sz w:val="23"/>
          <w:szCs w:val="23"/>
        </w:rPr>
        <w:t>)</w:t>
      </w:r>
      <w:r w:rsidRPr="00EC3201">
        <w:rPr>
          <w:sz w:val="23"/>
          <w:szCs w:val="23"/>
        </w:rPr>
        <w:t>.</w:t>
      </w:r>
      <w:r>
        <w:rPr>
          <w:rStyle w:val="FootnoteReference"/>
          <w:sz w:val="23"/>
          <w:szCs w:val="23"/>
        </w:rPr>
        <w:footnoteReference w:id="117"/>
      </w:r>
      <w:r w:rsidRPr="00EC3201">
        <w:rPr>
          <w:sz w:val="23"/>
          <w:szCs w:val="23"/>
        </w:rPr>
        <w:t xml:space="preserve"> This figure includes federal</w:t>
      </w:r>
      <w:r>
        <w:rPr>
          <w:sz w:val="23"/>
          <w:szCs w:val="23"/>
        </w:rPr>
        <w:t>,</w:t>
      </w:r>
      <w:r w:rsidRPr="00EC3201">
        <w:rPr>
          <w:sz w:val="23"/>
          <w:szCs w:val="23"/>
        </w:rPr>
        <w:t xml:space="preserve"> state, local</w:t>
      </w:r>
      <w:r>
        <w:rPr>
          <w:sz w:val="23"/>
          <w:szCs w:val="23"/>
        </w:rPr>
        <w:t>,</w:t>
      </w:r>
      <w:r w:rsidRPr="00EC3201">
        <w:rPr>
          <w:sz w:val="23"/>
          <w:szCs w:val="23"/>
        </w:rPr>
        <w:t xml:space="preserve"> and private funding</w:t>
      </w:r>
      <w:r w:rsidR="001B2DC3">
        <w:rPr>
          <w:sz w:val="23"/>
          <w:szCs w:val="23"/>
        </w:rPr>
        <w:t xml:space="preserve">. </w:t>
      </w:r>
      <w:r w:rsidRPr="001776DA">
        <w:t>Individuals seeking LTSS frequently find themselves confronted with a variety of organizations and requirements at a time when they are vulnerable or in cris</w:t>
      </w:r>
      <w:r w:rsidR="00B72036">
        <w:t xml:space="preserve">is.  </w:t>
      </w:r>
      <w:r w:rsidRPr="001776DA">
        <w:t>This often results in people making decisions based on incomplete, and sometimes inaccurate, information about their options. Consequently, they may make decisions to purchase and/or use LTSS options that are less than optimal for the individual and more expensive than necessary, including decisions to use costly options such as nursing facility care that can quickly exhaust an individual’s personal resources and result in their spending down to Medicaid eligibility.</w:t>
      </w:r>
    </w:p>
    <w:p w14:paraId="7287CD4F" w14:textId="77777777" w:rsidR="00A068F7" w:rsidRPr="001776DA" w:rsidRDefault="00A068F7" w:rsidP="00A068F7">
      <w:pPr>
        <w:contextualSpacing/>
        <w:jc w:val="both"/>
      </w:pPr>
    </w:p>
    <w:p w14:paraId="5EDC36A6" w14:textId="7F8C44AD" w:rsidR="00A068F7" w:rsidRPr="001776DA" w:rsidRDefault="00A068F7" w:rsidP="00A068F7">
      <w:pPr>
        <w:contextualSpacing/>
        <w:jc w:val="both"/>
      </w:pPr>
      <w:r w:rsidRPr="001776DA">
        <w:t>In response to this challenge facing our citizens and our nation, AoA and CMS worked collaboratively in 2003 to create a joint funding opportunity to support state efforts to make it ea</w:t>
      </w:r>
      <w:r w:rsidR="00B72036">
        <w:t xml:space="preserve">sier for people to access LTSS.  </w:t>
      </w:r>
      <w:r w:rsidRPr="001776DA">
        <w:t xml:space="preserve">This initiative, known as the ADRC program, was designed to provide consumers with “visible and trusted” sources of information, one-on-one counseling, and streamlined access to services and supports. </w:t>
      </w:r>
    </w:p>
    <w:p w14:paraId="41296E53" w14:textId="77777777" w:rsidR="00A068F7" w:rsidRPr="001776DA" w:rsidRDefault="00A068F7" w:rsidP="00A068F7">
      <w:pPr>
        <w:contextualSpacing/>
        <w:jc w:val="both"/>
      </w:pPr>
    </w:p>
    <w:p w14:paraId="6D7A2ED5" w14:textId="77777777" w:rsidR="00A068F7" w:rsidRPr="001776DA" w:rsidRDefault="00A068F7" w:rsidP="00A068F7">
      <w:pPr>
        <w:contextualSpacing/>
        <w:jc w:val="both"/>
      </w:pPr>
      <w:r w:rsidRPr="001776DA">
        <w:t>Another major development in the evolution of the ADRC/N</w:t>
      </w:r>
      <w:r>
        <w:t xml:space="preserve">o </w:t>
      </w:r>
      <w:r w:rsidRPr="001776DA">
        <w:t>W</w:t>
      </w:r>
      <w:r>
        <w:t xml:space="preserve">rong </w:t>
      </w:r>
      <w:r w:rsidRPr="001776DA">
        <w:t>D</w:t>
      </w:r>
      <w:r>
        <w:t>oor (NWD)</w:t>
      </w:r>
      <w:r w:rsidRPr="001776DA">
        <w:t xml:space="preserve"> system model occurred in 2008 when the Veterans Health Administration (VHA) – the nation’s largest integrated health care system - recognized the value of the nationwide aging and disability network and decided to purchase an evidence-based self-directed HCBS program from the ADRC/NWD system instead of building a separate LTSS access system. </w:t>
      </w:r>
      <w:r>
        <w:t>Veteran Directed Care (VDC), formerly Veteran Directed Home and Community Based Services (VD-HCBS)</w:t>
      </w:r>
      <w:r w:rsidRPr="001776DA">
        <w:t xml:space="preserve"> is currently offered </w:t>
      </w:r>
      <w:r w:rsidRPr="000E4BF9">
        <w:t>at 67</w:t>
      </w:r>
      <w:r w:rsidRPr="001776DA">
        <w:t xml:space="preserve"> VA Medical Centers across the country, and </w:t>
      </w:r>
      <w:r>
        <w:t>2,220</w:t>
      </w:r>
      <w:r w:rsidRPr="001776DA">
        <w:t xml:space="preserve"> Veterans at a nursing home level of care are</w:t>
      </w:r>
      <w:r>
        <w:t xml:space="preserve"> reportedly</w:t>
      </w:r>
      <w:r w:rsidRPr="001776DA">
        <w:t xml:space="preserve"> self-directing their HCBS at home in the community. </w:t>
      </w:r>
    </w:p>
    <w:p w14:paraId="03638291" w14:textId="77777777" w:rsidR="00A068F7" w:rsidRPr="001776DA" w:rsidRDefault="00A068F7" w:rsidP="00A068F7">
      <w:pPr>
        <w:contextualSpacing/>
        <w:jc w:val="both"/>
      </w:pPr>
    </w:p>
    <w:p w14:paraId="1B94986B" w14:textId="539608CD" w:rsidR="00A068F7" w:rsidRPr="001776DA" w:rsidRDefault="00A068F7" w:rsidP="00A068F7">
      <w:pPr>
        <w:contextualSpacing/>
        <w:jc w:val="both"/>
      </w:pPr>
      <w:r w:rsidRPr="001776DA">
        <w:t xml:space="preserve">In 2012, recognizing the accomplishments of both HHS and the VHA, as well as the lessons learned from the experience of states, ACL, CMS and the VHA issued a special funding opportunity – known as the 2012 “ADRC Part A Grant Program.” With the 2012 funding opportunity announcement, the “No Wrong Door” system </w:t>
      </w:r>
      <w:r w:rsidRPr="001776DA">
        <w:lastRenderedPageBreak/>
        <w:t xml:space="preserve">framework was adopted across ACL, CMS and </w:t>
      </w:r>
      <w:r w:rsidR="00B72036">
        <w:t xml:space="preserve">VHA for the ADRC Part A grants.  </w:t>
      </w:r>
      <w:r w:rsidRPr="001776DA">
        <w:t xml:space="preserve">Lessons learned from these grants demonstrated that no one agency or network could successfully implement a LTSS access system for all populations and all payers without having multiple agencies and organizations at the state and local level formally involved in the system's operations. </w:t>
      </w:r>
    </w:p>
    <w:p w14:paraId="2EA80D00" w14:textId="77777777" w:rsidR="00A068F7" w:rsidRPr="001776DA" w:rsidRDefault="00A068F7" w:rsidP="00A068F7">
      <w:pPr>
        <w:contextualSpacing/>
        <w:jc w:val="both"/>
      </w:pPr>
    </w:p>
    <w:p w14:paraId="00078176" w14:textId="385E3AB3" w:rsidR="00A068F7" w:rsidRPr="001776DA" w:rsidRDefault="00A068F7" w:rsidP="00A068F7">
      <w:pPr>
        <w:contextualSpacing/>
        <w:jc w:val="both"/>
      </w:pPr>
      <w:r w:rsidRPr="001776DA">
        <w:t xml:space="preserve">In 2014, 25 states received one-year planning grants to develop plans to transform their multiple LTSS access programs and functions into a single statewide ADRC/NWD system for </w:t>
      </w:r>
      <w:r w:rsidR="00B72036">
        <w:t xml:space="preserve">all populations and all payers.  </w:t>
      </w:r>
      <w:r w:rsidRPr="001776DA">
        <w:t>In 2015, five of the 25 state planning grantees received three-year awards to implement their planning grants and the eight states awarded three-year grants in 2012 received a one-year grant to continue their work in developing their ADRC/NWD system.</w:t>
      </w:r>
    </w:p>
    <w:p w14:paraId="3AFE31C8" w14:textId="77777777" w:rsidR="00A068F7" w:rsidRPr="001776DA" w:rsidRDefault="00A068F7" w:rsidP="00A068F7">
      <w:pPr>
        <w:contextualSpacing/>
        <w:jc w:val="both"/>
      </w:pPr>
    </w:p>
    <w:p w14:paraId="44C89C0D" w14:textId="31DD735D" w:rsidR="00A068F7" w:rsidRPr="001776DA" w:rsidRDefault="00A068F7" w:rsidP="00A068F7">
      <w:pPr>
        <w:contextualSpacing/>
        <w:jc w:val="both"/>
      </w:pPr>
      <w:r w:rsidRPr="001776DA">
        <w:t>Two additional outcomes resulting from this collaboration included NWD system guidance on 1) Key Functional Elements of NWD System and 2) Sustaining NWD functions through</w:t>
      </w:r>
      <w:r w:rsidR="00B72036">
        <w:t xml:space="preserve"> Medicaid Administrative Match.  </w:t>
      </w:r>
      <w:r w:rsidRPr="001776DA">
        <w:t xml:space="preserve">In January 2015, CMS posted the “No Wrong Door System Reference Document for Medicaid Administrative Claiming Guidance” to help sustain the infrastructure investments that states have made over the years. NWD System Medicaid Administrative Guidance was developed to inform states about the appropriate methods for claiming Medicaid federal matching funds. </w:t>
      </w:r>
    </w:p>
    <w:p w14:paraId="5F177065" w14:textId="77777777" w:rsidR="00A068F7" w:rsidRPr="001776DA" w:rsidRDefault="00A068F7" w:rsidP="00A068F7">
      <w:pPr>
        <w:contextualSpacing/>
        <w:jc w:val="both"/>
      </w:pPr>
    </w:p>
    <w:p w14:paraId="213FAC15" w14:textId="1B37C1D5" w:rsidR="00A068F7" w:rsidRDefault="00A068F7" w:rsidP="00A068F7">
      <w:pPr>
        <w:contextualSpacing/>
        <w:jc w:val="both"/>
      </w:pPr>
      <w:r w:rsidRPr="001776DA">
        <w:t xml:space="preserve">Also posted on the CMS website is the NWD System Key Elements </w:t>
      </w:r>
      <w:r w:rsidR="00455736" w:rsidRPr="001776DA">
        <w:t>document that</w:t>
      </w:r>
      <w:r w:rsidRPr="001776DA">
        <w:t xml:space="preserve"> describes the vision a</w:t>
      </w:r>
      <w:r w:rsidR="00B72036">
        <w:t xml:space="preserve">nd functions of the NWD System.  </w:t>
      </w:r>
      <w:r w:rsidRPr="001776DA">
        <w:t xml:space="preserve">The ACL/CMS/VHA vision is that each state will have a single statewide NWD System to LTSS for </w:t>
      </w:r>
      <w:r w:rsidR="00B72036">
        <w:t xml:space="preserve">all populations and all payers.  </w:t>
      </w:r>
      <w:r w:rsidRPr="001776DA">
        <w:t>The NWD System functions include:</w:t>
      </w:r>
    </w:p>
    <w:p w14:paraId="22B96FDB" w14:textId="77777777" w:rsidR="00A068F7" w:rsidRPr="001776DA" w:rsidRDefault="00A068F7" w:rsidP="00A068F7">
      <w:pPr>
        <w:contextualSpacing/>
        <w:jc w:val="both"/>
      </w:pPr>
    </w:p>
    <w:p w14:paraId="3F04F050" w14:textId="77777777" w:rsidR="00A068F7" w:rsidRPr="001776DA" w:rsidRDefault="00A068F7" w:rsidP="00A068F7">
      <w:pPr>
        <w:numPr>
          <w:ilvl w:val="0"/>
          <w:numId w:val="6"/>
        </w:numPr>
        <w:contextualSpacing/>
        <w:jc w:val="both"/>
      </w:pPr>
      <w:r w:rsidRPr="001776DA">
        <w:t>Public outreach and coordination with key referral sources;</w:t>
      </w:r>
    </w:p>
    <w:p w14:paraId="3B83F90A" w14:textId="77777777" w:rsidR="00A068F7" w:rsidRPr="001776DA" w:rsidRDefault="00A068F7" w:rsidP="00A068F7">
      <w:pPr>
        <w:numPr>
          <w:ilvl w:val="0"/>
          <w:numId w:val="6"/>
        </w:numPr>
        <w:contextualSpacing/>
        <w:jc w:val="both"/>
      </w:pPr>
      <w:r w:rsidRPr="001776DA">
        <w:t>Person-centered counseling;</w:t>
      </w:r>
    </w:p>
    <w:p w14:paraId="50F5D584" w14:textId="77777777" w:rsidR="00A068F7" w:rsidRPr="001776DA" w:rsidRDefault="00A068F7" w:rsidP="00A068F7">
      <w:pPr>
        <w:numPr>
          <w:ilvl w:val="0"/>
          <w:numId w:val="6"/>
        </w:numPr>
        <w:contextualSpacing/>
        <w:jc w:val="both"/>
      </w:pPr>
      <w:r w:rsidRPr="001776DA">
        <w:t>Streamlined access to public LTSS programs; and,</w:t>
      </w:r>
    </w:p>
    <w:p w14:paraId="4764E09A" w14:textId="7FC9D119" w:rsidR="00A068F7" w:rsidRPr="001776DA" w:rsidRDefault="00A068F7" w:rsidP="00A068F7">
      <w:pPr>
        <w:numPr>
          <w:ilvl w:val="0"/>
          <w:numId w:val="6"/>
        </w:numPr>
        <w:contextualSpacing/>
        <w:jc w:val="both"/>
      </w:pPr>
      <w:r w:rsidRPr="001776DA">
        <w:t>State governance and administration.</w:t>
      </w:r>
    </w:p>
    <w:p w14:paraId="04093F08" w14:textId="77777777" w:rsidR="00A068F7" w:rsidRDefault="00A068F7" w:rsidP="00A068F7">
      <w:pPr>
        <w:contextualSpacing/>
        <w:jc w:val="both"/>
        <w:rPr>
          <w:u w:val="single"/>
        </w:rPr>
      </w:pPr>
    </w:p>
    <w:p w14:paraId="71C3BA2B" w14:textId="77777777" w:rsidR="00A068F7" w:rsidRPr="001776DA" w:rsidRDefault="00A068F7" w:rsidP="00A068F7">
      <w:pPr>
        <w:contextualSpacing/>
        <w:jc w:val="both"/>
        <w:rPr>
          <w:u w:val="single"/>
        </w:rPr>
      </w:pPr>
      <w:r w:rsidRPr="001776DA">
        <w:rPr>
          <w:u w:val="single"/>
        </w:rPr>
        <w:t>Public Outreach and Coordination with Key Referral Sources</w:t>
      </w:r>
    </w:p>
    <w:p w14:paraId="7CCA0086" w14:textId="77777777" w:rsidR="00A068F7" w:rsidRPr="001776DA" w:rsidRDefault="00A068F7" w:rsidP="00A068F7">
      <w:pPr>
        <w:contextualSpacing/>
        <w:jc w:val="both"/>
      </w:pPr>
    </w:p>
    <w:p w14:paraId="6C830D16" w14:textId="3073C128" w:rsidR="00A068F7" w:rsidRPr="001776DA" w:rsidRDefault="00A068F7" w:rsidP="00A068F7">
      <w:pPr>
        <w:contextualSpacing/>
        <w:jc w:val="both"/>
      </w:pPr>
      <w:r w:rsidRPr="001776DA">
        <w:t>To be a visible source of individualized counseling and help with accessing LTSS, the NWD system must proactively engage in public education to promote broad public awareness of th</w:t>
      </w:r>
      <w:r w:rsidR="00B72036">
        <w:t xml:space="preserve">e resources that are available.  </w:t>
      </w:r>
      <w:r w:rsidRPr="001776DA">
        <w:t xml:space="preserve">The goal is for residents in each state to know where they can turn to for unbiased and trusted help in understanding and accessing the LTSS options that are </w:t>
      </w:r>
      <w:r w:rsidR="00B72036">
        <w:t xml:space="preserve">available in their communities.  </w:t>
      </w:r>
      <w:r w:rsidRPr="001776DA">
        <w:t>A NWD system’s public education efforts gives special attention to underserved and hard-to-reach populations, including people with hearing and visual impairments and limited English speaking populations.</w:t>
      </w:r>
    </w:p>
    <w:p w14:paraId="7A9A014C" w14:textId="77777777" w:rsidR="00A068F7" w:rsidRPr="001776DA" w:rsidRDefault="00A068F7" w:rsidP="00A068F7">
      <w:pPr>
        <w:contextualSpacing/>
        <w:jc w:val="both"/>
      </w:pPr>
    </w:p>
    <w:p w14:paraId="0130A7A4" w14:textId="2E1105BF" w:rsidR="00A068F7" w:rsidRPr="001776DA" w:rsidRDefault="00A068F7" w:rsidP="00A068F7">
      <w:pPr>
        <w:contextualSpacing/>
        <w:jc w:val="both"/>
      </w:pPr>
      <w:r w:rsidRPr="001776DA">
        <w:t>A fully operational NWD system has formal linkages between and among all the major pathways that people travel while transitioning from one health care setting to another or from one p</w:t>
      </w:r>
      <w:r w:rsidR="00B72036">
        <w:t xml:space="preserve">ublic program payer to another.  </w:t>
      </w:r>
      <w:r w:rsidRPr="001776DA">
        <w:t>These pathways represent critical junctures where decisions are made – usually in a time of crisis - that often determine whether a person is permanently institutionalized or tran</w:t>
      </w:r>
      <w:r w:rsidR="00B72036">
        <w:t xml:space="preserve">sitioned back to the community.  </w:t>
      </w:r>
      <w:r w:rsidRPr="001776DA">
        <w:t>The NWD system must have formal linkages with key sources of referral including information and referral entities, nursing homes and other institutions, acute care systems, and VA Medical Centers.</w:t>
      </w:r>
    </w:p>
    <w:p w14:paraId="429BE8C3" w14:textId="77777777" w:rsidR="00A068F7" w:rsidRPr="001776DA" w:rsidRDefault="00A068F7" w:rsidP="00A068F7">
      <w:pPr>
        <w:contextualSpacing/>
        <w:jc w:val="both"/>
        <w:rPr>
          <w:u w:val="single"/>
        </w:rPr>
      </w:pPr>
    </w:p>
    <w:p w14:paraId="723D64CB" w14:textId="77777777" w:rsidR="00A068F7" w:rsidRPr="001776DA" w:rsidRDefault="00A068F7" w:rsidP="00A068F7">
      <w:pPr>
        <w:contextualSpacing/>
        <w:jc w:val="both"/>
        <w:rPr>
          <w:u w:val="single"/>
        </w:rPr>
      </w:pPr>
      <w:r w:rsidRPr="001776DA">
        <w:rPr>
          <w:u w:val="single"/>
        </w:rPr>
        <w:t>Person-Centered Counseling</w:t>
      </w:r>
    </w:p>
    <w:p w14:paraId="3850B0E3" w14:textId="77777777" w:rsidR="00A068F7" w:rsidRPr="001776DA" w:rsidRDefault="00A068F7" w:rsidP="00A068F7">
      <w:pPr>
        <w:contextualSpacing/>
        <w:jc w:val="both"/>
      </w:pPr>
    </w:p>
    <w:p w14:paraId="0A9ED919" w14:textId="227EFB9E" w:rsidR="00A068F7" w:rsidRPr="001776DA" w:rsidRDefault="00A068F7" w:rsidP="00A068F7">
      <w:pPr>
        <w:contextualSpacing/>
        <w:jc w:val="both"/>
      </w:pPr>
      <w:r w:rsidRPr="001776DA">
        <w:t>Person-Centered Counseling (PCC) is the NWD system term for person-centered planning</w:t>
      </w:r>
      <w:r>
        <w:t>,</w:t>
      </w:r>
      <w:r w:rsidRPr="001776DA">
        <w:t xml:space="preserve"> which is an approach for working with </w:t>
      </w:r>
      <w:r w:rsidR="00B72036">
        <w:t xml:space="preserve">individuals in the LTSS system.  </w:t>
      </w:r>
      <w:r w:rsidRPr="001776DA">
        <w:t>Through the use of PCC, the NWD system empowers individuals to make informed choices about their LTSS options that are consistent with t</w:t>
      </w:r>
      <w:r w:rsidR="00B72036">
        <w:t xml:space="preserve">heir personal goals.  </w:t>
      </w:r>
      <w:r w:rsidRPr="001776DA">
        <w:t>PCC also helps them to successfully navigate the various organizations, agencies and other resources in their</w:t>
      </w:r>
      <w:r w:rsidR="00B72036">
        <w:t xml:space="preserve"> </w:t>
      </w:r>
      <w:r w:rsidR="00B72036">
        <w:lastRenderedPageBreak/>
        <w:t xml:space="preserve">communities that provide LTSS.  </w:t>
      </w:r>
      <w:r w:rsidRPr="001776DA">
        <w:t xml:space="preserve">PCC is very different from and requires a different skill set compared to traditional case management and other commonly used techniques for counseling individuals with LTSS needs. </w:t>
      </w:r>
    </w:p>
    <w:p w14:paraId="0AFB4563" w14:textId="77777777" w:rsidR="00A068F7" w:rsidRPr="001776DA" w:rsidRDefault="00A068F7" w:rsidP="00A068F7">
      <w:pPr>
        <w:contextualSpacing/>
        <w:jc w:val="both"/>
      </w:pPr>
    </w:p>
    <w:p w14:paraId="64A1AE5F" w14:textId="7D4F5551" w:rsidR="00A068F7" w:rsidRPr="001776DA" w:rsidRDefault="00A068F7" w:rsidP="00A068F7">
      <w:pPr>
        <w:contextualSpacing/>
        <w:jc w:val="both"/>
      </w:pPr>
      <w:r w:rsidRPr="001776DA">
        <w:t>It will take time for our current LTSS workforce to develop the knowledge and skills required to fully e</w:t>
      </w:r>
      <w:r w:rsidR="00B72036">
        <w:t xml:space="preserve">mbrace and effectively use PCC.  </w:t>
      </w:r>
      <w:r w:rsidRPr="001776DA">
        <w:t>However, ACL has entered into a public/private partnership to develop and deliver the first national training program for Person Centered Thinking, Planning and Practice. In 2016, ACL pilot tested the training in 13 NWD System states across 1,200 learners including representation from A</w:t>
      </w:r>
      <w:r w:rsidR="00B72036">
        <w:t xml:space="preserve">AAs, ADRCs and CILs.  </w:t>
      </w:r>
      <w:r w:rsidRPr="001776DA">
        <w:t>This blended learning design, of online and in-person courses, allows learners to obtain key knowledge, skills, and abilities of person centered counseling that can be applie</w:t>
      </w:r>
      <w:r w:rsidR="00B72036">
        <w:t xml:space="preserve">d across all ADRC/NWD activity.  </w:t>
      </w:r>
      <w:r w:rsidRPr="001776DA">
        <w:t>As a result of</w:t>
      </w:r>
      <w:r>
        <w:t xml:space="preserve"> </w:t>
      </w:r>
      <w:r w:rsidRPr="001776DA">
        <w:t>this focus on person-centeredness, ADRC/NWD Systems have accelerated change by streamlining resources that put the focus on the needs of the people and their families.</w:t>
      </w:r>
    </w:p>
    <w:p w14:paraId="29AB5053" w14:textId="77777777" w:rsidR="00A068F7" w:rsidRPr="001776DA" w:rsidRDefault="00A068F7" w:rsidP="00A068F7">
      <w:pPr>
        <w:contextualSpacing/>
        <w:jc w:val="both"/>
        <w:rPr>
          <w:u w:val="single"/>
        </w:rPr>
      </w:pPr>
    </w:p>
    <w:p w14:paraId="2C354384" w14:textId="77777777" w:rsidR="00A068F7" w:rsidRPr="001776DA" w:rsidRDefault="00A068F7" w:rsidP="00A068F7">
      <w:pPr>
        <w:contextualSpacing/>
        <w:jc w:val="both"/>
        <w:rPr>
          <w:u w:val="single"/>
        </w:rPr>
      </w:pPr>
      <w:r w:rsidRPr="001776DA">
        <w:rPr>
          <w:u w:val="single"/>
        </w:rPr>
        <w:t>Streamlined Access to Public LTSS Programs</w:t>
      </w:r>
    </w:p>
    <w:p w14:paraId="126BDDBF" w14:textId="77777777" w:rsidR="00A068F7" w:rsidRPr="001776DA" w:rsidRDefault="00A068F7" w:rsidP="00A068F7">
      <w:pPr>
        <w:contextualSpacing/>
        <w:jc w:val="both"/>
      </w:pPr>
    </w:p>
    <w:p w14:paraId="4F26A41B" w14:textId="4F3AA2C7" w:rsidR="00A068F7" w:rsidRPr="001776DA" w:rsidRDefault="00A068F7" w:rsidP="00A068F7">
      <w:pPr>
        <w:contextualSpacing/>
        <w:jc w:val="both"/>
      </w:pPr>
      <w:r w:rsidRPr="001776DA">
        <w:t>NWD system's streamlined access to public LTSS programs includes all the processes and requirements associated with conducting formal assessments and/or determining an individual’s eligibility that are required by any of the state</w:t>
      </w:r>
      <w:r>
        <w:t>-</w:t>
      </w:r>
      <w:r w:rsidRPr="001776DA">
        <w:t>administered programs that provide LTSS to any</w:t>
      </w:r>
      <w:r w:rsidR="00B72036">
        <w:t xml:space="preserve"> of the NWD system populations.  </w:t>
      </w:r>
      <w:r w:rsidRPr="001776DA">
        <w:t xml:space="preserve">All of these public access processes and requirements must be part of, and integrated into, the state’s NWD system's streamlined access function, so states can use their NWD system as a vehicle for optimally coordinating and integrating these processes to be more efficient, effective, seamless, and responsive for consumers. </w:t>
      </w:r>
    </w:p>
    <w:p w14:paraId="187270BC" w14:textId="77777777" w:rsidR="00A068F7" w:rsidRPr="001776DA" w:rsidRDefault="00A068F7" w:rsidP="00A068F7">
      <w:pPr>
        <w:contextualSpacing/>
        <w:jc w:val="both"/>
      </w:pPr>
    </w:p>
    <w:p w14:paraId="795B965D" w14:textId="5641C496" w:rsidR="00A068F7" w:rsidRDefault="00A068F7" w:rsidP="00A068F7">
      <w:pPr>
        <w:contextualSpacing/>
        <w:jc w:val="both"/>
      </w:pPr>
      <w:r w:rsidRPr="001776DA">
        <w:t>For example, the NWD system person-centered counselors can help ensure applications are completely filled out with all the information needed when the applicant applies for public assistance, thereby reducing the burden of the application process for b</w:t>
      </w:r>
      <w:r w:rsidR="00B72036">
        <w:t xml:space="preserve">oth intake staff and consumers.  </w:t>
      </w:r>
      <w:r w:rsidRPr="001776DA">
        <w:t>Even if the NWD system person-centered counselor is not designated to do the preliminary assessment, the data gathered by the NWD system person-centered counselor during the PCC process is incorporated into the preliminary assessment and then automatically transferred into the final assessment process.</w:t>
      </w:r>
    </w:p>
    <w:p w14:paraId="341F8C4E" w14:textId="4773D7DD" w:rsidR="000C547C" w:rsidRDefault="000C547C" w:rsidP="00A068F7">
      <w:pPr>
        <w:contextualSpacing/>
        <w:jc w:val="both"/>
      </w:pPr>
    </w:p>
    <w:p w14:paraId="422D105A" w14:textId="74D66A7B" w:rsidR="000C547C" w:rsidRDefault="000C547C" w:rsidP="00A068F7">
      <w:pPr>
        <w:contextualSpacing/>
        <w:jc w:val="both"/>
      </w:pPr>
    </w:p>
    <w:p w14:paraId="60BFE68B" w14:textId="77777777" w:rsidR="000C547C" w:rsidRPr="001776DA" w:rsidRDefault="000C547C" w:rsidP="00A068F7">
      <w:pPr>
        <w:contextualSpacing/>
        <w:jc w:val="both"/>
      </w:pPr>
    </w:p>
    <w:p w14:paraId="49A46538" w14:textId="77777777" w:rsidR="00A068F7" w:rsidRPr="001776DA" w:rsidRDefault="00A068F7" w:rsidP="00A068F7">
      <w:pPr>
        <w:contextualSpacing/>
        <w:jc w:val="both"/>
      </w:pPr>
    </w:p>
    <w:p w14:paraId="42CC03DD" w14:textId="77777777" w:rsidR="00A068F7" w:rsidRPr="001776DA" w:rsidRDefault="00A068F7" w:rsidP="00A068F7">
      <w:pPr>
        <w:contextualSpacing/>
        <w:jc w:val="both"/>
        <w:rPr>
          <w:u w:val="single"/>
        </w:rPr>
      </w:pPr>
      <w:r w:rsidRPr="001776DA">
        <w:rPr>
          <w:u w:val="single"/>
        </w:rPr>
        <w:t>State Governance and Administration</w:t>
      </w:r>
    </w:p>
    <w:p w14:paraId="27BD0C0E" w14:textId="77777777" w:rsidR="00A068F7" w:rsidRPr="001776DA" w:rsidRDefault="00A068F7" w:rsidP="00A068F7">
      <w:pPr>
        <w:contextualSpacing/>
        <w:jc w:val="both"/>
        <w:rPr>
          <w:i/>
          <w:u w:val="single"/>
        </w:rPr>
      </w:pPr>
    </w:p>
    <w:p w14:paraId="1A84359A" w14:textId="2F6105BE" w:rsidR="00A068F7" w:rsidRPr="001776DA" w:rsidRDefault="00A068F7" w:rsidP="00A068F7">
      <w:pPr>
        <w:contextualSpacing/>
        <w:jc w:val="both"/>
      </w:pPr>
      <w:r w:rsidRPr="001776DA">
        <w:t xml:space="preserve">The governance and administration of a NWD system involves a collaborative effort among multiple state agencies, since no one state agency has the authority or expertise to carry out all of the functions involved in a NWD system as </w:t>
      </w:r>
      <w:r w:rsidR="00B72036">
        <w:t xml:space="preserve">envisioned by ACL, CMS and VHA.  </w:t>
      </w:r>
      <w:r w:rsidRPr="001776DA">
        <w:t>Its governing body is responsible for coordinating the on-going development, implementation, financing, evaluation and continual improve</w:t>
      </w:r>
      <w:r w:rsidR="00B72036">
        <w:t xml:space="preserve">ment of the state's NWD system.  </w:t>
      </w:r>
      <w:r w:rsidRPr="001776DA">
        <w:t>It includes representatives from the State Medicaid Agency, the State Unit on Aging, and the state agencies that serve or represent the interests of individuals with physical disabilities, individuals with intellectual and developmental disabilities, and the state authorities admini</w:t>
      </w:r>
      <w:r w:rsidR="00B72036">
        <w:t xml:space="preserve">stering mental health services.  </w:t>
      </w:r>
      <w:r w:rsidRPr="001776DA">
        <w:t>NWD systems also include a robust Management Information System (MIS) that builds on and leverages existing state MIS systems, which is essential for a state to be able to effectively gather and manage information from the many entities that will be carrying out NWD system functions, as well as from individual co</w:t>
      </w:r>
      <w:r w:rsidR="00B72036">
        <w:t xml:space="preserve">nsumers who use the NWD system.  </w:t>
      </w:r>
      <w:r w:rsidRPr="001776DA">
        <w:t xml:space="preserve">The NWD system’s Continuous Quality Improvement process involves getting input and feedback from the many different customers who use or interact with the NWD system, including individuals and their families, system partners, advocates, providers and professionals in the health and LTSS systems, on the responsiveness of the NWD system to their varying needs. </w:t>
      </w:r>
    </w:p>
    <w:p w14:paraId="5D09177B" w14:textId="77777777" w:rsidR="00A068F7" w:rsidRPr="001776DA" w:rsidRDefault="00A068F7" w:rsidP="00A068F7">
      <w:pPr>
        <w:contextualSpacing/>
        <w:jc w:val="both"/>
      </w:pPr>
    </w:p>
    <w:p w14:paraId="40D6AEE9" w14:textId="77777777" w:rsidR="00A068F7" w:rsidRPr="001776DA" w:rsidRDefault="00A068F7" w:rsidP="00A068F7">
      <w:pPr>
        <w:contextualSpacing/>
        <w:jc w:val="both"/>
      </w:pPr>
      <w:r>
        <w:t xml:space="preserve">A sample of </w:t>
      </w:r>
      <w:r w:rsidRPr="001776DA">
        <w:t>result</w:t>
      </w:r>
      <w:r>
        <w:t>s</w:t>
      </w:r>
      <w:r w:rsidRPr="001776DA">
        <w:t xml:space="preserve"> of ADRC/NWD system investments </w:t>
      </w:r>
      <w:r>
        <w:t xml:space="preserve">to date </w:t>
      </w:r>
      <w:r w:rsidRPr="001776DA">
        <w:t xml:space="preserve">include:  </w:t>
      </w:r>
    </w:p>
    <w:p w14:paraId="070109B3" w14:textId="77777777" w:rsidR="00A068F7" w:rsidRPr="001776DA" w:rsidRDefault="00A068F7" w:rsidP="00A068F7">
      <w:pPr>
        <w:contextualSpacing/>
        <w:jc w:val="both"/>
      </w:pPr>
    </w:p>
    <w:p w14:paraId="4DDDBE77" w14:textId="0F577149" w:rsidR="00A068F7" w:rsidRPr="00F9380F" w:rsidRDefault="00A068F7" w:rsidP="00A068F7">
      <w:pPr>
        <w:numPr>
          <w:ilvl w:val="0"/>
          <w:numId w:val="7"/>
        </w:numPr>
        <w:contextualSpacing/>
        <w:jc w:val="both"/>
      </w:pPr>
      <w:r w:rsidRPr="00F9380F">
        <w:t>Ov</w:t>
      </w:r>
      <w:r w:rsidR="00455736">
        <w:t>er 1,322 access points are</w:t>
      </w:r>
      <w:r w:rsidRPr="00F9380F">
        <w:t xml:space="preserve"> designated across 56 states, territories, and the District of Columbia. This includes: over 620 local Area Agencies on Aging and Aging and Disability Resource Centers, 331 Centers for Independent Living, 56 Statewide Independent Living Councils, 67 University Centers for Excellence in Developmental Disabilities Education, Research, and Servic</w:t>
      </w:r>
      <w:r>
        <w:t>e, and 242 Tribal Organizations</w:t>
      </w:r>
      <w:r w:rsidRPr="00F9380F">
        <w:t>;</w:t>
      </w:r>
    </w:p>
    <w:p w14:paraId="4EE0BC0A" w14:textId="77777777" w:rsidR="00A068F7" w:rsidRPr="00C20DE3" w:rsidRDefault="00A068F7" w:rsidP="00A068F7">
      <w:pPr>
        <w:numPr>
          <w:ilvl w:val="0"/>
          <w:numId w:val="7"/>
        </w:numPr>
        <w:contextualSpacing/>
        <w:jc w:val="both"/>
      </w:pPr>
      <w:r w:rsidRPr="00C20DE3">
        <w:t>Over 27 million ADRC contacts have been made to help streamline access to LTSS;</w:t>
      </w:r>
    </w:p>
    <w:p w14:paraId="1E9A9930" w14:textId="77777777" w:rsidR="00A068F7" w:rsidRPr="00C20DE3" w:rsidRDefault="00A068F7" w:rsidP="00A068F7">
      <w:pPr>
        <w:numPr>
          <w:ilvl w:val="0"/>
          <w:numId w:val="7"/>
        </w:numPr>
        <w:contextualSpacing/>
        <w:jc w:val="both"/>
      </w:pPr>
      <w:r w:rsidRPr="00C20DE3">
        <w:t>41 states/territories have ADRC/NWD System legislation or gubernatorial support in response to this vision;</w:t>
      </w:r>
    </w:p>
    <w:p w14:paraId="2BF379D7" w14:textId="77777777" w:rsidR="00A068F7" w:rsidRPr="00F9380F" w:rsidRDefault="00A068F7" w:rsidP="00A068F7">
      <w:pPr>
        <w:numPr>
          <w:ilvl w:val="0"/>
          <w:numId w:val="7"/>
        </w:numPr>
        <w:contextualSpacing/>
        <w:jc w:val="both"/>
      </w:pPr>
      <w:r w:rsidRPr="00F9380F">
        <w:t>42 states/territories with ADRC program sites conducted care transitions through formal intervention; and</w:t>
      </w:r>
    </w:p>
    <w:p w14:paraId="2620E1A8" w14:textId="57B491DA" w:rsidR="00D223C8" w:rsidRDefault="00A068F7" w:rsidP="00D223C8">
      <w:pPr>
        <w:numPr>
          <w:ilvl w:val="0"/>
          <w:numId w:val="7"/>
        </w:numPr>
        <w:contextualSpacing/>
        <w:jc w:val="both"/>
      </w:pPr>
      <w:r w:rsidRPr="00F9380F">
        <w:t xml:space="preserve">303 sites in 43 states/territories reported serving clients with institutional transition from nursing facility (both Money Follows the Person (MFP) demonstration funding and non-MFP related) back into the community. </w:t>
      </w:r>
    </w:p>
    <w:p w14:paraId="1FC728E4" w14:textId="77777777" w:rsidR="000E1ACE" w:rsidRPr="00526710" w:rsidRDefault="000E1ACE" w:rsidP="00526710">
      <w:pPr>
        <w:contextualSpacing/>
        <w:jc w:val="both"/>
      </w:pPr>
    </w:p>
    <w:p w14:paraId="3678675B" w14:textId="77777777" w:rsidR="00BD68EE" w:rsidRPr="003A6AE1" w:rsidRDefault="00BD68EE" w:rsidP="00916C9D">
      <w:pPr>
        <w:pStyle w:val="Heading2"/>
      </w:pPr>
      <w:bookmarkStart w:id="90" w:name="_Toc436738897"/>
      <w:bookmarkStart w:id="91" w:name="_Toc536443939"/>
      <w:bookmarkStart w:id="92" w:name="_Toc9929372"/>
      <w:bookmarkStart w:id="93" w:name="_Toc303606084"/>
      <w:bookmarkStart w:id="94" w:name="_Toc316405585"/>
      <w:bookmarkStart w:id="95" w:name="OLE_LINK13"/>
      <w:bookmarkStart w:id="96" w:name="OLE_LINK19"/>
      <w:bookmarkStart w:id="97" w:name="_Toc284574142"/>
      <w:bookmarkStart w:id="98" w:name="_Toc284575780"/>
      <w:bookmarkStart w:id="99" w:name="_Toc294712682"/>
      <w:bookmarkStart w:id="100" w:name="_Toc316405572"/>
      <w:bookmarkEnd w:id="81"/>
      <w:r w:rsidRPr="003A6AE1">
        <w:t>Aging Network Support Activities</w:t>
      </w:r>
      <w:bookmarkEnd w:id="90"/>
      <w:bookmarkEnd w:id="91"/>
      <w:bookmarkEnd w:id="92"/>
    </w:p>
    <w:p w14:paraId="4421CE33" w14:textId="2502E098" w:rsidR="0075410E" w:rsidRPr="00051B22" w:rsidRDefault="00BD68EE" w:rsidP="0075410E">
      <w:pPr>
        <w:jc w:val="center"/>
        <w:rPr>
          <w:b/>
          <w:i/>
        </w:rPr>
      </w:pPr>
      <w:r w:rsidRPr="00051B22">
        <w:rPr>
          <w:b/>
          <w:i/>
        </w:rPr>
        <w:t>(FY 201</w:t>
      </w:r>
      <w:r w:rsidR="00A068F7">
        <w:rPr>
          <w:b/>
          <w:i/>
        </w:rPr>
        <w:t>7</w:t>
      </w:r>
      <w:r w:rsidRPr="00051B22">
        <w:rPr>
          <w:b/>
          <w:i/>
        </w:rPr>
        <w:t>: $</w:t>
      </w:r>
      <w:r w:rsidR="00984E3B">
        <w:rPr>
          <w:b/>
          <w:i/>
        </w:rPr>
        <w:t>9</w:t>
      </w:r>
      <w:r w:rsidR="003E5AD0" w:rsidRPr="00051B22">
        <w:rPr>
          <w:b/>
          <w:i/>
        </w:rPr>
        <w:t>,</w:t>
      </w:r>
      <w:r w:rsidR="00984E3B">
        <w:rPr>
          <w:b/>
          <w:i/>
        </w:rPr>
        <w:t>961</w:t>
      </w:r>
      <w:r w:rsidR="003E5AD0" w:rsidRPr="00051B22">
        <w:rPr>
          <w:b/>
          <w:i/>
        </w:rPr>
        <w:t>,000</w:t>
      </w:r>
      <w:r w:rsidRPr="00051B22">
        <w:rPr>
          <w:b/>
          <w:i/>
        </w:rPr>
        <w:t>)</w:t>
      </w:r>
    </w:p>
    <w:p w14:paraId="5FF04095" w14:textId="77777777" w:rsidR="0075410E" w:rsidRDefault="0075410E" w:rsidP="0075410E">
      <w:pPr>
        <w:jc w:val="center"/>
        <w:rPr>
          <w:b/>
          <w:i/>
        </w:rPr>
      </w:pPr>
    </w:p>
    <w:p w14:paraId="1EEA8DF7" w14:textId="05174285" w:rsidR="00BD68EE" w:rsidRPr="00505FE3" w:rsidRDefault="00BD68EE" w:rsidP="0075410E">
      <w:pPr>
        <w:jc w:val="both"/>
      </w:pPr>
      <w:r w:rsidRPr="00505FE3">
        <w:t xml:space="preserve">Aging Network Support Activities provide competitive grants and contracts to support ongoing activities of national significance </w:t>
      </w:r>
      <w:r w:rsidR="00427382">
        <w:t>that</w:t>
      </w:r>
      <w:r w:rsidR="00427382" w:rsidRPr="00505FE3">
        <w:t xml:space="preserve"> </w:t>
      </w:r>
      <w:r w:rsidRPr="00505FE3">
        <w:t xml:space="preserve">help </w:t>
      </w:r>
      <w:r w:rsidR="00526710">
        <w:t>older adults</w:t>
      </w:r>
      <w:r w:rsidRPr="00505FE3">
        <w:t xml:space="preserve"> and their families to obtain information about their care options and benefits</w:t>
      </w:r>
      <w:r w:rsidR="00B72036">
        <w:t xml:space="preserve">.  </w:t>
      </w:r>
      <w:r w:rsidR="00F825F0">
        <w:t>These activities</w:t>
      </w:r>
      <w:r w:rsidRPr="00505FE3">
        <w:t xml:space="preserve"> provide technical assistance to help states, tribes, and community providers of aging services to develop service systems that help older people remain independent and able to live in t</w:t>
      </w:r>
      <w:r w:rsidR="009A69C2">
        <w:t>heir own homes and communities</w:t>
      </w:r>
      <w:r w:rsidR="00B72036">
        <w:t xml:space="preserve">.  </w:t>
      </w:r>
      <w:r w:rsidRPr="00505FE3">
        <w:t>The</w:t>
      </w:r>
      <w:r w:rsidR="00F825F0">
        <w:t>y also</w:t>
      </w:r>
      <w:r w:rsidRPr="00505FE3">
        <w:t xml:space="preserve"> provide critical and ongoing support for the national aging services network and help support the activities of AoA’s core service delivery programs. </w:t>
      </w:r>
    </w:p>
    <w:p w14:paraId="2754FD8C" w14:textId="77777777" w:rsidR="00BD68EE" w:rsidRPr="00505FE3" w:rsidRDefault="00BD68EE" w:rsidP="00BD68EE">
      <w:pPr>
        <w:pStyle w:val="NormalTimes"/>
        <w:contextualSpacing/>
        <w:rPr>
          <w:rFonts w:ascii="Times New Roman" w:hAnsi="Times New Roman"/>
        </w:rPr>
      </w:pPr>
    </w:p>
    <w:p w14:paraId="028F9BE9" w14:textId="1576C03F" w:rsidR="00BD68EE" w:rsidRPr="00505FE3" w:rsidRDefault="00632CC9" w:rsidP="00BD68EE">
      <w:pPr>
        <w:pStyle w:val="NormalTimes"/>
        <w:contextualSpacing/>
        <w:rPr>
          <w:rFonts w:ascii="Times New Roman" w:hAnsi="Times New Roman"/>
        </w:rPr>
      </w:pPr>
      <w:r>
        <w:rPr>
          <w:rFonts w:ascii="Times New Roman" w:hAnsi="Times New Roman"/>
        </w:rPr>
        <w:t>ACL awards c</w:t>
      </w:r>
      <w:r w:rsidR="00BD68EE" w:rsidRPr="00505FE3">
        <w:rPr>
          <w:rFonts w:ascii="Times New Roman" w:hAnsi="Times New Roman"/>
        </w:rPr>
        <w:t>ompetitive grants, cooperative agreements, and contracts for Aging Network Support Activities to eligible public or private agencies and organizations, states and area agencies on aging, institutions of higher learning, and other organizations representing and/or serving older people, including faith-based organizations</w:t>
      </w:r>
      <w:r w:rsidR="00B72036">
        <w:rPr>
          <w:rFonts w:ascii="Times New Roman" w:hAnsi="Times New Roman"/>
        </w:rPr>
        <w:t xml:space="preserve">.  </w:t>
      </w:r>
      <w:r w:rsidR="00BD68EE" w:rsidRPr="00505FE3">
        <w:rPr>
          <w:rFonts w:ascii="Times New Roman" w:hAnsi="Times New Roman"/>
        </w:rPr>
        <w:t>Grantees are required to provide a match equal to 25 percent of the project’s total cost</w:t>
      </w:r>
      <w:r w:rsidR="00B72036">
        <w:rPr>
          <w:rFonts w:ascii="Times New Roman" w:hAnsi="Times New Roman"/>
        </w:rPr>
        <w:t xml:space="preserve">.  </w:t>
      </w:r>
      <w:r>
        <w:rPr>
          <w:rFonts w:ascii="Times New Roman" w:hAnsi="Times New Roman"/>
        </w:rPr>
        <w:t>External experts review p</w:t>
      </w:r>
      <w:r w:rsidR="00BD68EE" w:rsidRPr="00505FE3">
        <w:rPr>
          <w:rFonts w:ascii="Times New Roman" w:hAnsi="Times New Roman"/>
        </w:rPr>
        <w:t xml:space="preserve">roject proposals, and project awards are made for periods of one to four years. </w:t>
      </w:r>
    </w:p>
    <w:p w14:paraId="5A5CE806" w14:textId="77777777" w:rsidR="00BD68EE" w:rsidRPr="00505FE3" w:rsidRDefault="00BD68EE" w:rsidP="00BD68EE">
      <w:pPr>
        <w:pStyle w:val="NormalTimes"/>
        <w:contextualSpacing/>
        <w:rPr>
          <w:rFonts w:ascii="Times New Roman" w:hAnsi="Times New Roman"/>
        </w:rPr>
      </w:pPr>
    </w:p>
    <w:p w14:paraId="393E18BB" w14:textId="474B0ECC" w:rsidR="00F1615A" w:rsidRPr="00693823" w:rsidRDefault="00F1615A" w:rsidP="00F1615A">
      <w:pPr>
        <w:contextualSpacing/>
        <w:jc w:val="both"/>
      </w:pPr>
      <w:r w:rsidRPr="00693823">
        <w:t>To ensure that older Americans have access to the highest quality home and community-based service</w:t>
      </w:r>
      <w:r w:rsidR="00766E85">
        <w:t>s</w:t>
      </w:r>
      <w:r w:rsidRPr="00693823">
        <w:t xml:space="preserve"> </w:t>
      </w:r>
      <w:r w:rsidR="00632CC9">
        <w:t xml:space="preserve">(HCBS) </w:t>
      </w:r>
      <w:r w:rsidRPr="00693823">
        <w:t>system</w:t>
      </w:r>
      <w:r w:rsidR="00766E85">
        <w:t>,</w:t>
      </w:r>
      <w:r w:rsidRPr="00693823">
        <w:t xml:space="preserve"> the </w:t>
      </w:r>
      <w:r w:rsidR="00A73C27">
        <w:t>national a</w:t>
      </w:r>
      <w:r w:rsidRPr="00693823">
        <w:t>ging</w:t>
      </w:r>
      <w:r w:rsidR="00A73C27">
        <w:t xml:space="preserve"> services n</w:t>
      </w:r>
      <w:r w:rsidRPr="00693823">
        <w:t>etwork must continually enhance program design and delivery in key priority areas</w:t>
      </w:r>
      <w:r w:rsidR="00B72036">
        <w:t xml:space="preserve">.  </w:t>
      </w:r>
      <w:r w:rsidR="00693823">
        <w:t xml:space="preserve">To address this critical need, </w:t>
      </w:r>
      <w:r w:rsidR="0009336D">
        <w:t>ACL supports a cooperative agreement that is documenting and reporting on Area Agency on Aging and Tribal organizations’ activities and expertise in the delivery of community-based services through surveys and the highlighting of best practices</w:t>
      </w:r>
      <w:r w:rsidR="00B72036">
        <w:t xml:space="preserve">.  </w:t>
      </w:r>
      <w:r w:rsidR="0009336D">
        <w:t xml:space="preserve">In FY 2016, the project conducted data collection for the biannual </w:t>
      </w:r>
      <w:hyperlink r:id="rId23" w:history="1">
        <w:r w:rsidR="0009336D" w:rsidRPr="0053374A">
          <w:rPr>
            <w:rStyle w:val="Hyperlink"/>
          </w:rPr>
          <w:t>National Survey of Area Agencies on Aging</w:t>
        </w:r>
      </w:hyperlink>
      <w:r w:rsidR="0009336D">
        <w:t xml:space="preserve"> which was released in 2017</w:t>
      </w:r>
      <w:r w:rsidR="00B72036">
        <w:t xml:space="preserve">.  </w:t>
      </w:r>
      <w:r w:rsidR="0009336D">
        <w:t>Additionally, in 2016, the project released a report examining the state of IT in AAAs across the country</w:t>
      </w:r>
      <w:r w:rsidR="00B72036">
        <w:t xml:space="preserve">.  </w:t>
      </w:r>
      <w:r w:rsidR="0009336D">
        <w:t>The report, “</w:t>
      </w:r>
      <w:hyperlink r:id="rId24" w:history="1">
        <w:r w:rsidR="0009336D" w:rsidRPr="0053374A">
          <w:rPr>
            <w:rStyle w:val="Hyperlink"/>
          </w:rPr>
          <w:t>Information Technology in Area Agencies on Aging</w:t>
        </w:r>
      </w:hyperlink>
      <w:r w:rsidR="0009336D">
        <w:t xml:space="preserve">,” identified issues and barriers AAAs face in addressing IT needs. </w:t>
      </w:r>
    </w:p>
    <w:p w14:paraId="60B12559" w14:textId="0C2892F7" w:rsidR="00F1615A" w:rsidRDefault="00F1615A" w:rsidP="00BD68EE">
      <w:pPr>
        <w:contextualSpacing/>
        <w:jc w:val="both"/>
        <w:rPr>
          <w:b/>
          <w:i/>
        </w:rPr>
      </w:pPr>
    </w:p>
    <w:p w14:paraId="06F2A752" w14:textId="77777777" w:rsidR="00BD68EE" w:rsidRDefault="00BD68EE" w:rsidP="00BD68EE">
      <w:pPr>
        <w:contextualSpacing/>
        <w:jc w:val="both"/>
        <w:rPr>
          <w:b/>
          <w:i/>
        </w:rPr>
      </w:pPr>
      <w:r w:rsidRPr="00E577BF">
        <w:rPr>
          <w:b/>
          <w:i/>
        </w:rPr>
        <w:t>National Eldercare Locator</w:t>
      </w:r>
    </w:p>
    <w:p w14:paraId="17E58CDF" w14:textId="77777777" w:rsidR="00B818A3" w:rsidRDefault="00B818A3" w:rsidP="00707F46">
      <w:pPr>
        <w:contextualSpacing/>
        <w:jc w:val="both"/>
      </w:pPr>
    </w:p>
    <w:p w14:paraId="468014FC" w14:textId="43DF8660" w:rsidR="00AA01A8" w:rsidRPr="00445498" w:rsidRDefault="00EA3C1B" w:rsidP="00B62BDA">
      <w:pPr>
        <w:contextualSpacing/>
        <w:jc w:val="both"/>
      </w:pPr>
      <w:r>
        <w:t>In FY 201</w:t>
      </w:r>
      <w:r w:rsidR="00E36A86">
        <w:t>7</w:t>
      </w:r>
      <w:r>
        <w:t>, ACL awarded a cooperative agreement in the amount of $1,577,451 to continue operation of the Eldercare Locator</w:t>
      </w:r>
      <w:r w:rsidR="00754874">
        <w:t xml:space="preserve">.  </w:t>
      </w:r>
      <w:r w:rsidR="007D3CEC" w:rsidRPr="007D3CEC">
        <w:t>The Eldercare Locator</w:t>
      </w:r>
      <w:r w:rsidR="00D71E24">
        <w:t xml:space="preserve"> is the only national information and referral resource to provide support to older adults and family caregivers seeking assistance on a wide array of needs related to aging</w:t>
      </w:r>
      <w:r w:rsidR="00754874">
        <w:t xml:space="preserve">.  </w:t>
      </w:r>
      <w:r w:rsidR="007D3CEC" w:rsidRPr="007D3CEC">
        <w:t xml:space="preserve">Through its call center (800.677.1116), which operates five days a week from 9:00 a.m. to 8:00 p.m. </w:t>
      </w:r>
      <w:r w:rsidR="002C0875">
        <w:t>Eastern Time</w:t>
      </w:r>
      <w:r w:rsidR="007D3CEC">
        <w:t>, and website (</w:t>
      </w:r>
      <w:hyperlink w:history="1"/>
      <w:r w:rsidR="00492E42">
        <w:rPr>
          <w:rStyle w:val="Hyperlink"/>
        </w:rPr>
        <w:t>eldercare.acl.gov</w:t>
      </w:r>
      <w:r w:rsidR="007D3CEC" w:rsidRPr="007D3CEC">
        <w:t xml:space="preserve">), </w:t>
      </w:r>
      <w:r w:rsidR="00D71E24">
        <w:t>the Locator helps consumers navigate the maze of federal, state and local resourc</w:t>
      </w:r>
      <w:r w:rsidR="00B818A3">
        <w:t xml:space="preserve">es to find the assistance they </w:t>
      </w:r>
      <w:r w:rsidR="00D71E24">
        <w:t>need</w:t>
      </w:r>
      <w:r w:rsidR="00A92216">
        <w:t>.</w:t>
      </w:r>
      <w:r w:rsidR="00754874">
        <w:t xml:space="preserve">  </w:t>
      </w:r>
      <w:r w:rsidR="00284647">
        <w:t xml:space="preserve">The Eldercare Locator website contains a </w:t>
      </w:r>
      <w:r w:rsidR="00284647" w:rsidRPr="00284647">
        <w:t xml:space="preserve">geographical search </w:t>
      </w:r>
      <w:r w:rsidR="00284647">
        <w:t xml:space="preserve">tool and </w:t>
      </w:r>
      <w:r w:rsidR="00B62BDA">
        <w:t xml:space="preserve">offers users the </w:t>
      </w:r>
      <w:r w:rsidR="00284647">
        <w:t>ability to chat with an information specialist</w:t>
      </w:r>
      <w:r w:rsidR="00754874">
        <w:t xml:space="preserve">.  </w:t>
      </w:r>
      <w:r w:rsidR="007D3CEC" w:rsidRPr="007D3CEC">
        <w:t>Older adults and caregivers contact the Locator to find local resources involving a broad range of services including transportation and in-home services and supports</w:t>
      </w:r>
      <w:r w:rsidR="001B2DC3">
        <w:t xml:space="preserve">. </w:t>
      </w:r>
      <w:r w:rsidR="00B62BDA">
        <w:lastRenderedPageBreak/>
        <w:t>Call volume to the Eldercare Locator continues to increase with over 350,000 individuals served in 20</w:t>
      </w:r>
      <w:r w:rsidR="00754874">
        <w:t xml:space="preserve">17 compared to 308,637 in 2016.  </w:t>
      </w:r>
      <w:r w:rsidR="00B62BDA">
        <w:t>An additional 473,000</w:t>
      </w:r>
      <w:r w:rsidR="00484D33">
        <w:t xml:space="preserve"> individuals accessed resources through the website</w:t>
      </w:r>
      <w:r w:rsidR="001B2DC3">
        <w:t xml:space="preserve">. </w:t>
      </w:r>
    </w:p>
    <w:p w14:paraId="59B47F74" w14:textId="77777777" w:rsidR="00BD68EE" w:rsidRPr="007D3CEC" w:rsidRDefault="00BD68EE" w:rsidP="00BD68EE">
      <w:pPr>
        <w:spacing w:after="200"/>
        <w:contextualSpacing/>
      </w:pPr>
    </w:p>
    <w:p w14:paraId="7C8A7215" w14:textId="77777777" w:rsidR="00BD68EE" w:rsidRPr="00693823" w:rsidRDefault="00BD68EE" w:rsidP="00BD68EE">
      <w:pPr>
        <w:contextualSpacing/>
        <w:jc w:val="both"/>
        <w:rPr>
          <w:b/>
          <w:i/>
        </w:rPr>
      </w:pPr>
      <w:r w:rsidRPr="00693823">
        <w:rPr>
          <w:b/>
          <w:i/>
        </w:rPr>
        <w:t>National Alzheimer’s Call Center</w:t>
      </w:r>
    </w:p>
    <w:p w14:paraId="793B4EE0" w14:textId="77777777" w:rsidR="00B818A3" w:rsidRDefault="00B818A3" w:rsidP="006F5756">
      <w:pPr>
        <w:contextualSpacing/>
        <w:jc w:val="both"/>
      </w:pPr>
    </w:p>
    <w:p w14:paraId="5346855A" w14:textId="39CE8002" w:rsidR="00094CBB" w:rsidRDefault="00EA3C1B" w:rsidP="00352E01">
      <w:pPr>
        <w:contextualSpacing/>
        <w:jc w:val="both"/>
      </w:pPr>
      <w:r>
        <w:t>In FY 201</w:t>
      </w:r>
      <w:r w:rsidR="00E36A86">
        <w:t>7</w:t>
      </w:r>
      <w:r>
        <w:t xml:space="preserve">, ACL awarded a cooperative agreement in the amount of $933,571 to continue operation of the </w:t>
      </w:r>
      <w:r w:rsidR="002D4459">
        <w:t xml:space="preserve">National </w:t>
      </w:r>
      <w:r>
        <w:t>Alzheimer’s Call Center</w:t>
      </w:r>
      <w:r w:rsidR="00BF568A">
        <w:t xml:space="preserve">.  </w:t>
      </w:r>
      <w:r w:rsidR="00BD68EE" w:rsidRPr="00693823">
        <w:t>The National Alzheimer’s Call Center is a national information and counseling service for persons with Alzheimer’s disease, their family members, and informal caregivers</w:t>
      </w:r>
      <w:r w:rsidR="00BF568A">
        <w:t xml:space="preserve">.  </w:t>
      </w:r>
      <w:r w:rsidR="00094CBB" w:rsidRPr="00094CBB">
        <w:t>The National Alzheimer’s Call Center is available to people in all states, 24 hours a day, seven days a week, 365 days a year to provide expert advice, care consultation, and information and referrals at the national and local levels regarding Alzheimer’s disease</w:t>
      </w:r>
      <w:r w:rsidR="00BF568A">
        <w:t xml:space="preserve">.  </w:t>
      </w:r>
      <w:r w:rsidR="00094CBB" w:rsidRPr="00094CBB">
        <w:t>Trained professional customer service staff and master’s level social workers are available at all times</w:t>
      </w:r>
      <w:r w:rsidR="00BF568A">
        <w:t xml:space="preserve">.  </w:t>
      </w:r>
      <w:r w:rsidR="00352E01">
        <w:t>In 2017,</w:t>
      </w:r>
      <w:r w:rsidR="006F5756" w:rsidRPr="00693823">
        <w:t xml:space="preserve"> the National Alzheimer’s Call Center handled </w:t>
      </w:r>
      <w:r w:rsidR="00352E01" w:rsidRPr="00352E01">
        <w:t>over 307,000 requests for assistance</w:t>
      </w:r>
      <w:r w:rsidR="00352E01">
        <w:t xml:space="preserve"> with a</w:t>
      </w:r>
      <w:r w:rsidR="00352E01" w:rsidRPr="00352E01">
        <w:t>pproximately 49,000</w:t>
      </w:r>
      <w:r w:rsidR="00352E01">
        <w:t xml:space="preserve"> of these calls were </w:t>
      </w:r>
      <w:r w:rsidR="00352E01" w:rsidRPr="00352E01">
        <w:t xml:space="preserve">referred for </w:t>
      </w:r>
      <w:r w:rsidR="00352E01">
        <w:t>c</w:t>
      </w:r>
      <w:r w:rsidR="00352E01" w:rsidRPr="00352E01">
        <w:t xml:space="preserve">are </w:t>
      </w:r>
      <w:r w:rsidR="00352E01">
        <w:t>c</w:t>
      </w:r>
      <w:r w:rsidR="00352E01" w:rsidRPr="00352E01">
        <w:t>onsultations</w:t>
      </w:r>
      <w:r w:rsidR="00BF568A">
        <w:t xml:space="preserve">.  </w:t>
      </w:r>
      <w:r w:rsidR="00352E01">
        <w:t>Care consultants with master’s degrees in social work or counseling provide empathy, care planning, access to community resources</w:t>
      </w:r>
      <w:r w:rsidR="00094CBB">
        <w:t xml:space="preserve"> </w:t>
      </w:r>
      <w:r w:rsidR="00352E01">
        <w:t>and enlist the help of first responders in emergencies.</w:t>
      </w:r>
    </w:p>
    <w:p w14:paraId="664793E0" w14:textId="303EF0B5" w:rsidR="006F5756" w:rsidRPr="00693823" w:rsidRDefault="00352E01" w:rsidP="00094CBB">
      <w:pPr>
        <w:contextualSpacing/>
        <w:jc w:val="both"/>
      </w:pPr>
      <w:r>
        <w:t xml:space="preserve"> </w:t>
      </w:r>
    </w:p>
    <w:p w14:paraId="34FCF214" w14:textId="661C12DB" w:rsidR="00BD68EE" w:rsidRPr="00693823" w:rsidRDefault="002D4459" w:rsidP="00BD68EE">
      <w:pPr>
        <w:contextualSpacing/>
        <w:jc w:val="both"/>
      </w:pPr>
      <w:r>
        <w:t>The National Alzheimer’s Call Center</w:t>
      </w:r>
      <w:r w:rsidR="00BD68EE" w:rsidRPr="00693823">
        <w:t xml:space="preserve"> </w:t>
      </w:r>
      <w:r w:rsidR="00673D97">
        <w:t>f</w:t>
      </w:r>
      <w:r w:rsidR="00673D97" w:rsidRPr="00693823">
        <w:t>ocus</w:t>
      </w:r>
      <w:r w:rsidR="00C73AEC">
        <w:t>es</w:t>
      </w:r>
      <w:r w:rsidR="00BD68EE" w:rsidRPr="00693823">
        <w:t xml:space="preserve"> </w:t>
      </w:r>
      <w:r>
        <w:t>on the consumer</w:t>
      </w:r>
      <w:r w:rsidR="00585344">
        <w:t>, not professionals</w:t>
      </w:r>
      <w:r w:rsidR="001B2DC3">
        <w:t xml:space="preserve">. </w:t>
      </w:r>
      <w:r w:rsidR="00BD68EE" w:rsidRPr="00693823">
        <w:t>Information provided may include basic information on caregiving; handling legal issues; resources for long-distance caregiving; and tips for working with the medical community</w:t>
      </w:r>
      <w:r w:rsidR="00BF568A">
        <w:t xml:space="preserve">.  </w:t>
      </w:r>
      <w:r w:rsidR="00EA3C1B">
        <w:t xml:space="preserve">In </w:t>
      </w:r>
      <w:r w:rsidR="00673D97">
        <w:t>2017</w:t>
      </w:r>
      <w:r w:rsidR="00EA3C1B">
        <w:t>, the top reasons callers contacted the Call Center included: assistance with handling challenging behaviors; tips for handling caregiver stress; caregivers seeking emotional support; and information on local care options.</w:t>
      </w:r>
    </w:p>
    <w:p w14:paraId="66DFC799" w14:textId="77777777" w:rsidR="006F5756" w:rsidRPr="003F1455" w:rsidRDefault="006F5756" w:rsidP="00BD68EE">
      <w:pPr>
        <w:contextualSpacing/>
        <w:jc w:val="both"/>
        <w:rPr>
          <w:highlight w:val="yellow"/>
        </w:rPr>
      </w:pPr>
    </w:p>
    <w:p w14:paraId="31F92CB9" w14:textId="77777777" w:rsidR="00927A75" w:rsidRPr="00BF5624" w:rsidRDefault="00927A75" w:rsidP="00927A7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contextualSpacing/>
        <w:jc w:val="both"/>
        <w:rPr>
          <w:b/>
          <w:i/>
        </w:rPr>
      </w:pPr>
      <w:r w:rsidRPr="00BF5624">
        <w:rPr>
          <w:b/>
          <w:i/>
        </w:rPr>
        <w:t>National Education and Resource Center on Women and Retirement Planning</w:t>
      </w:r>
    </w:p>
    <w:p w14:paraId="217AE40F" w14:textId="77777777" w:rsidR="00B818A3" w:rsidRDefault="00B818A3" w:rsidP="00927A7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contextualSpacing/>
        <w:jc w:val="both"/>
      </w:pPr>
    </w:p>
    <w:p w14:paraId="3F357D83" w14:textId="6D96745B" w:rsidR="00BD68EE" w:rsidRPr="00BF5624" w:rsidRDefault="00927A75" w:rsidP="00927A7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contextualSpacing/>
        <w:jc w:val="both"/>
      </w:pPr>
      <w:r w:rsidRPr="00BF5624">
        <w:t>The National Education and Resource Center on Women and Retirement Planning, established in 1998, provides women with access to a one-stop gateway that integrates financial information and resources on retirement, health, a</w:t>
      </w:r>
      <w:r w:rsidR="00585344">
        <w:t>nd planning for long-term care</w:t>
      </w:r>
      <w:r w:rsidR="00BF568A">
        <w:t xml:space="preserve">.  </w:t>
      </w:r>
      <w:r w:rsidRPr="00BF5624">
        <w:t>This project has made user-friendly financial education and retirement planning tools available to traditionally hard-to-reach women, including low-income women, women of color, women with limited English speaking proficiency, rural, and other underserved wom</w:t>
      </w:r>
      <w:r w:rsidR="00585344">
        <w:t>en</w:t>
      </w:r>
      <w:r w:rsidR="00BF568A">
        <w:t xml:space="preserve">.  </w:t>
      </w:r>
      <w:r w:rsidRPr="00BF5624">
        <w:t>Information is offered through financial and retirement planning programs, workshops tailored to meet women’s special needs, and publications in hard copy and web-based formats</w:t>
      </w:r>
      <w:r w:rsidR="002C0875">
        <w:t>, including materials designed to identify and prevent fraud and financial exploitation of older persons</w:t>
      </w:r>
      <w:r w:rsidR="00BF568A">
        <w:t xml:space="preserve">.  </w:t>
      </w:r>
      <w:r w:rsidR="00C83B99">
        <w:t>In 201</w:t>
      </w:r>
      <w:r w:rsidR="00126487">
        <w:t>7</w:t>
      </w:r>
      <w:r w:rsidR="00C83B99">
        <w:t xml:space="preserve"> the Center presented more than 20 trainings and workshops to underserved older women and professionals who serve them, in partnership with organizations such as the American Bar Association Commission on Law and Aging, the National Council on Aging, and the American Association of Service Coordinators</w:t>
      </w:r>
      <w:r w:rsidR="001B2DC3">
        <w:t xml:space="preserve">. </w:t>
      </w:r>
      <w:r w:rsidR="00C83B99">
        <w:t xml:space="preserve">The </w:t>
      </w:r>
      <w:r w:rsidR="00D50098">
        <w:t xml:space="preserve">Center is </w:t>
      </w:r>
      <w:r w:rsidR="00C83B99">
        <w:t>funded through a 5-year cooperative agreement between ACL and the Women’s Institute for a Secure Retirement (WISER)</w:t>
      </w:r>
      <w:r w:rsidR="00BF568A">
        <w:t xml:space="preserve">.  </w:t>
      </w:r>
      <w:r w:rsidR="00C83B99">
        <w:t>In FY 201</w:t>
      </w:r>
      <w:r w:rsidR="00E36A86">
        <w:t>7</w:t>
      </w:r>
      <w:r w:rsidR="00C83B99">
        <w:t xml:space="preserve">, ACL awarded WISER $231,526 (representing funds for year </w:t>
      </w:r>
      <w:r w:rsidR="00E36A86">
        <w:t>4</w:t>
      </w:r>
      <w:r w:rsidR="00C83B99">
        <w:t xml:space="preserve"> of 5).</w:t>
      </w:r>
    </w:p>
    <w:p w14:paraId="021CEF4C" w14:textId="53BC8813" w:rsidR="00927A75" w:rsidRDefault="00927A75" w:rsidP="00927A7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contextualSpacing/>
        <w:jc w:val="both"/>
        <w:rPr>
          <w:highlight w:val="yellow"/>
        </w:rPr>
      </w:pPr>
    </w:p>
    <w:p w14:paraId="2B14EEE2" w14:textId="77777777" w:rsidR="00BD68EE" w:rsidRPr="00BF5624" w:rsidRDefault="00BD68EE" w:rsidP="00BD68EE">
      <w:pPr>
        <w:contextualSpacing/>
        <w:jc w:val="both"/>
        <w:rPr>
          <w:b/>
          <w:i/>
        </w:rPr>
      </w:pPr>
      <w:r w:rsidRPr="00BF5624">
        <w:rPr>
          <w:b/>
          <w:i/>
        </w:rPr>
        <w:t>National Minority Aging Organizations Technical Assistance Centers</w:t>
      </w:r>
    </w:p>
    <w:p w14:paraId="2DEDC184" w14:textId="77777777" w:rsidR="00B818A3" w:rsidRDefault="00B818A3" w:rsidP="002D3B4A">
      <w:pPr>
        <w:contextualSpacing/>
        <w:jc w:val="both"/>
      </w:pPr>
    </w:p>
    <w:p w14:paraId="5D1D1763" w14:textId="3FFAB607" w:rsidR="002D3B4A" w:rsidRPr="00BF5624" w:rsidRDefault="002D3B4A" w:rsidP="002D3B4A">
      <w:pPr>
        <w:contextualSpacing/>
        <w:jc w:val="both"/>
      </w:pPr>
      <w:r w:rsidRPr="00BF5624">
        <w:t>The National Minority Aging Organizations (NMAO) Technical Assistance Centers Program works to reduce or eliminate health disparities among racial and ethnic minority older individuals</w:t>
      </w:r>
      <w:r w:rsidR="001B2DC3">
        <w:t xml:space="preserve">. </w:t>
      </w:r>
      <w:r w:rsidR="00A9587A">
        <w:t>In FY 201</w:t>
      </w:r>
      <w:r w:rsidR="00A068F7">
        <w:t>7</w:t>
      </w:r>
      <w:r w:rsidR="00A9587A">
        <w:t>, five national non-profit organizations received a total of app</w:t>
      </w:r>
      <w:r w:rsidR="00E81DA6">
        <w:t xml:space="preserve">roximately $1,150,000 for the </w:t>
      </w:r>
      <w:r w:rsidR="00E36A86">
        <w:t>third</w:t>
      </w:r>
      <w:r w:rsidR="00E81DA6">
        <w:t xml:space="preserve"> year of five-year</w:t>
      </w:r>
      <w:r w:rsidR="00A9587A">
        <w:t xml:space="preserve"> cooperative agreements to con</w:t>
      </w:r>
      <w:r w:rsidR="00E81DA6">
        <w:t>tinue</w:t>
      </w:r>
      <w:r w:rsidR="00A9587A">
        <w:t xml:space="preserve"> </w:t>
      </w:r>
      <w:r w:rsidR="00EF709F">
        <w:t xml:space="preserve">providing training and technical assistance to professionals serving </w:t>
      </w:r>
      <w:r w:rsidRPr="00BF5624">
        <w:t>African American, Hispanic, Asian</w:t>
      </w:r>
      <w:r w:rsidR="0048073A">
        <w:t>, Native Hawaiian</w:t>
      </w:r>
      <w:r w:rsidRPr="00BF5624">
        <w:t xml:space="preserve"> </w:t>
      </w:r>
      <w:r w:rsidR="0048073A">
        <w:t>or other</w:t>
      </w:r>
      <w:r w:rsidRPr="00BF5624">
        <w:t xml:space="preserve"> Pacific Islander descent, American Indian and Alaska Native elders</w:t>
      </w:r>
      <w:r w:rsidR="00EF709F">
        <w:t xml:space="preserve">, and </w:t>
      </w:r>
      <w:r w:rsidR="00BF5624">
        <w:t>older lesbian, gay, bisexual</w:t>
      </w:r>
      <w:r w:rsidR="00EF709F">
        <w:t xml:space="preserve">, and transgender (LGBT) adults, as well as to older consumers and their families. </w:t>
      </w:r>
    </w:p>
    <w:p w14:paraId="40172627" w14:textId="77777777" w:rsidR="002D3B4A" w:rsidRPr="00BF5624" w:rsidRDefault="002D3B4A" w:rsidP="002D3B4A">
      <w:pPr>
        <w:contextualSpacing/>
        <w:jc w:val="both"/>
      </w:pPr>
      <w:r w:rsidRPr="00BF5624">
        <w:t xml:space="preserve"> </w:t>
      </w:r>
    </w:p>
    <w:p w14:paraId="261A6A11" w14:textId="06D67B1A" w:rsidR="00D026CC" w:rsidRDefault="00BF5624" w:rsidP="002D3B4A">
      <w:pPr>
        <w:contextualSpacing/>
        <w:jc w:val="both"/>
      </w:pPr>
      <w:r>
        <w:t xml:space="preserve">Each NMAO project </w:t>
      </w:r>
      <w:r w:rsidR="00EF709F">
        <w:t xml:space="preserve">develops and </w:t>
      </w:r>
      <w:r>
        <w:t xml:space="preserve">pilots practical, community-based interventions for </w:t>
      </w:r>
      <w:r w:rsidR="002D3B4A" w:rsidRPr="00BF5624">
        <w:t xml:space="preserve">reaching </w:t>
      </w:r>
      <w:r w:rsidR="004551C6">
        <w:t>o</w:t>
      </w:r>
      <w:r w:rsidR="002D3B4A" w:rsidRPr="00BF5624">
        <w:t xml:space="preserve">lder </w:t>
      </w:r>
      <w:r>
        <w:t xml:space="preserve">individuals </w:t>
      </w:r>
      <w:r w:rsidR="002D3B4A" w:rsidRPr="00BF5624">
        <w:t>who experience barriers to accessing home and community-based services</w:t>
      </w:r>
      <w:r w:rsidR="001B2DC3">
        <w:t xml:space="preserve">. </w:t>
      </w:r>
      <w:r w:rsidR="002D3B4A" w:rsidRPr="00BF5624">
        <w:t xml:space="preserve">Interventions focus on barriers due to </w:t>
      </w:r>
      <w:r w:rsidR="002D3B4A" w:rsidRPr="00BF5624">
        <w:lastRenderedPageBreak/>
        <w:t>language and low literacy, as well as those directly related to cultural diversity</w:t>
      </w:r>
      <w:r w:rsidR="00CC0126">
        <w:t xml:space="preserve">.  </w:t>
      </w:r>
      <w:r w:rsidR="002D3B4A" w:rsidRPr="00BF5624">
        <w:t xml:space="preserve">Strategies developed under this program incorporate the latest technology and facilitate the generation and dissemination of knowledge in forms that can assist racial and ethnic </w:t>
      </w:r>
      <w:r w:rsidR="002D3B4A" w:rsidRPr="00F540D0">
        <w:t>minority</w:t>
      </w:r>
      <w:r w:rsidR="002D3B4A" w:rsidRPr="00BF5624">
        <w:t xml:space="preserve"> older individuals to practice positive health behaviors and strengthen their capacity to maintain active, independent life styles</w:t>
      </w:r>
      <w:r w:rsidR="00CC0126">
        <w:t xml:space="preserve">.  </w:t>
      </w:r>
      <w:r w:rsidR="008278E7">
        <w:t>Select examples of technical assistance, training and related activities conducted b</w:t>
      </w:r>
      <w:r w:rsidR="00BD3E44">
        <w:t>y several of the grantees</w:t>
      </w:r>
      <w:r w:rsidR="003210DA">
        <w:t xml:space="preserve"> during FY 2017</w:t>
      </w:r>
      <w:r w:rsidR="00BD3E44">
        <w:t xml:space="preserve"> include</w:t>
      </w:r>
      <w:r w:rsidR="00F825F0">
        <w:t>:</w:t>
      </w:r>
      <w:r>
        <w:t xml:space="preserve"> </w:t>
      </w:r>
    </w:p>
    <w:p w14:paraId="2D1AE2D5" w14:textId="43636611" w:rsidR="005B4C55" w:rsidRDefault="005B4C55" w:rsidP="006A76FD">
      <w:pPr>
        <w:jc w:val="both"/>
      </w:pPr>
    </w:p>
    <w:p w14:paraId="3A34A7A3" w14:textId="57F602DB" w:rsidR="009C2E3E" w:rsidRDefault="009C2E3E" w:rsidP="0090625D">
      <w:pPr>
        <w:pStyle w:val="ListParagraph"/>
        <w:numPr>
          <w:ilvl w:val="0"/>
          <w:numId w:val="18"/>
        </w:numPr>
        <w:jc w:val="both"/>
      </w:pPr>
      <w:r>
        <w:t>The Asociacion</w:t>
      </w:r>
      <w:r w:rsidRPr="009C2E3E">
        <w:t xml:space="preserve"> N</w:t>
      </w:r>
      <w:r>
        <w:t xml:space="preserve">acional Pro Personas Mayores (ANPPM) </w:t>
      </w:r>
      <w:r w:rsidRPr="009C2E3E">
        <w:t>delivered</w:t>
      </w:r>
      <w:r>
        <w:t xml:space="preserve"> a webinar for the 622 area agencies on aging on the importance of </w:t>
      </w:r>
      <w:r w:rsidRPr="009C2E3E">
        <w:t>cultural diversity perspectives in servi</w:t>
      </w:r>
      <w:r w:rsidR="00CC0126">
        <w:t xml:space="preserve">ce delivery.  </w:t>
      </w:r>
      <w:r>
        <w:t>The webinar, which reached more than 1</w:t>
      </w:r>
      <w:r w:rsidR="003422D0">
        <w:t>,</w:t>
      </w:r>
      <w:r>
        <w:t xml:space="preserve">800 professionals, </w:t>
      </w:r>
      <w:r w:rsidRPr="009C2E3E">
        <w:t>also addressed cultural competenc</w:t>
      </w:r>
      <w:r>
        <w:t>y issues</w:t>
      </w:r>
      <w:r w:rsidRPr="009C2E3E">
        <w:t xml:space="preserve"> in the recruitment of person</w:t>
      </w:r>
      <w:r>
        <w:t>nel in the aging network</w:t>
      </w:r>
      <w:r w:rsidR="006A76FD">
        <w:t>;</w:t>
      </w:r>
    </w:p>
    <w:p w14:paraId="6990B8E3" w14:textId="1D943480" w:rsidR="008278E7" w:rsidRDefault="005B4C55" w:rsidP="0090625D">
      <w:pPr>
        <w:pStyle w:val="ListParagraph"/>
        <w:numPr>
          <w:ilvl w:val="0"/>
          <w:numId w:val="18"/>
        </w:numPr>
        <w:jc w:val="both"/>
      </w:pPr>
      <w:r>
        <w:t xml:space="preserve">Services and Advocacy for </w:t>
      </w:r>
      <w:r w:rsidR="003422D0">
        <w:t>LGBT</w:t>
      </w:r>
      <w:r>
        <w:t xml:space="preserve"> Elders (SAGE) conducted virtual and in-person trainings reaching </w:t>
      </w:r>
      <w:r w:rsidR="008278E7">
        <w:t xml:space="preserve">more than </w:t>
      </w:r>
      <w:r w:rsidR="00842B1F">
        <w:t>three</w:t>
      </w:r>
      <w:r w:rsidR="008278E7">
        <w:t xml:space="preserve"> thousand professionals</w:t>
      </w:r>
      <w:r w:rsidR="0004459C">
        <w:t xml:space="preserve"> nationwide</w:t>
      </w:r>
      <w:r w:rsidR="00842B1F">
        <w:t xml:space="preserve">, for a total of 17,500 over the life of the grant to date, </w:t>
      </w:r>
      <w:r w:rsidR="008278E7">
        <w:t xml:space="preserve">to more </w:t>
      </w:r>
      <w:r w:rsidR="0004459C">
        <w:t>competently and sensitively address</w:t>
      </w:r>
      <w:r w:rsidR="008278E7">
        <w:t xml:space="preserve"> the service and support needs of older LGBT individuals and their family caregivers and the development of over 6</w:t>
      </w:r>
      <w:r w:rsidR="00842B1F">
        <w:t>2</w:t>
      </w:r>
      <w:r w:rsidR="008278E7">
        <w:t xml:space="preserve"> new educational mat</w:t>
      </w:r>
      <w:r w:rsidR="0004459C">
        <w:t>erials and resources</w:t>
      </w:r>
      <w:r w:rsidR="008278E7">
        <w:t>;</w:t>
      </w:r>
    </w:p>
    <w:p w14:paraId="70548E9F" w14:textId="20F9A3AE" w:rsidR="005B4C55" w:rsidRDefault="005B4C55" w:rsidP="0090625D">
      <w:pPr>
        <w:pStyle w:val="ListParagraph"/>
        <w:numPr>
          <w:ilvl w:val="0"/>
          <w:numId w:val="18"/>
        </w:numPr>
        <w:jc w:val="both"/>
      </w:pPr>
      <w:r>
        <w:t xml:space="preserve">The </w:t>
      </w:r>
      <w:r w:rsidR="00D66928">
        <w:t xml:space="preserve">National Asian Pacific Center on Aging (NAPCA), in conjunction with several of their co-grantees on this project and other national organizations developed 38 technical assistance products for the aging network, including fact sheets on caregiver support, emotional abuse, neglect and the </w:t>
      </w:r>
      <w:r w:rsidR="00D66928" w:rsidRPr="005F4932">
        <w:rPr>
          <w:i/>
        </w:rPr>
        <w:t xml:space="preserve">Dementia Friends </w:t>
      </w:r>
      <w:r w:rsidR="005F4932">
        <w:rPr>
          <w:i/>
        </w:rPr>
        <w:t>C</w:t>
      </w:r>
      <w:r w:rsidR="00D66928" w:rsidRPr="005F4932">
        <w:rPr>
          <w:i/>
        </w:rPr>
        <w:t>urriculum</w:t>
      </w:r>
      <w:r w:rsidR="00D66928">
        <w:t>. Products are developed in English and translated into Chinese, Korean, Vietnamese, Japanese, Samoan and other languages</w:t>
      </w:r>
      <w:r>
        <w:t>; and</w:t>
      </w:r>
    </w:p>
    <w:p w14:paraId="2EC4A774" w14:textId="2B03804A" w:rsidR="005B4C55" w:rsidRDefault="000926C4" w:rsidP="0090625D">
      <w:pPr>
        <w:pStyle w:val="ListParagraph"/>
        <w:numPr>
          <w:ilvl w:val="0"/>
          <w:numId w:val="18"/>
        </w:numPr>
        <w:jc w:val="both"/>
      </w:pPr>
      <w:r>
        <w:t xml:space="preserve">The National </w:t>
      </w:r>
      <w:r w:rsidR="005B4C55">
        <w:t xml:space="preserve">Caucus on Black Aging </w:t>
      </w:r>
      <w:r>
        <w:t>(NCBA)</w:t>
      </w:r>
      <w:r w:rsidR="00D66928">
        <w:t xml:space="preserve"> partnered with the American Society on Aging to co-host “The Washington DC Roundtable Training Series</w:t>
      </w:r>
      <w:r w:rsidR="005B4C55">
        <w:t>.</w:t>
      </w:r>
      <w:r w:rsidR="00D449DF">
        <w:t>”</w:t>
      </w:r>
      <w:r w:rsidR="00D66928">
        <w:t xml:space="preserve"> Attendees from across public, private, education and government </w:t>
      </w:r>
      <w:r w:rsidR="003422D0">
        <w:t xml:space="preserve">organizations </w:t>
      </w:r>
      <w:r w:rsidR="00D66928">
        <w:t xml:space="preserve">attended these sessions to learn about national and community-based </w:t>
      </w:r>
      <w:r w:rsidR="003422D0">
        <w:t>t</w:t>
      </w:r>
      <w:r w:rsidR="00D66928">
        <w:t>rends, advances, and policy impacting the field of aging.</w:t>
      </w:r>
    </w:p>
    <w:p w14:paraId="668506A0" w14:textId="77777777" w:rsidR="005B4C55" w:rsidRDefault="005B4C55" w:rsidP="00EF709F">
      <w:pPr>
        <w:contextualSpacing/>
        <w:jc w:val="both"/>
      </w:pPr>
    </w:p>
    <w:p w14:paraId="7D8A940A" w14:textId="2A064A08" w:rsidR="00EF709F" w:rsidRDefault="00D026CC" w:rsidP="00EF709F">
      <w:pPr>
        <w:contextualSpacing/>
        <w:jc w:val="both"/>
      </w:pPr>
      <w:r>
        <w:t>In addition to the</w:t>
      </w:r>
      <w:r w:rsidR="00BD3E44">
        <w:t xml:space="preserve"> individual </w:t>
      </w:r>
      <w:r>
        <w:t>activities of each organization on behalf of the groups they represent, t</w:t>
      </w:r>
      <w:r w:rsidR="00ED56D7" w:rsidRPr="00ED56D7">
        <w:t>he NMAO Te</w:t>
      </w:r>
      <w:r w:rsidR="00734673">
        <w:t xml:space="preserve">chnical Assistance Centers </w:t>
      </w:r>
      <w:r w:rsidR="00ED56D7" w:rsidRPr="00ED56D7">
        <w:t>conduct</w:t>
      </w:r>
      <w:r>
        <w:t xml:space="preserve"> joint</w:t>
      </w:r>
      <w:r w:rsidR="00ED56D7" w:rsidRPr="00ED56D7">
        <w:t xml:space="preserve"> presentations at national, regional and local aging network events to educate and advocate for their specific member populations</w:t>
      </w:r>
      <w:r w:rsidR="00CC0126">
        <w:t xml:space="preserve">.  </w:t>
      </w:r>
      <w:r w:rsidR="00ED56D7" w:rsidRPr="00ED56D7">
        <w:t>These presentation</w:t>
      </w:r>
      <w:r w:rsidR="00EF709F">
        <w:t>s</w:t>
      </w:r>
      <w:r w:rsidR="00ED56D7" w:rsidRPr="00ED56D7">
        <w:t xml:space="preserve"> reaffirm and expand knowledge about the provision and acceptance of services to racial and ethnic minority older persons, and allow for direct discussions and responses with the aging network.</w:t>
      </w:r>
      <w:r w:rsidR="00CC0126">
        <w:t xml:space="preserve">  </w:t>
      </w:r>
      <w:r w:rsidR="00EF709F">
        <w:t>Professionals and consumers across the country report that they use the products to improve program design and implementation, refine service delivery approaches, and enable families to provide care to their elder loved ones for longer periods.</w:t>
      </w:r>
    </w:p>
    <w:p w14:paraId="2ECED313" w14:textId="5AF9CA4A" w:rsidR="00D026CC" w:rsidRDefault="00D026CC" w:rsidP="002D3B4A">
      <w:pPr>
        <w:contextualSpacing/>
        <w:jc w:val="both"/>
      </w:pPr>
    </w:p>
    <w:p w14:paraId="3C9014A3" w14:textId="1116EB9E" w:rsidR="00FA2C70" w:rsidRDefault="00363B7D" w:rsidP="002D3B4A">
      <w:pPr>
        <w:contextualSpacing/>
        <w:jc w:val="both"/>
        <w:rPr>
          <w:b/>
          <w:i/>
        </w:rPr>
      </w:pPr>
      <w:r>
        <w:rPr>
          <w:b/>
          <w:i/>
        </w:rPr>
        <w:t>Advancing Person-Centered, Trauma-Informed Supportive Services for Holocaust Survivors</w:t>
      </w:r>
    </w:p>
    <w:p w14:paraId="3759CE30" w14:textId="59C1D54C" w:rsidR="00363B7D" w:rsidRDefault="00363B7D" w:rsidP="002D3B4A">
      <w:pPr>
        <w:contextualSpacing/>
        <w:jc w:val="both"/>
      </w:pPr>
    </w:p>
    <w:p w14:paraId="7C20A830" w14:textId="1B333A26" w:rsidR="00363B7D" w:rsidRDefault="002A1BB0" w:rsidP="000B69A3">
      <w:pPr>
        <w:contextualSpacing/>
        <w:jc w:val="both"/>
      </w:pPr>
      <w:r>
        <w:t>There are an estimated 100,000 to 130,000 survivors of the Holocaust living in the United States</w:t>
      </w:r>
      <w:r w:rsidR="001B2DC3">
        <w:t xml:space="preserve">. </w:t>
      </w:r>
      <w:r>
        <w:t xml:space="preserve">The youngest survivors </w:t>
      </w:r>
      <w:r w:rsidR="00693CE1">
        <w:t>are in their early 70’s</w:t>
      </w:r>
      <w:r w:rsidR="00A45186">
        <w:t>;</w:t>
      </w:r>
      <w:r w:rsidR="00693CE1">
        <w:t xml:space="preserve"> however</w:t>
      </w:r>
      <w:r w:rsidR="00A45186">
        <w:t>,</w:t>
      </w:r>
      <w:r w:rsidR="00693CE1">
        <w:t xml:space="preserve"> many are much older</w:t>
      </w:r>
      <w:r w:rsidR="000B69A3">
        <w:t xml:space="preserve"> and nearly 25 percent of </w:t>
      </w:r>
      <w:r w:rsidR="00A45186">
        <w:t>them</w:t>
      </w:r>
      <w:r w:rsidR="000B69A3">
        <w:t xml:space="preserve"> live in poverty.</w:t>
      </w:r>
      <w:r w:rsidR="000B69A3">
        <w:rPr>
          <w:rStyle w:val="FootnoteReference"/>
        </w:rPr>
        <w:footnoteReference w:id="118"/>
      </w:r>
      <w:r w:rsidR="000B69A3">
        <w:t xml:space="preserve"> </w:t>
      </w:r>
      <w:r w:rsidR="005074B7">
        <w:t xml:space="preserve"> </w:t>
      </w:r>
      <w:r w:rsidR="000B69A3">
        <w:t>In FY 2015</w:t>
      </w:r>
      <w:r w:rsidR="00346BAF">
        <w:t>,</w:t>
      </w:r>
      <w:r w:rsidR="000B69A3">
        <w:t xml:space="preserve"> Congress appropriated funds “to help provide supportive services for aging Holocaust survivors living in the United States.” That same year, AoA issued a funding opportunity intended to build capacity for providing person-centered, trauma-informed </w:t>
      </w:r>
      <w:r w:rsidR="00826120">
        <w:t xml:space="preserve">(PCTI) </w:t>
      </w:r>
      <w:r w:rsidR="000B69A3">
        <w:t xml:space="preserve">supportive services for Holocaust survivors and to expand the use of these practices by the broader </w:t>
      </w:r>
      <w:r w:rsidR="00346BAF">
        <w:t>a</w:t>
      </w:r>
      <w:r w:rsidR="000B69A3">
        <w:t xml:space="preserve">ging </w:t>
      </w:r>
      <w:r w:rsidR="00346BAF">
        <w:t>s</w:t>
      </w:r>
      <w:r w:rsidR="000B69A3">
        <w:t xml:space="preserve">ervices </w:t>
      </w:r>
      <w:r w:rsidR="00346BAF">
        <w:t>n</w:t>
      </w:r>
      <w:r w:rsidR="000B69A3">
        <w:t xml:space="preserve">etwork with any older adult population who has a history of trauma. </w:t>
      </w:r>
    </w:p>
    <w:p w14:paraId="38BE9A28" w14:textId="6F835A1D" w:rsidR="00826120" w:rsidRDefault="00826120" w:rsidP="000B69A3">
      <w:pPr>
        <w:contextualSpacing/>
        <w:jc w:val="both"/>
      </w:pPr>
    </w:p>
    <w:p w14:paraId="213E6376" w14:textId="22E7C2BC" w:rsidR="00826120" w:rsidRPr="000B69A3" w:rsidRDefault="00B32C17" w:rsidP="000B69A3">
      <w:pPr>
        <w:contextualSpacing/>
        <w:jc w:val="both"/>
      </w:pPr>
      <w:r>
        <w:t>In FY 201</w:t>
      </w:r>
      <w:r w:rsidR="00AF3D1A">
        <w:t>7</w:t>
      </w:r>
      <w:r>
        <w:t xml:space="preserve">, </w:t>
      </w:r>
      <w:r w:rsidR="00826120">
        <w:t xml:space="preserve">AoA funded </w:t>
      </w:r>
      <w:r>
        <w:t xml:space="preserve">the </w:t>
      </w:r>
      <w:r w:rsidR="00C0319A">
        <w:t>third</w:t>
      </w:r>
      <w:r>
        <w:t xml:space="preserve"> year of a five-year</w:t>
      </w:r>
      <w:r w:rsidR="00826120">
        <w:t xml:space="preserve"> cooperative agreement </w:t>
      </w:r>
      <w:r>
        <w:t xml:space="preserve">in the amount of $2,500,000 </w:t>
      </w:r>
      <w:r w:rsidR="00826120">
        <w:t>in which the grantee is focusing on two priority areas: 1) advancing innovations in the delivery of PCTI supportive services to Holocaust survivors living in the U.S., while 2) improving the nation’s overall capacity to delivery PCTI health and h</w:t>
      </w:r>
      <w:r w:rsidR="00B20E38">
        <w:t>uman services for older adults</w:t>
      </w:r>
      <w:r w:rsidR="00CC0126">
        <w:t xml:space="preserve">.  </w:t>
      </w:r>
      <w:r w:rsidR="00B72317">
        <w:t>The</w:t>
      </w:r>
      <w:r w:rsidR="00826120">
        <w:t xml:space="preserve"> grantee worked closely with </w:t>
      </w:r>
      <w:r w:rsidR="00B72317">
        <w:t>a</w:t>
      </w:r>
      <w:r w:rsidR="00826120">
        <w:t xml:space="preserve"> </w:t>
      </w:r>
      <w:r w:rsidR="00C0319A">
        <w:t xml:space="preserve">second </w:t>
      </w:r>
      <w:r w:rsidR="00826120">
        <w:t xml:space="preserve">cohort of </w:t>
      </w:r>
      <w:r w:rsidR="00C0319A">
        <w:t xml:space="preserve">more than 20 </w:t>
      </w:r>
      <w:r w:rsidR="00826120">
        <w:t xml:space="preserve">sub-grantees to develop and administer a range of programs and interventions in the areas of physical and mental </w:t>
      </w:r>
      <w:r w:rsidR="00826120">
        <w:lastRenderedPageBreak/>
        <w:t>health, accessibilit</w:t>
      </w:r>
      <w:r w:rsidR="003848DC">
        <w:t>y and family caregiver support</w:t>
      </w:r>
      <w:r w:rsidR="00CC0126">
        <w:t xml:space="preserve">.  </w:t>
      </w:r>
      <w:r w:rsidR="00B20E38">
        <w:t>In FY 201</w:t>
      </w:r>
      <w:r w:rsidR="00C0319A">
        <w:t>7</w:t>
      </w:r>
      <w:r w:rsidR="00B20E38">
        <w:t xml:space="preserve">, the </w:t>
      </w:r>
      <w:r w:rsidR="00A068F7">
        <w:t>second</w:t>
      </w:r>
      <w:r w:rsidR="00B20E38">
        <w:t xml:space="preserve"> year </w:t>
      </w:r>
      <w:r w:rsidR="00427382">
        <w:t>for</w:t>
      </w:r>
      <w:r w:rsidR="00B20E38">
        <w:t xml:space="preserve"> which data was available from the grantee, </w:t>
      </w:r>
      <w:r w:rsidR="00B72317">
        <w:t>the project reached</w:t>
      </w:r>
      <w:r w:rsidR="00EA3995">
        <w:t xml:space="preserve"> over 15,100 persons, including </w:t>
      </w:r>
      <w:r w:rsidR="00B72317">
        <w:t xml:space="preserve">providing services to </w:t>
      </w:r>
      <w:r w:rsidR="00EA3995">
        <w:t xml:space="preserve">Holocaust </w:t>
      </w:r>
      <w:r w:rsidR="00B72317">
        <w:t>survivors</w:t>
      </w:r>
      <w:r w:rsidR="003422D0">
        <w:t xml:space="preserve"> and </w:t>
      </w:r>
      <w:r w:rsidR="00EA3995">
        <w:t>family care</w:t>
      </w:r>
      <w:r w:rsidR="00B72317">
        <w:t>givers</w:t>
      </w:r>
      <w:r w:rsidR="003422D0">
        <w:t>,</w:t>
      </w:r>
      <w:r w:rsidR="00B72317">
        <w:t xml:space="preserve"> and</w:t>
      </w:r>
      <w:r w:rsidR="003A59E1">
        <w:t xml:space="preserve"> the</w:t>
      </w:r>
      <w:r w:rsidR="00B72317">
        <w:t xml:space="preserve"> training</w:t>
      </w:r>
      <w:r w:rsidR="003A59E1">
        <w:t xml:space="preserve"> of</w:t>
      </w:r>
      <w:r w:rsidR="00B72317">
        <w:t xml:space="preserve"> professionals</w:t>
      </w:r>
      <w:r w:rsidR="003A59E1">
        <w:t xml:space="preserve"> who work with them</w:t>
      </w:r>
      <w:r w:rsidR="00CC0126">
        <w:t xml:space="preserve">.  </w:t>
      </w:r>
      <w:r w:rsidR="00826120">
        <w:t>Preliminary outcome</w:t>
      </w:r>
      <w:r w:rsidR="00B20E38">
        <w:t xml:space="preserve"> </w:t>
      </w:r>
      <w:r w:rsidR="003422D0">
        <w:t>reported</w:t>
      </w:r>
      <w:r w:rsidR="00826120">
        <w:t xml:space="preserve"> suggests that the interventions being developed and deployed are leading to decreases in isolation, loneliness, depression and increases in feelings of safety, security and independence</w:t>
      </w:r>
      <w:r w:rsidR="000F793D">
        <w:t xml:space="preserve"> among survivors while the family caregivers who are served are reporting reductions in stress. </w:t>
      </w:r>
      <w:r w:rsidR="00E65110">
        <w:t>Additionally, many of the tec</w:t>
      </w:r>
      <w:r w:rsidR="00347A30">
        <w:t xml:space="preserve">hniques </w:t>
      </w:r>
      <w:r w:rsidR="00E65110">
        <w:t>developed for use specifically with Holoca</w:t>
      </w:r>
      <w:r w:rsidR="00347A30">
        <w:t>ust survivors are undergoing translation for use</w:t>
      </w:r>
      <w:r w:rsidR="00E65110">
        <w:t xml:space="preserve"> more broad</w:t>
      </w:r>
      <w:r w:rsidR="00347A30">
        <w:t>ly with</w:t>
      </w:r>
      <w:r w:rsidR="00E65110">
        <w:t xml:space="preserve"> other populations of older adults with histories of trauma resulting in greater awareness and understanding of the concept and practice of trauma-informed care in the aging services network.</w:t>
      </w:r>
    </w:p>
    <w:p w14:paraId="7E74826F" w14:textId="77777777" w:rsidR="00FA2C70" w:rsidRDefault="00FA2C70" w:rsidP="002D3B4A">
      <w:pPr>
        <w:contextualSpacing/>
        <w:jc w:val="both"/>
      </w:pPr>
    </w:p>
    <w:p w14:paraId="56BCD8A1" w14:textId="5C8D829B" w:rsidR="00E6640F" w:rsidRDefault="00E6640F" w:rsidP="002D3B4A">
      <w:pPr>
        <w:contextualSpacing/>
        <w:jc w:val="both"/>
      </w:pPr>
    </w:p>
    <w:p w14:paraId="245BBB6E" w14:textId="04AA40B9" w:rsidR="00E6640F" w:rsidRDefault="00E6640F" w:rsidP="00E6640F">
      <w:pPr>
        <w:contextualSpacing/>
        <w:jc w:val="both"/>
      </w:pPr>
    </w:p>
    <w:bookmarkEnd w:id="93"/>
    <w:bookmarkEnd w:id="94"/>
    <w:bookmarkEnd w:id="95"/>
    <w:bookmarkEnd w:id="96"/>
    <w:bookmarkEnd w:id="97"/>
    <w:bookmarkEnd w:id="98"/>
    <w:bookmarkEnd w:id="99"/>
    <w:bookmarkEnd w:id="100"/>
    <w:p w14:paraId="0423BD00" w14:textId="6AB4B4A8" w:rsidR="00266585" w:rsidRDefault="00266585" w:rsidP="00313379">
      <w:pPr>
        <w:spacing w:after="200" w:line="276" w:lineRule="auto"/>
        <w:contextualSpacing/>
        <w:jc w:val="center"/>
      </w:pPr>
    </w:p>
    <w:p w14:paraId="31837E34" w14:textId="05CD081C" w:rsidR="00864B2E" w:rsidRDefault="00864B2E" w:rsidP="00313379">
      <w:pPr>
        <w:spacing w:after="200" w:line="276" w:lineRule="auto"/>
        <w:contextualSpacing/>
        <w:jc w:val="center"/>
      </w:pPr>
    </w:p>
    <w:p w14:paraId="25BCCD93" w14:textId="77777777" w:rsidR="00864B2E" w:rsidRDefault="00864B2E" w:rsidP="00313379">
      <w:pPr>
        <w:spacing w:after="200" w:line="276" w:lineRule="auto"/>
        <w:contextualSpacing/>
        <w:jc w:val="center"/>
      </w:pPr>
    </w:p>
    <w:p w14:paraId="4A803B1C" w14:textId="32D648F0" w:rsidR="00266585" w:rsidRDefault="00266585" w:rsidP="00313379">
      <w:pPr>
        <w:spacing w:after="200" w:line="276" w:lineRule="auto"/>
        <w:contextualSpacing/>
        <w:jc w:val="center"/>
      </w:pPr>
    </w:p>
    <w:p w14:paraId="61B8EC96" w14:textId="77777777" w:rsidR="00266585" w:rsidRDefault="00266585" w:rsidP="00313379">
      <w:pPr>
        <w:spacing w:after="200" w:line="276" w:lineRule="auto"/>
        <w:contextualSpacing/>
        <w:jc w:val="center"/>
      </w:pPr>
    </w:p>
    <w:p w14:paraId="09E185DC" w14:textId="192C349A" w:rsidR="002573F3" w:rsidRDefault="002573F3" w:rsidP="00313379">
      <w:pPr>
        <w:spacing w:after="200" w:line="276" w:lineRule="auto"/>
        <w:contextualSpacing/>
        <w:jc w:val="center"/>
      </w:pPr>
    </w:p>
    <w:p w14:paraId="05C47C4F" w14:textId="77777777" w:rsidR="00E6640F" w:rsidRDefault="00E6640F" w:rsidP="00313379">
      <w:pPr>
        <w:spacing w:after="200" w:line="276" w:lineRule="auto"/>
        <w:contextualSpacing/>
        <w:jc w:val="center"/>
      </w:pPr>
    </w:p>
    <w:p w14:paraId="228A18CA" w14:textId="466BACF3" w:rsidR="0095499F" w:rsidRDefault="0095499F">
      <w:pPr>
        <w:rPr>
          <w:rFonts w:cs="Arial"/>
          <w:b/>
          <w:kern w:val="32"/>
          <w:sz w:val="72"/>
          <w:szCs w:val="72"/>
        </w:rPr>
      </w:pPr>
      <w:bookmarkStart w:id="101" w:name="_Toc436738898"/>
      <w:r>
        <w:rPr>
          <w:bCs/>
          <w:sz w:val="72"/>
          <w:szCs w:val="72"/>
        </w:rPr>
        <w:br w:type="page"/>
      </w:r>
    </w:p>
    <w:p w14:paraId="266F0F4B" w14:textId="77777777" w:rsidR="00864B2E" w:rsidRDefault="00864B2E" w:rsidP="002D29A6">
      <w:pPr>
        <w:pStyle w:val="Heading1"/>
        <w:rPr>
          <w:bCs w:val="0"/>
          <w:sz w:val="72"/>
          <w:szCs w:val="72"/>
        </w:rPr>
      </w:pPr>
      <w:bookmarkStart w:id="102" w:name="_Toc536443940"/>
    </w:p>
    <w:p w14:paraId="5DE18DA2" w14:textId="2514B4F6" w:rsidR="00D163A5" w:rsidRPr="002D29A6" w:rsidRDefault="00D163A5" w:rsidP="002D29A6">
      <w:pPr>
        <w:pStyle w:val="Heading1"/>
        <w:rPr>
          <w:bCs w:val="0"/>
          <w:sz w:val="72"/>
          <w:szCs w:val="72"/>
        </w:rPr>
      </w:pPr>
      <w:bookmarkStart w:id="103" w:name="_Toc9929373"/>
      <w:r w:rsidRPr="002D29A6">
        <w:rPr>
          <w:bCs w:val="0"/>
          <w:sz w:val="72"/>
          <w:szCs w:val="72"/>
        </w:rPr>
        <w:t>Appendix</w:t>
      </w:r>
      <w:bookmarkEnd w:id="101"/>
      <w:bookmarkEnd w:id="102"/>
      <w:bookmarkEnd w:id="103"/>
    </w:p>
    <w:p w14:paraId="31035CC4" w14:textId="77777777" w:rsidR="00D163A5" w:rsidRDefault="00D163A5" w:rsidP="00D163A5">
      <w:pPr>
        <w:tabs>
          <w:tab w:val="center" w:pos="4680"/>
        </w:tabs>
        <w:jc w:val="center"/>
        <w:rPr>
          <w:b/>
          <w:bCs/>
        </w:rPr>
      </w:pPr>
    </w:p>
    <w:p w14:paraId="690A87AB" w14:textId="600B4DE7" w:rsidR="00D163A5" w:rsidRDefault="00D163A5" w:rsidP="00D163A5">
      <w:pPr>
        <w:tabs>
          <w:tab w:val="center" w:pos="4680"/>
        </w:tabs>
        <w:jc w:val="center"/>
        <w:rPr>
          <w:b/>
          <w:bCs/>
        </w:rPr>
      </w:pPr>
    </w:p>
    <w:p w14:paraId="2CB88391" w14:textId="6AB1FD08" w:rsidR="00864B2E" w:rsidRDefault="00864B2E" w:rsidP="00D163A5">
      <w:pPr>
        <w:tabs>
          <w:tab w:val="center" w:pos="4680"/>
        </w:tabs>
        <w:jc w:val="center"/>
        <w:rPr>
          <w:b/>
          <w:bCs/>
        </w:rPr>
      </w:pPr>
    </w:p>
    <w:p w14:paraId="494500C2" w14:textId="77777777" w:rsidR="00864B2E" w:rsidRDefault="00864B2E" w:rsidP="00D163A5">
      <w:pPr>
        <w:tabs>
          <w:tab w:val="center" w:pos="4680"/>
        </w:tabs>
        <w:jc w:val="center"/>
        <w:rPr>
          <w:b/>
          <w:bCs/>
        </w:rPr>
      </w:pPr>
    </w:p>
    <w:p w14:paraId="54039B5D" w14:textId="77777777" w:rsidR="00D163A5" w:rsidRDefault="00D163A5" w:rsidP="00D163A5">
      <w:pPr>
        <w:tabs>
          <w:tab w:val="center" w:pos="4680"/>
        </w:tabs>
        <w:jc w:val="center"/>
        <w:rPr>
          <w:b/>
          <w:bCs/>
        </w:rPr>
      </w:pPr>
    </w:p>
    <w:p w14:paraId="296C1C5F" w14:textId="77777777" w:rsidR="00D163A5" w:rsidRDefault="00D163A5" w:rsidP="00D163A5">
      <w:pPr>
        <w:tabs>
          <w:tab w:val="center" w:pos="4680"/>
        </w:tabs>
        <w:jc w:val="center"/>
        <w:rPr>
          <w:b/>
          <w:bCs/>
          <w:sz w:val="42"/>
          <w:szCs w:val="42"/>
        </w:rPr>
      </w:pPr>
    </w:p>
    <w:p w14:paraId="6090F797" w14:textId="19025866" w:rsidR="00D163A5" w:rsidRPr="003A6AE1" w:rsidRDefault="00D163A5" w:rsidP="00916C9D">
      <w:pPr>
        <w:pStyle w:val="Heading2"/>
      </w:pPr>
      <w:bookmarkStart w:id="104" w:name="_Toc536443941"/>
      <w:bookmarkStart w:id="105" w:name="_Toc9929374"/>
      <w:r w:rsidRPr="003A6AE1">
        <w:t>Formula Grant Funding</w:t>
      </w:r>
      <w:bookmarkEnd w:id="104"/>
      <w:r w:rsidR="00B921B8" w:rsidRPr="003A6AE1">
        <w:t xml:space="preserve"> </w:t>
      </w:r>
      <w:bookmarkStart w:id="106" w:name="_Toc536443942"/>
      <w:r w:rsidRPr="003A6AE1">
        <w:t>Allocation</w:t>
      </w:r>
      <w:r w:rsidR="005E4750" w:rsidRPr="003A6AE1">
        <w:t>s</w:t>
      </w:r>
      <w:r w:rsidRPr="003A6AE1">
        <w:t xml:space="preserve"> by</w:t>
      </w:r>
      <w:bookmarkEnd w:id="106"/>
      <w:r w:rsidR="00B921B8" w:rsidRPr="003A6AE1">
        <w:t xml:space="preserve"> </w:t>
      </w:r>
      <w:bookmarkStart w:id="107" w:name="_Toc536443943"/>
      <w:r w:rsidRPr="003A6AE1">
        <w:t>State,</w:t>
      </w:r>
      <w:r w:rsidR="00B921B8" w:rsidRPr="003A6AE1">
        <w:t xml:space="preserve"> </w:t>
      </w:r>
      <w:r w:rsidRPr="003A6AE1">
        <w:t>Territory and</w:t>
      </w:r>
      <w:bookmarkEnd w:id="107"/>
      <w:r w:rsidRPr="003A6AE1">
        <w:t xml:space="preserve"> </w:t>
      </w:r>
      <w:bookmarkStart w:id="108" w:name="_Toc536443944"/>
      <w:r w:rsidRPr="003A6AE1">
        <w:t>Tribal</w:t>
      </w:r>
      <w:r w:rsidR="00B921B8" w:rsidRPr="003A6AE1">
        <w:t xml:space="preserve"> </w:t>
      </w:r>
      <w:r w:rsidRPr="003A6AE1">
        <w:t>Organization</w:t>
      </w:r>
      <w:bookmarkEnd w:id="108"/>
      <w:r w:rsidR="00563174">
        <w:t>s</w:t>
      </w:r>
      <w:bookmarkEnd w:id="105"/>
    </w:p>
    <w:p w14:paraId="347758B0" w14:textId="77777777" w:rsidR="00D163A5" w:rsidRDefault="00D163A5" w:rsidP="00D163A5"/>
    <w:p w14:paraId="619222F0" w14:textId="77777777" w:rsidR="00D163A5" w:rsidRDefault="00D163A5" w:rsidP="00D163A5"/>
    <w:p w14:paraId="3E534A92" w14:textId="17162625" w:rsidR="00D163A5" w:rsidRDefault="00D163A5" w:rsidP="00D163A5"/>
    <w:p w14:paraId="47C21828" w14:textId="0C064980" w:rsidR="00864B2E" w:rsidRDefault="00864B2E" w:rsidP="00D163A5"/>
    <w:p w14:paraId="683E6BC5" w14:textId="77777777" w:rsidR="00864B2E" w:rsidRDefault="00864B2E" w:rsidP="00D163A5"/>
    <w:p w14:paraId="1C60A6C5" w14:textId="77777777" w:rsidR="00D163A5" w:rsidRDefault="00D163A5" w:rsidP="00D163A5">
      <w:pPr>
        <w:jc w:val="center"/>
      </w:pPr>
    </w:p>
    <w:p w14:paraId="42EAA457" w14:textId="77777777" w:rsidR="00D163A5" w:rsidRDefault="00D163A5" w:rsidP="00D163A5">
      <w:pPr>
        <w:jc w:val="center"/>
        <w:rPr>
          <w:b/>
          <w:bCs/>
          <w:sz w:val="42"/>
          <w:szCs w:val="42"/>
        </w:rPr>
      </w:pPr>
      <w:r>
        <w:rPr>
          <w:b/>
          <w:bCs/>
          <w:sz w:val="42"/>
          <w:szCs w:val="42"/>
        </w:rPr>
        <w:t xml:space="preserve">U.S. Administration on Aging </w:t>
      </w:r>
    </w:p>
    <w:p w14:paraId="3EAF701A" w14:textId="77777777" w:rsidR="00D163A5" w:rsidRDefault="00D163A5" w:rsidP="00D163A5">
      <w:pPr>
        <w:jc w:val="center"/>
        <w:rPr>
          <w:b/>
          <w:bCs/>
          <w:sz w:val="34"/>
          <w:szCs w:val="34"/>
        </w:rPr>
      </w:pPr>
      <w:r>
        <w:rPr>
          <w:b/>
          <w:bCs/>
          <w:sz w:val="42"/>
          <w:szCs w:val="42"/>
        </w:rPr>
        <w:t>Department of Health and Human Services</w:t>
      </w:r>
    </w:p>
    <w:p w14:paraId="6B6C6EC2" w14:textId="77777777" w:rsidR="00D163A5" w:rsidRDefault="00D163A5" w:rsidP="00D163A5">
      <w:pPr>
        <w:jc w:val="center"/>
        <w:rPr>
          <w:b/>
          <w:bCs/>
          <w:sz w:val="34"/>
          <w:szCs w:val="34"/>
        </w:rPr>
      </w:pPr>
    </w:p>
    <w:p w14:paraId="39E1F619" w14:textId="77777777" w:rsidR="00D163A5" w:rsidRDefault="00D163A5" w:rsidP="00D163A5">
      <w:pPr>
        <w:jc w:val="center"/>
        <w:rPr>
          <w:b/>
          <w:bCs/>
          <w:sz w:val="34"/>
          <w:szCs w:val="34"/>
        </w:rPr>
      </w:pPr>
    </w:p>
    <w:p w14:paraId="2CAAED08" w14:textId="77777777" w:rsidR="00D163A5" w:rsidRDefault="00D163A5" w:rsidP="00D163A5">
      <w:pPr>
        <w:jc w:val="center"/>
        <w:rPr>
          <w:b/>
          <w:bCs/>
          <w:sz w:val="34"/>
          <w:szCs w:val="34"/>
        </w:rPr>
      </w:pPr>
    </w:p>
    <w:p w14:paraId="34541E7A" w14:textId="77777777" w:rsidR="00D163A5" w:rsidRDefault="00D163A5" w:rsidP="00D163A5">
      <w:pPr>
        <w:jc w:val="center"/>
        <w:rPr>
          <w:b/>
          <w:bCs/>
          <w:sz w:val="34"/>
          <w:szCs w:val="34"/>
        </w:rPr>
      </w:pPr>
    </w:p>
    <w:p w14:paraId="1A220E9B" w14:textId="77777777" w:rsidR="00D163A5" w:rsidRPr="0097038F" w:rsidRDefault="00D163A5" w:rsidP="00D163A5">
      <w:pPr>
        <w:jc w:val="center"/>
        <w:rPr>
          <w:highlight w:val="yellow"/>
        </w:rPr>
      </w:pPr>
    </w:p>
    <w:p w14:paraId="27971372" w14:textId="77777777" w:rsidR="00D163A5" w:rsidRPr="000A3EBC" w:rsidRDefault="00D163A5" w:rsidP="00D163A5"/>
    <w:p w14:paraId="69D1CCA9" w14:textId="77777777" w:rsidR="0001315B" w:rsidRDefault="0001315B" w:rsidP="0001315B"/>
    <w:p w14:paraId="30A55DD7" w14:textId="77777777" w:rsidR="0001315B" w:rsidRDefault="0001315B" w:rsidP="0001315B"/>
    <w:p w14:paraId="530DD0E7" w14:textId="77777777" w:rsidR="0001315B" w:rsidRDefault="0001315B" w:rsidP="0001315B"/>
    <w:p w14:paraId="541418EA" w14:textId="77777777" w:rsidR="0001315B" w:rsidRDefault="0001315B" w:rsidP="0001315B"/>
    <w:p w14:paraId="220CB189" w14:textId="77777777" w:rsidR="0001315B" w:rsidRDefault="0001315B" w:rsidP="0001315B"/>
    <w:p w14:paraId="5C039728" w14:textId="77777777" w:rsidR="0001315B" w:rsidRDefault="0001315B" w:rsidP="0001315B"/>
    <w:p w14:paraId="10CAB0D3" w14:textId="77777777" w:rsidR="0001315B" w:rsidRDefault="0001315B" w:rsidP="0001315B"/>
    <w:p w14:paraId="4AEE5995" w14:textId="0E637DA7" w:rsidR="0001315B" w:rsidRDefault="0001315B" w:rsidP="0001315B"/>
    <w:p w14:paraId="19D82BC3" w14:textId="515F680D" w:rsidR="00864B2E" w:rsidRDefault="00864B2E" w:rsidP="0001315B"/>
    <w:p w14:paraId="54279862" w14:textId="7E0AEAD1" w:rsidR="00864B2E" w:rsidRDefault="00864B2E" w:rsidP="0001315B"/>
    <w:p w14:paraId="03DF4F69" w14:textId="4FF94E10" w:rsidR="00864B2E" w:rsidRDefault="00864B2E" w:rsidP="0001315B"/>
    <w:p w14:paraId="2A348DA3" w14:textId="7B09ABD9" w:rsidR="00864B2E" w:rsidRDefault="00864B2E" w:rsidP="0001315B"/>
    <w:p w14:paraId="3D12A7A2" w14:textId="19F9F448" w:rsidR="00864B2E" w:rsidRDefault="00864B2E" w:rsidP="0001315B"/>
    <w:p w14:paraId="251D211C" w14:textId="295A669C" w:rsidR="00864B2E" w:rsidRDefault="00864B2E" w:rsidP="0001315B"/>
    <w:p w14:paraId="0C1F4990" w14:textId="7C7887B0" w:rsidR="00864B2E" w:rsidRDefault="00864B2E" w:rsidP="0001315B"/>
    <w:p w14:paraId="36FA70D6" w14:textId="0A1D815A" w:rsidR="00864B2E" w:rsidRDefault="00864B2E" w:rsidP="0001315B"/>
    <w:p w14:paraId="28F80262" w14:textId="7805FF57" w:rsidR="00864B2E" w:rsidRDefault="00864B2E" w:rsidP="0001315B"/>
    <w:p w14:paraId="192196EE" w14:textId="77777777" w:rsidR="00864B2E" w:rsidRDefault="00864B2E" w:rsidP="0001315B"/>
    <w:p w14:paraId="34EF752F" w14:textId="77777777" w:rsidR="0001315B" w:rsidRDefault="0001315B" w:rsidP="0001315B"/>
    <w:p w14:paraId="616F4D8F" w14:textId="77777777" w:rsidR="0001315B" w:rsidRDefault="0001315B" w:rsidP="0001315B"/>
    <w:p w14:paraId="05FF5DB7" w14:textId="77777777" w:rsidR="0001315B" w:rsidRDefault="0001315B" w:rsidP="0001315B"/>
    <w:p w14:paraId="30BAE523" w14:textId="77777777" w:rsidR="0001315B" w:rsidRPr="0001315B" w:rsidRDefault="0001315B" w:rsidP="0001315B">
      <w:pPr>
        <w:jc w:val="center"/>
        <w:rPr>
          <w:b/>
        </w:rPr>
      </w:pPr>
      <w:r w:rsidRPr="0001315B">
        <w:rPr>
          <w:b/>
        </w:rPr>
        <w:t>THIS PAGE INTENTIONALLY LEFT BLANK</w:t>
      </w:r>
    </w:p>
    <w:p w14:paraId="0CF53746" w14:textId="77777777" w:rsidR="0001315B" w:rsidRDefault="0001315B" w:rsidP="0001315B"/>
    <w:p w14:paraId="36563DD0" w14:textId="77777777" w:rsidR="0001315B" w:rsidRDefault="0001315B" w:rsidP="0001315B"/>
    <w:p w14:paraId="258E360C" w14:textId="7B266002" w:rsidR="0001315B" w:rsidRDefault="0001315B" w:rsidP="0001315B"/>
    <w:p w14:paraId="0A3E2058" w14:textId="10D9D414" w:rsidR="00BE1999" w:rsidRDefault="00BE1999" w:rsidP="0001315B"/>
    <w:p w14:paraId="0FA9B938" w14:textId="2EB29427" w:rsidR="00BE1999" w:rsidRDefault="00BE1999" w:rsidP="0001315B"/>
    <w:p w14:paraId="13EA74BC" w14:textId="0987C632" w:rsidR="00BE1999" w:rsidRDefault="00BE1999" w:rsidP="0001315B"/>
    <w:p w14:paraId="38CB270F" w14:textId="2D8BFDE1" w:rsidR="00BE1999" w:rsidRDefault="00BE1999" w:rsidP="0001315B"/>
    <w:p w14:paraId="6E97691E" w14:textId="4E70211E" w:rsidR="00BE1999" w:rsidRDefault="00BE1999" w:rsidP="0001315B"/>
    <w:p w14:paraId="3EB35271" w14:textId="2052C760" w:rsidR="00BE1999" w:rsidRDefault="00BE1999" w:rsidP="0001315B"/>
    <w:p w14:paraId="22B76044" w14:textId="4D2BE788" w:rsidR="00BE1999" w:rsidRDefault="00BE1999" w:rsidP="0001315B"/>
    <w:p w14:paraId="285E1C22" w14:textId="6A93E774" w:rsidR="00BE1999" w:rsidRDefault="00BE1999" w:rsidP="0001315B"/>
    <w:p w14:paraId="47234E51" w14:textId="58B290F4" w:rsidR="00BE1999" w:rsidRDefault="00BE1999" w:rsidP="0001315B"/>
    <w:p w14:paraId="556FCB56" w14:textId="287F75A0" w:rsidR="00BE1999" w:rsidRDefault="00BE1999" w:rsidP="0001315B"/>
    <w:p w14:paraId="3CD05424" w14:textId="3FED6A32" w:rsidR="00BE1999" w:rsidRDefault="00BE1999" w:rsidP="0001315B"/>
    <w:p w14:paraId="120FCC4B" w14:textId="7212F083" w:rsidR="00BE1999" w:rsidRDefault="00BE1999" w:rsidP="0001315B"/>
    <w:p w14:paraId="5BA1D2FD" w14:textId="1D9959B4" w:rsidR="00BE1999" w:rsidRDefault="00BE1999" w:rsidP="0001315B"/>
    <w:p w14:paraId="1F13088A" w14:textId="628396FB" w:rsidR="00BE1999" w:rsidRDefault="00BE1999" w:rsidP="0001315B"/>
    <w:p w14:paraId="6D4406C7" w14:textId="5988D4A4" w:rsidR="00BE1999" w:rsidRDefault="00BE1999" w:rsidP="0001315B"/>
    <w:p w14:paraId="71528EF0" w14:textId="08097A95" w:rsidR="00BE1999" w:rsidRDefault="00BE1999" w:rsidP="0001315B"/>
    <w:p w14:paraId="6EB06B6F" w14:textId="7553A3E2" w:rsidR="00BE1999" w:rsidRDefault="00BE1999" w:rsidP="0001315B"/>
    <w:p w14:paraId="24C31887" w14:textId="1849E2C7" w:rsidR="00BE1999" w:rsidRDefault="00BE1999" w:rsidP="0001315B"/>
    <w:p w14:paraId="658DA264" w14:textId="5591398B" w:rsidR="00BE1999" w:rsidRDefault="00BE1999" w:rsidP="0001315B"/>
    <w:p w14:paraId="3F597372" w14:textId="1580B7E1" w:rsidR="00BE1999" w:rsidRDefault="00BE1999" w:rsidP="0001315B"/>
    <w:p w14:paraId="061AE252" w14:textId="20636822" w:rsidR="00BE1999" w:rsidRDefault="00BE1999" w:rsidP="0001315B"/>
    <w:p w14:paraId="209EA36A" w14:textId="5280E8EB" w:rsidR="00BE1999" w:rsidRDefault="00BE1999" w:rsidP="0001315B"/>
    <w:p w14:paraId="36745308" w14:textId="42B285DF" w:rsidR="00BE1999" w:rsidRDefault="00BE1999" w:rsidP="0001315B"/>
    <w:p w14:paraId="55C69DF1" w14:textId="47004EC2" w:rsidR="00BE1999" w:rsidRDefault="00BE1999" w:rsidP="0001315B"/>
    <w:p w14:paraId="71DA3786" w14:textId="2D1B71BA" w:rsidR="00BE1999" w:rsidRDefault="00BE1999" w:rsidP="0001315B"/>
    <w:p w14:paraId="10E6B87A" w14:textId="04C9DE04" w:rsidR="00BE1999" w:rsidRDefault="00BE1999" w:rsidP="0001315B"/>
    <w:p w14:paraId="4F56EEBB" w14:textId="7A225EE4" w:rsidR="00BE1999" w:rsidRDefault="00BE1999" w:rsidP="0001315B"/>
    <w:p w14:paraId="139F4857" w14:textId="48E22320" w:rsidR="00BE1999" w:rsidRDefault="00BE1999" w:rsidP="0001315B"/>
    <w:p w14:paraId="266A67A2" w14:textId="226EAC93" w:rsidR="00BE1999" w:rsidRDefault="00BE1999" w:rsidP="0001315B"/>
    <w:p w14:paraId="0ADF3515" w14:textId="67B49120" w:rsidR="00BE1999" w:rsidRDefault="00BE1999" w:rsidP="0001315B"/>
    <w:p w14:paraId="15307289" w14:textId="1036E6C9" w:rsidR="00BE1999" w:rsidRDefault="00BE1999" w:rsidP="0001315B"/>
    <w:p w14:paraId="254074A7" w14:textId="4FAF9CA0" w:rsidR="00BE1999" w:rsidRDefault="00BE1999" w:rsidP="0001315B"/>
    <w:p w14:paraId="1F187DB8" w14:textId="3F444D57" w:rsidR="00BE1999" w:rsidRDefault="00BE1999" w:rsidP="0001315B"/>
    <w:p w14:paraId="3A57EB48" w14:textId="3519A1FA" w:rsidR="00BE1999" w:rsidRDefault="00BE1999" w:rsidP="0001315B"/>
    <w:p w14:paraId="3367B8D5" w14:textId="2F5B77A2" w:rsidR="00BE1999" w:rsidRDefault="00BE1999" w:rsidP="0001315B"/>
    <w:p w14:paraId="630958FE" w14:textId="7D2606D4" w:rsidR="00BE1999" w:rsidRDefault="00BE1999" w:rsidP="0001315B"/>
    <w:p w14:paraId="36E0F7CA" w14:textId="06ECD837" w:rsidR="00BE1999" w:rsidRDefault="00BE1999" w:rsidP="0001315B"/>
    <w:p w14:paraId="472F78AB" w14:textId="49704C0D" w:rsidR="00BE1999" w:rsidRDefault="00BE1999" w:rsidP="0001315B"/>
    <w:p w14:paraId="74225920" w14:textId="43D13CA5" w:rsidR="00BE1999" w:rsidRDefault="00BE1999" w:rsidP="0001315B"/>
    <w:p w14:paraId="4D104E40" w14:textId="2EDB077E" w:rsidR="00BE1999" w:rsidRDefault="00BE1999" w:rsidP="0001315B"/>
    <w:p w14:paraId="23BB4AE3" w14:textId="2365203A" w:rsidR="00BE1999" w:rsidRDefault="00BE1999" w:rsidP="0001315B"/>
    <w:p w14:paraId="799213FA" w14:textId="440C4992" w:rsidR="00BE1999" w:rsidRDefault="00BE1999" w:rsidP="0001315B"/>
    <w:p w14:paraId="010C49FF" w14:textId="77777777" w:rsidR="00C72F62" w:rsidRDefault="00C72F62" w:rsidP="00704280">
      <w:pPr>
        <w:rPr>
          <w:rFonts w:ascii="Arial" w:hAnsi="Arial" w:cs="Arial"/>
          <w:b/>
          <w:bCs/>
          <w:color w:val="000000"/>
          <w:sz w:val="20"/>
        </w:rPr>
        <w:sectPr w:rsidR="00C72F62" w:rsidSect="00494558">
          <w:pgSz w:w="12240" w:h="15840"/>
          <w:pgMar w:top="720" w:right="720" w:bottom="1440" w:left="720" w:header="720" w:footer="720" w:gutter="0"/>
          <w:cols w:space="720"/>
          <w:docGrid w:linePitch="326"/>
        </w:sectPr>
      </w:pPr>
    </w:p>
    <w:p w14:paraId="7386D7AC" w14:textId="77777777" w:rsidR="00F570EA" w:rsidRDefault="00F570EA" w:rsidP="00704280"/>
    <w:tbl>
      <w:tblPr>
        <w:tblStyle w:val="TableGrid"/>
        <w:tblW w:w="0" w:type="auto"/>
        <w:tblLayout w:type="fixed"/>
        <w:tblLook w:val="04E0" w:firstRow="1" w:lastRow="1" w:firstColumn="1" w:lastColumn="0" w:noHBand="0" w:noVBand="1"/>
      </w:tblPr>
      <w:tblGrid>
        <w:gridCol w:w="1885"/>
        <w:gridCol w:w="1440"/>
        <w:gridCol w:w="1530"/>
        <w:gridCol w:w="1440"/>
        <w:gridCol w:w="1440"/>
        <w:gridCol w:w="1440"/>
        <w:gridCol w:w="1615"/>
      </w:tblGrid>
      <w:tr w:rsidR="000D3C6C" w14:paraId="16323750" w14:textId="77777777" w:rsidTr="00C91E7A">
        <w:trPr>
          <w:trHeight w:val="20"/>
        </w:trPr>
        <w:tc>
          <w:tcPr>
            <w:tcW w:w="1885" w:type="dxa"/>
          </w:tcPr>
          <w:p w14:paraId="52EC6D37" w14:textId="0EC56B30" w:rsidR="000D3C6C" w:rsidRPr="006A12DC" w:rsidRDefault="000D3C6C" w:rsidP="000D3C6C">
            <w:pPr>
              <w:rPr>
                <w:rFonts w:ascii="Arial" w:hAnsi="Arial" w:cs="Arial"/>
                <w:sz w:val="18"/>
                <w:szCs w:val="18"/>
              </w:rPr>
            </w:pPr>
            <w:r w:rsidRPr="00C967D3">
              <w:rPr>
                <w:rFonts w:ascii="Arial" w:hAnsi="Arial" w:cs="Arial"/>
                <w:b/>
                <w:bCs/>
                <w:sz w:val="20"/>
                <w:szCs w:val="20"/>
              </w:rPr>
              <w:t>State</w:t>
            </w:r>
          </w:p>
        </w:tc>
        <w:tc>
          <w:tcPr>
            <w:tcW w:w="1440" w:type="dxa"/>
          </w:tcPr>
          <w:p w14:paraId="5326A67B" w14:textId="46ADD24D" w:rsidR="000D3C6C" w:rsidRPr="006A12DC" w:rsidRDefault="000D3C6C" w:rsidP="000D3C6C">
            <w:pPr>
              <w:rPr>
                <w:rFonts w:ascii="Arial" w:hAnsi="Arial" w:cs="Arial"/>
                <w:sz w:val="18"/>
                <w:szCs w:val="18"/>
              </w:rPr>
            </w:pPr>
            <w:r w:rsidRPr="00C967D3">
              <w:rPr>
                <w:rFonts w:ascii="Arial" w:hAnsi="Arial" w:cs="Arial"/>
                <w:b/>
                <w:bCs/>
                <w:sz w:val="20"/>
                <w:szCs w:val="20"/>
              </w:rPr>
              <w:t>Supportive Services</w:t>
            </w:r>
          </w:p>
        </w:tc>
        <w:tc>
          <w:tcPr>
            <w:tcW w:w="1530" w:type="dxa"/>
          </w:tcPr>
          <w:p w14:paraId="0CCD8BD0" w14:textId="1569A0DA" w:rsidR="000D3C6C" w:rsidRPr="006A12DC" w:rsidRDefault="000D3C6C" w:rsidP="000D3C6C">
            <w:pPr>
              <w:rPr>
                <w:rFonts w:ascii="Arial" w:hAnsi="Arial" w:cs="Arial"/>
                <w:sz w:val="18"/>
                <w:szCs w:val="18"/>
              </w:rPr>
            </w:pPr>
            <w:r w:rsidRPr="00C967D3">
              <w:rPr>
                <w:rFonts w:ascii="Arial" w:hAnsi="Arial" w:cs="Arial"/>
                <w:b/>
                <w:bCs/>
                <w:sz w:val="20"/>
                <w:szCs w:val="20"/>
              </w:rPr>
              <w:t>Congregate Meals</w:t>
            </w:r>
          </w:p>
        </w:tc>
        <w:tc>
          <w:tcPr>
            <w:tcW w:w="1440" w:type="dxa"/>
          </w:tcPr>
          <w:p w14:paraId="447956D8" w14:textId="104C8C9C" w:rsidR="000D3C6C" w:rsidRPr="006A12DC" w:rsidRDefault="000D3C6C" w:rsidP="000D3C6C">
            <w:pPr>
              <w:rPr>
                <w:rFonts w:ascii="Arial" w:hAnsi="Arial" w:cs="Arial"/>
                <w:sz w:val="18"/>
                <w:szCs w:val="18"/>
              </w:rPr>
            </w:pPr>
            <w:r w:rsidRPr="00C967D3">
              <w:rPr>
                <w:rFonts w:ascii="Arial" w:hAnsi="Arial" w:cs="Arial"/>
                <w:b/>
                <w:bCs/>
                <w:sz w:val="20"/>
                <w:szCs w:val="20"/>
              </w:rPr>
              <w:t>Home         Meals</w:t>
            </w:r>
          </w:p>
        </w:tc>
        <w:tc>
          <w:tcPr>
            <w:tcW w:w="1440" w:type="dxa"/>
          </w:tcPr>
          <w:p w14:paraId="7E0583B7" w14:textId="63BB061A" w:rsidR="000D3C6C" w:rsidRPr="006A12DC" w:rsidRDefault="000D3C6C" w:rsidP="000D3C6C">
            <w:pPr>
              <w:rPr>
                <w:rFonts w:ascii="Arial" w:hAnsi="Arial" w:cs="Arial"/>
                <w:sz w:val="18"/>
                <w:szCs w:val="18"/>
              </w:rPr>
            </w:pPr>
            <w:r w:rsidRPr="00C967D3">
              <w:rPr>
                <w:rFonts w:ascii="Arial" w:hAnsi="Arial" w:cs="Arial"/>
                <w:b/>
                <w:bCs/>
                <w:sz w:val="20"/>
                <w:szCs w:val="20"/>
              </w:rPr>
              <w:t>Preventive Services</w:t>
            </w:r>
          </w:p>
        </w:tc>
        <w:tc>
          <w:tcPr>
            <w:tcW w:w="1440" w:type="dxa"/>
          </w:tcPr>
          <w:p w14:paraId="349B0F39" w14:textId="18E5ED96" w:rsidR="000D3C6C" w:rsidRPr="006A12DC" w:rsidRDefault="000D3C6C" w:rsidP="000D3C6C">
            <w:pPr>
              <w:rPr>
                <w:rFonts w:ascii="Arial" w:hAnsi="Arial" w:cs="Arial"/>
                <w:sz w:val="18"/>
                <w:szCs w:val="18"/>
              </w:rPr>
            </w:pPr>
            <w:r w:rsidRPr="00C967D3">
              <w:rPr>
                <w:rFonts w:ascii="Arial" w:hAnsi="Arial" w:cs="Arial"/>
                <w:b/>
                <w:bCs/>
                <w:sz w:val="20"/>
                <w:szCs w:val="20"/>
              </w:rPr>
              <w:t>NFCSP</w:t>
            </w:r>
          </w:p>
        </w:tc>
        <w:tc>
          <w:tcPr>
            <w:tcW w:w="1615" w:type="dxa"/>
          </w:tcPr>
          <w:p w14:paraId="3BA3CE68" w14:textId="47D85AAD" w:rsidR="000D3C6C" w:rsidRPr="006A12DC" w:rsidRDefault="000D3C6C" w:rsidP="000D3C6C">
            <w:pPr>
              <w:rPr>
                <w:rFonts w:ascii="Arial" w:hAnsi="Arial" w:cs="Arial"/>
                <w:sz w:val="18"/>
                <w:szCs w:val="18"/>
              </w:rPr>
            </w:pPr>
            <w:r w:rsidRPr="00C967D3">
              <w:rPr>
                <w:rFonts w:ascii="Arial" w:hAnsi="Arial" w:cs="Arial"/>
                <w:b/>
                <w:bCs/>
                <w:sz w:val="20"/>
                <w:szCs w:val="20"/>
              </w:rPr>
              <w:t>Total Title III</w:t>
            </w:r>
          </w:p>
        </w:tc>
      </w:tr>
      <w:tr w:rsidR="00B5603D" w14:paraId="04A4C2EF" w14:textId="77777777" w:rsidTr="00C91E7A">
        <w:trPr>
          <w:trHeight w:val="20"/>
        </w:trPr>
        <w:tc>
          <w:tcPr>
            <w:tcW w:w="1885" w:type="dxa"/>
          </w:tcPr>
          <w:p w14:paraId="1F80AF23" w14:textId="0E822E88" w:rsidR="00B5603D" w:rsidRPr="00022F0A" w:rsidRDefault="00B5603D" w:rsidP="00B5603D">
            <w:pPr>
              <w:rPr>
                <w:rFonts w:ascii="Arial" w:hAnsi="Arial" w:cs="Arial"/>
                <w:sz w:val="18"/>
                <w:szCs w:val="18"/>
              </w:rPr>
            </w:pPr>
            <w:r w:rsidRPr="00C967D3">
              <w:rPr>
                <w:rFonts w:ascii="Arial" w:hAnsi="Arial" w:cs="Arial"/>
                <w:sz w:val="18"/>
                <w:szCs w:val="18"/>
              </w:rPr>
              <w:t>Alabama</w:t>
            </w:r>
          </w:p>
        </w:tc>
        <w:tc>
          <w:tcPr>
            <w:tcW w:w="1440" w:type="dxa"/>
          </w:tcPr>
          <w:p w14:paraId="26CB9899" w14:textId="333FD2FA" w:rsidR="00B5603D" w:rsidRPr="00022F0A" w:rsidRDefault="00B5603D" w:rsidP="00B5603D">
            <w:pPr>
              <w:rPr>
                <w:rFonts w:ascii="Arial" w:hAnsi="Arial" w:cs="Arial"/>
                <w:sz w:val="18"/>
                <w:szCs w:val="18"/>
              </w:rPr>
            </w:pPr>
            <w:r w:rsidRPr="00C967D3">
              <w:rPr>
                <w:rFonts w:ascii="Arial" w:hAnsi="Arial" w:cs="Arial"/>
                <w:sz w:val="18"/>
                <w:szCs w:val="18"/>
              </w:rPr>
              <w:t xml:space="preserve">$5,286,709 </w:t>
            </w:r>
          </w:p>
        </w:tc>
        <w:tc>
          <w:tcPr>
            <w:tcW w:w="1530" w:type="dxa"/>
          </w:tcPr>
          <w:p w14:paraId="6BA9F8FA" w14:textId="328D83CF" w:rsidR="00B5603D" w:rsidRPr="00022F0A" w:rsidRDefault="00B5603D" w:rsidP="00B5603D">
            <w:pPr>
              <w:rPr>
                <w:rFonts w:ascii="Arial" w:hAnsi="Arial" w:cs="Arial"/>
                <w:sz w:val="18"/>
                <w:szCs w:val="18"/>
              </w:rPr>
            </w:pPr>
            <w:r w:rsidRPr="00C967D3">
              <w:rPr>
                <w:rFonts w:ascii="Arial" w:hAnsi="Arial" w:cs="Arial"/>
                <w:sz w:val="18"/>
                <w:szCs w:val="18"/>
              </w:rPr>
              <w:t xml:space="preserve">$6,654,431 </w:t>
            </w:r>
          </w:p>
        </w:tc>
        <w:tc>
          <w:tcPr>
            <w:tcW w:w="1440" w:type="dxa"/>
          </w:tcPr>
          <w:p w14:paraId="72C16F07" w14:textId="7A065E82" w:rsidR="00B5603D" w:rsidRPr="00022F0A" w:rsidRDefault="00B5603D" w:rsidP="00B5603D">
            <w:pPr>
              <w:rPr>
                <w:rFonts w:ascii="Arial" w:hAnsi="Arial" w:cs="Arial"/>
                <w:sz w:val="18"/>
                <w:szCs w:val="18"/>
              </w:rPr>
            </w:pPr>
            <w:r w:rsidRPr="00C967D3">
              <w:rPr>
                <w:rFonts w:ascii="Arial" w:hAnsi="Arial" w:cs="Arial"/>
                <w:sz w:val="18"/>
                <w:szCs w:val="18"/>
              </w:rPr>
              <w:t xml:space="preserve">$3,434,588 </w:t>
            </w:r>
          </w:p>
        </w:tc>
        <w:tc>
          <w:tcPr>
            <w:tcW w:w="1440" w:type="dxa"/>
          </w:tcPr>
          <w:p w14:paraId="01CD4214" w14:textId="616497E9" w:rsidR="00B5603D" w:rsidRPr="00022F0A" w:rsidRDefault="00B5603D" w:rsidP="00B5603D">
            <w:pPr>
              <w:rPr>
                <w:rFonts w:ascii="Arial" w:hAnsi="Arial" w:cs="Arial"/>
                <w:sz w:val="18"/>
                <w:szCs w:val="18"/>
              </w:rPr>
            </w:pPr>
            <w:r w:rsidRPr="00C967D3">
              <w:rPr>
                <w:rFonts w:ascii="Arial" w:hAnsi="Arial" w:cs="Arial"/>
                <w:sz w:val="18"/>
                <w:szCs w:val="18"/>
              </w:rPr>
              <w:t xml:space="preserve">$308,926 </w:t>
            </w:r>
          </w:p>
        </w:tc>
        <w:tc>
          <w:tcPr>
            <w:tcW w:w="1440" w:type="dxa"/>
          </w:tcPr>
          <w:p w14:paraId="3A6CA759" w14:textId="6B24BB0E" w:rsidR="00B5603D" w:rsidRPr="00022F0A" w:rsidRDefault="00B5603D" w:rsidP="00B5603D">
            <w:pPr>
              <w:rPr>
                <w:rFonts w:ascii="Arial" w:hAnsi="Arial" w:cs="Arial"/>
                <w:sz w:val="18"/>
                <w:szCs w:val="18"/>
              </w:rPr>
            </w:pPr>
            <w:r w:rsidRPr="00C967D3">
              <w:rPr>
                <w:rFonts w:ascii="Arial" w:hAnsi="Arial" w:cs="Arial"/>
                <w:sz w:val="18"/>
                <w:szCs w:val="18"/>
              </w:rPr>
              <w:t xml:space="preserve">$2,266,907 </w:t>
            </w:r>
          </w:p>
        </w:tc>
        <w:tc>
          <w:tcPr>
            <w:tcW w:w="1615" w:type="dxa"/>
          </w:tcPr>
          <w:p w14:paraId="755CD002" w14:textId="7B28FA20" w:rsidR="00B5603D" w:rsidRPr="00022F0A" w:rsidRDefault="00B5603D" w:rsidP="00B5603D">
            <w:pPr>
              <w:rPr>
                <w:rFonts w:ascii="Arial" w:hAnsi="Arial" w:cs="Arial"/>
                <w:sz w:val="18"/>
                <w:szCs w:val="18"/>
              </w:rPr>
            </w:pPr>
            <w:r w:rsidRPr="00C967D3">
              <w:rPr>
                <w:rFonts w:ascii="Arial" w:hAnsi="Arial" w:cs="Arial"/>
                <w:sz w:val="18"/>
                <w:szCs w:val="18"/>
              </w:rPr>
              <w:t xml:space="preserve">$17,951,561 </w:t>
            </w:r>
          </w:p>
        </w:tc>
      </w:tr>
      <w:tr w:rsidR="00B5603D" w14:paraId="4D6606B1" w14:textId="77777777" w:rsidTr="00C91E7A">
        <w:trPr>
          <w:trHeight w:val="20"/>
        </w:trPr>
        <w:tc>
          <w:tcPr>
            <w:tcW w:w="1885" w:type="dxa"/>
          </w:tcPr>
          <w:p w14:paraId="3FD6F502" w14:textId="6E108925" w:rsidR="00B5603D" w:rsidRPr="00022F0A" w:rsidRDefault="00B5603D" w:rsidP="00B5603D">
            <w:pPr>
              <w:rPr>
                <w:rFonts w:ascii="Arial" w:hAnsi="Arial" w:cs="Arial"/>
                <w:sz w:val="18"/>
                <w:szCs w:val="18"/>
              </w:rPr>
            </w:pPr>
            <w:r w:rsidRPr="00C967D3">
              <w:rPr>
                <w:rFonts w:ascii="Arial" w:hAnsi="Arial" w:cs="Arial"/>
                <w:sz w:val="18"/>
                <w:szCs w:val="18"/>
              </w:rPr>
              <w:t>Alaska</w:t>
            </w:r>
          </w:p>
        </w:tc>
        <w:tc>
          <w:tcPr>
            <w:tcW w:w="1440" w:type="dxa"/>
          </w:tcPr>
          <w:p w14:paraId="348231AF" w14:textId="0B6A4376" w:rsidR="00B5603D" w:rsidRPr="00022F0A" w:rsidRDefault="00B5603D" w:rsidP="00B5603D">
            <w:pPr>
              <w:rPr>
                <w:rFonts w:ascii="Arial" w:hAnsi="Arial" w:cs="Arial"/>
                <w:sz w:val="18"/>
                <w:szCs w:val="18"/>
              </w:rPr>
            </w:pPr>
            <w:r w:rsidRPr="00C967D3">
              <w:rPr>
                <w:rFonts w:ascii="Arial" w:hAnsi="Arial" w:cs="Arial"/>
                <w:sz w:val="18"/>
                <w:szCs w:val="18"/>
              </w:rPr>
              <w:t xml:space="preserve">$1,736,115 </w:t>
            </w:r>
          </w:p>
        </w:tc>
        <w:tc>
          <w:tcPr>
            <w:tcW w:w="1530" w:type="dxa"/>
          </w:tcPr>
          <w:p w14:paraId="01B8C5E5" w14:textId="06AAB274" w:rsidR="00B5603D" w:rsidRPr="00022F0A" w:rsidRDefault="00B5603D" w:rsidP="00B5603D">
            <w:pPr>
              <w:rPr>
                <w:rFonts w:ascii="Arial" w:hAnsi="Arial" w:cs="Arial"/>
                <w:sz w:val="18"/>
                <w:szCs w:val="18"/>
              </w:rPr>
            </w:pPr>
            <w:r w:rsidRPr="00C967D3">
              <w:rPr>
                <w:rFonts w:ascii="Arial" w:hAnsi="Arial" w:cs="Arial"/>
                <w:sz w:val="18"/>
                <w:szCs w:val="18"/>
              </w:rPr>
              <w:t xml:space="preserve">$2,229,088 </w:t>
            </w:r>
          </w:p>
        </w:tc>
        <w:tc>
          <w:tcPr>
            <w:tcW w:w="1440" w:type="dxa"/>
          </w:tcPr>
          <w:p w14:paraId="288C81F6" w14:textId="5D8CC289" w:rsidR="00B5603D" w:rsidRPr="00022F0A" w:rsidRDefault="00B5603D" w:rsidP="00B5603D">
            <w:pPr>
              <w:rPr>
                <w:rFonts w:ascii="Arial" w:hAnsi="Arial" w:cs="Arial"/>
                <w:sz w:val="18"/>
                <w:szCs w:val="18"/>
              </w:rPr>
            </w:pPr>
            <w:r w:rsidRPr="00C967D3">
              <w:rPr>
                <w:rFonts w:ascii="Arial" w:hAnsi="Arial" w:cs="Arial"/>
                <w:sz w:val="18"/>
                <w:szCs w:val="18"/>
              </w:rPr>
              <w:t xml:space="preserve">$1,125,270 </w:t>
            </w:r>
          </w:p>
        </w:tc>
        <w:tc>
          <w:tcPr>
            <w:tcW w:w="1440" w:type="dxa"/>
          </w:tcPr>
          <w:p w14:paraId="316294CF" w14:textId="7C0FFD06" w:rsidR="00B5603D" w:rsidRPr="00022F0A" w:rsidRDefault="00B5603D" w:rsidP="00B5603D">
            <w:pPr>
              <w:rPr>
                <w:rFonts w:ascii="Arial" w:hAnsi="Arial" w:cs="Arial"/>
                <w:sz w:val="18"/>
                <w:szCs w:val="18"/>
              </w:rPr>
            </w:pPr>
            <w:r w:rsidRPr="00C967D3">
              <w:rPr>
                <w:rFonts w:ascii="Arial" w:hAnsi="Arial" w:cs="Arial"/>
                <w:sz w:val="18"/>
                <w:szCs w:val="18"/>
              </w:rPr>
              <w:t xml:space="preserve">$98,321 </w:t>
            </w:r>
          </w:p>
        </w:tc>
        <w:tc>
          <w:tcPr>
            <w:tcW w:w="1440" w:type="dxa"/>
          </w:tcPr>
          <w:p w14:paraId="2DF39CE5" w14:textId="0C6AC7AB" w:rsidR="00B5603D" w:rsidRPr="00022F0A" w:rsidRDefault="00B5603D" w:rsidP="00B5603D">
            <w:pPr>
              <w:rPr>
                <w:rFonts w:ascii="Arial" w:hAnsi="Arial" w:cs="Arial"/>
                <w:sz w:val="18"/>
                <w:szCs w:val="18"/>
              </w:rPr>
            </w:pPr>
            <w:r w:rsidRPr="00C967D3">
              <w:rPr>
                <w:rFonts w:ascii="Arial" w:hAnsi="Arial" w:cs="Arial"/>
                <w:sz w:val="18"/>
                <w:szCs w:val="18"/>
              </w:rPr>
              <w:t xml:space="preserve">$746,423 </w:t>
            </w:r>
          </w:p>
        </w:tc>
        <w:tc>
          <w:tcPr>
            <w:tcW w:w="1615" w:type="dxa"/>
          </w:tcPr>
          <w:p w14:paraId="75D6D2E8" w14:textId="777AA197" w:rsidR="00B5603D" w:rsidRPr="00022F0A" w:rsidRDefault="00B5603D" w:rsidP="00B5603D">
            <w:pPr>
              <w:rPr>
                <w:rFonts w:ascii="Arial" w:hAnsi="Arial" w:cs="Arial"/>
                <w:sz w:val="18"/>
                <w:szCs w:val="18"/>
              </w:rPr>
            </w:pPr>
            <w:r w:rsidRPr="00C967D3">
              <w:rPr>
                <w:rFonts w:ascii="Arial" w:hAnsi="Arial" w:cs="Arial"/>
                <w:sz w:val="18"/>
                <w:szCs w:val="18"/>
              </w:rPr>
              <w:t xml:space="preserve">$5,935,217 </w:t>
            </w:r>
          </w:p>
        </w:tc>
      </w:tr>
      <w:tr w:rsidR="00B5603D" w14:paraId="29E0D25C" w14:textId="77777777" w:rsidTr="00C91E7A">
        <w:trPr>
          <w:trHeight w:val="20"/>
        </w:trPr>
        <w:tc>
          <w:tcPr>
            <w:tcW w:w="1885" w:type="dxa"/>
          </w:tcPr>
          <w:p w14:paraId="5E1B8A3E" w14:textId="36962015" w:rsidR="00B5603D" w:rsidRPr="00022F0A" w:rsidRDefault="00B5603D" w:rsidP="00B5603D">
            <w:pPr>
              <w:rPr>
                <w:rFonts w:ascii="Arial" w:hAnsi="Arial" w:cs="Arial"/>
                <w:sz w:val="18"/>
                <w:szCs w:val="18"/>
              </w:rPr>
            </w:pPr>
            <w:r w:rsidRPr="00C967D3">
              <w:rPr>
                <w:rFonts w:ascii="Arial" w:hAnsi="Arial" w:cs="Arial"/>
                <w:sz w:val="18"/>
                <w:szCs w:val="18"/>
              </w:rPr>
              <w:t>Arizona</w:t>
            </w:r>
          </w:p>
        </w:tc>
        <w:tc>
          <w:tcPr>
            <w:tcW w:w="1440" w:type="dxa"/>
          </w:tcPr>
          <w:p w14:paraId="61935379" w14:textId="385993C8" w:rsidR="00B5603D" w:rsidRPr="00022F0A" w:rsidRDefault="00B5603D" w:rsidP="00B5603D">
            <w:pPr>
              <w:rPr>
                <w:rFonts w:ascii="Arial" w:hAnsi="Arial" w:cs="Arial"/>
                <w:sz w:val="18"/>
                <w:szCs w:val="18"/>
              </w:rPr>
            </w:pPr>
            <w:r w:rsidRPr="00C967D3">
              <w:rPr>
                <w:rFonts w:ascii="Arial" w:hAnsi="Arial" w:cs="Arial"/>
                <w:sz w:val="18"/>
                <w:szCs w:val="18"/>
              </w:rPr>
              <w:t xml:space="preserve">$6,936,367 </w:t>
            </w:r>
          </w:p>
        </w:tc>
        <w:tc>
          <w:tcPr>
            <w:tcW w:w="1530" w:type="dxa"/>
          </w:tcPr>
          <w:p w14:paraId="6BF638D3" w14:textId="5F872470" w:rsidR="00B5603D" w:rsidRPr="00022F0A" w:rsidRDefault="00B5603D" w:rsidP="00B5603D">
            <w:pPr>
              <w:rPr>
                <w:rFonts w:ascii="Arial" w:hAnsi="Arial" w:cs="Arial"/>
                <w:sz w:val="18"/>
                <w:szCs w:val="18"/>
              </w:rPr>
            </w:pPr>
            <w:r w:rsidRPr="00C967D3">
              <w:rPr>
                <w:rFonts w:ascii="Arial" w:hAnsi="Arial" w:cs="Arial"/>
                <w:sz w:val="18"/>
                <w:szCs w:val="18"/>
              </w:rPr>
              <w:t xml:space="preserve">$9,496,851 </w:t>
            </w:r>
          </w:p>
        </w:tc>
        <w:tc>
          <w:tcPr>
            <w:tcW w:w="1440" w:type="dxa"/>
          </w:tcPr>
          <w:p w14:paraId="5FEED7C2" w14:textId="5E8DD326" w:rsidR="00B5603D" w:rsidRPr="00022F0A" w:rsidRDefault="00B5603D" w:rsidP="00B5603D">
            <w:pPr>
              <w:rPr>
                <w:rFonts w:ascii="Arial" w:hAnsi="Arial" w:cs="Arial"/>
                <w:sz w:val="18"/>
                <w:szCs w:val="18"/>
              </w:rPr>
            </w:pPr>
            <w:r w:rsidRPr="00C967D3">
              <w:rPr>
                <w:rFonts w:ascii="Arial" w:hAnsi="Arial" w:cs="Arial"/>
                <w:sz w:val="18"/>
                <w:szCs w:val="18"/>
              </w:rPr>
              <w:t xml:space="preserve">$4,901,661 </w:t>
            </w:r>
          </w:p>
        </w:tc>
        <w:tc>
          <w:tcPr>
            <w:tcW w:w="1440" w:type="dxa"/>
          </w:tcPr>
          <w:p w14:paraId="68D816E6" w14:textId="01EA3951" w:rsidR="00B5603D" w:rsidRPr="00022F0A" w:rsidRDefault="00B5603D" w:rsidP="00B5603D">
            <w:pPr>
              <w:rPr>
                <w:rFonts w:ascii="Arial" w:hAnsi="Arial" w:cs="Arial"/>
                <w:sz w:val="18"/>
                <w:szCs w:val="18"/>
              </w:rPr>
            </w:pPr>
            <w:r w:rsidRPr="00C967D3">
              <w:rPr>
                <w:rFonts w:ascii="Arial" w:hAnsi="Arial" w:cs="Arial"/>
                <w:sz w:val="18"/>
                <w:szCs w:val="18"/>
              </w:rPr>
              <w:t xml:space="preserve">$391,781 </w:t>
            </w:r>
          </w:p>
        </w:tc>
        <w:tc>
          <w:tcPr>
            <w:tcW w:w="1440" w:type="dxa"/>
          </w:tcPr>
          <w:p w14:paraId="44F36533" w14:textId="11A58A1B" w:rsidR="00B5603D" w:rsidRPr="00022F0A" w:rsidRDefault="00B5603D" w:rsidP="00B5603D">
            <w:pPr>
              <w:rPr>
                <w:rFonts w:ascii="Arial" w:hAnsi="Arial" w:cs="Arial"/>
                <w:sz w:val="18"/>
                <w:szCs w:val="18"/>
              </w:rPr>
            </w:pPr>
            <w:r w:rsidRPr="00C967D3">
              <w:rPr>
                <w:rFonts w:ascii="Arial" w:hAnsi="Arial" w:cs="Arial"/>
                <w:sz w:val="18"/>
                <w:szCs w:val="18"/>
              </w:rPr>
              <w:t xml:space="preserve">$3,406,048 </w:t>
            </w:r>
          </w:p>
        </w:tc>
        <w:tc>
          <w:tcPr>
            <w:tcW w:w="1615" w:type="dxa"/>
          </w:tcPr>
          <w:p w14:paraId="487E21BB" w14:textId="16AFF1B3" w:rsidR="00B5603D" w:rsidRPr="00022F0A" w:rsidRDefault="00B5603D" w:rsidP="00B5603D">
            <w:pPr>
              <w:rPr>
                <w:rFonts w:ascii="Arial" w:hAnsi="Arial" w:cs="Arial"/>
                <w:sz w:val="18"/>
                <w:szCs w:val="18"/>
              </w:rPr>
            </w:pPr>
            <w:r w:rsidRPr="00C967D3">
              <w:rPr>
                <w:rFonts w:ascii="Arial" w:hAnsi="Arial" w:cs="Arial"/>
                <w:sz w:val="18"/>
                <w:szCs w:val="18"/>
              </w:rPr>
              <w:t xml:space="preserve">$25,132,708 </w:t>
            </w:r>
          </w:p>
        </w:tc>
      </w:tr>
      <w:tr w:rsidR="00B5603D" w14:paraId="05C2BE6C" w14:textId="77777777" w:rsidTr="00C91E7A">
        <w:trPr>
          <w:trHeight w:val="20"/>
        </w:trPr>
        <w:tc>
          <w:tcPr>
            <w:tcW w:w="1885" w:type="dxa"/>
          </w:tcPr>
          <w:p w14:paraId="30F2DB94" w14:textId="76D819DE" w:rsidR="00B5603D" w:rsidRPr="00022F0A" w:rsidRDefault="00B5603D" w:rsidP="00B5603D">
            <w:pPr>
              <w:rPr>
                <w:rFonts w:ascii="Arial" w:hAnsi="Arial" w:cs="Arial"/>
                <w:sz w:val="18"/>
                <w:szCs w:val="18"/>
              </w:rPr>
            </w:pPr>
            <w:r w:rsidRPr="00C967D3">
              <w:rPr>
                <w:rFonts w:ascii="Arial" w:hAnsi="Arial" w:cs="Arial"/>
                <w:sz w:val="18"/>
                <w:szCs w:val="18"/>
              </w:rPr>
              <w:t>Arkansas</w:t>
            </w:r>
          </w:p>
        </w:tc>
        <w:tc>
          <w:tcPr>
            <w:tcW w:w="1440" w:type="dxa"/>
          </w:tcPr>
          <w:p w14:paraId="6FDE9388" w14:textId="5B65628B" w:rsidR="00B5603D" w:rsidRPr="00022F0A" w:rsidRDefault="00B5603D" w:rsidP="00B5603D">
            <w:pPr>
              <w:rPr>
                <w:rFonts w:ascii="Arial" w:hAnsi="Arial" w:cs="Arial"/>
                <w:sz w:val="18"/>
                <w:szCs w:val="18"/>
              </w:rPr>
            </w:pPr>
            <w:r w:rsidRPr="00C967D3">
              <w:rPr>
                <w:rFonts w:ascii="Arial" w:hAnsi="Arial" w:cs="Arial"/>
                <w:sz w:val="18"/>
                <w:szCs w:val="18"/>
              </w:rPr>
              <w:t xml:space="preserve">$3,425,288 </w:t>
            </w:r>
          </w:p>
        </w:tc>
        <w:tc>
          <w:tcPr>
            <w:tcW w:w="1530" w:type="dxa"/>
          </w:tcPr>
          <w:p w14:paraId="48CEAF48" w14:textId="5B8242F0" w:rsidR="00B5603D" w:rsidRPr="00022F0A" w:rsidRDefault="00B5603D" w:rsidP="00B5603D">
            <w:pPr>
              <w:rPr>
                <w:rFonts w:ascii="Arial" w:hAnsi="Arial" w:cs="Arial"/>
                <w:sz w:val="18"/>
                <w:szCs w:val="18"/>
              </w:rPr>
            </w:pPr>
            <w:r w:rsidRPr="00C967D3">
              <w:rPr>
                <w:rFonts w:ascii="Arial" w:hAnsi="Arial" w:cs="Arial"/>
                <w:sz w:val="18"/>
                <w:szCs w:val="18"/>
              </w:rPr>
              <w:t xml:space="preserve">$4,121,928 </w:t>
            </w:r>
          </w:p>
        </w:tc>
        <w:tc>
          <w:tcPr>
            <w:tcW w:w="1440" w:type="dxa"/>
          </w:tcPr>
          <w:p w14:paraId="3C274622" w14:textId="2F4EE63A" w:rsidR="00B5603D" w:rsidRPr="00022F0A" w:rsidRDefault="00B5603D" w:rsidP="00B5603D">
            <w:pPr>
              <w:rPr>
                <w:rFonts w:ascii="Arial" w:hAnsi="Arial" w:cs="Arial"/>
                <w:sz w:val="18"/>
                <w:szCs w:val="18"/>
              </w:rPr>
            </w:pPr>
            <w:r w:rsidRPr="00C967D3">
              <w:rPr>
                <w:rFonts w:ascii="Arial" w:hAnsi="Arial" w:cs="Arial"/>
                <w:sz w:val="18"/>
                <w:szCs w:val="18"/>
              </w:rPr>
              <w:t xml:space="preserve">$2,113,944 </w:t>
            </w:r>
          </w:p>
        </w:tc>
        <w:tc>
          <w:tcPr>
            <w:tcW w:w="1440" w:type="dxa"/>
          </w:tcPr>
          <w:p w14:paraId="49BA4C2F" w14:textId="00E30E46" w:rsidR="00B5603D" w:rsidRPr="00022F0A" w:rsidRDefault="00B5603D" w:rsidP="00B5603D">
            <w:pPr>
              <w:rPr>
                <w:rFonts w:ascii="Arial" w:hAnsi="Arial" w:cs="Arial"/>
                <w:sz w:val="18"/>
                <w:szCs w:val="18"/>
              </w:rPr>
            </w:pPr>
            <w:r w:rsidRPr="00C967D3">
              <w:rPr>
                <w:rFonts w:ascii="Arial" w:hAnsi="Arial" w:cs="Arial"/>
                <w:sz w:val="18"/>
                <w:szCs w:val="18"/>
              </w:rPr>
              <w:t xml:space="preserve">$196,188 </w:t>
            </w:r>
          </w:p>
        </w:tc>
        <w:tc>
          <w:tcPr>
            <w:tcW w:w="1440" w:type="dxa"/>
          </w:tcPr>
          <w:p w14:paraId="0B098C02" w14:textId="21A746AF" w:rsidR="00B5603D" w:rsidRPr="00022F0A" w:rsidRDefault="00B5603D" w:rsidP="00B5603D">
            <w:pPr>
              <w:rPr>
                <w:rFonts w:ascii="Arial" w:hAnsi="Arial" w:cs="Arial"/>
                <w:sz w:val="18"/>
                <w:szCs w:val="18"/>
              </w:rPr>
            </w:pPr>
            <w:r w:rsidRPr="00C967D3">
              <w:rPr>
                <w:rFonts w:ascii="Arial" w:hAnsi="Arial" w:cs="Arial"/>
                <w:sz w:val="18"/>
                <w:szCs w:val="18"/>
              </w:rPr>
              <w:t xml:space="preserve">$1,437,065 </w:t>
            </w:r>
          </w:p>
        </w:tc>
        <w:tc>
          <w:tcPr>
            <w:tcW w:w="1615" w:type="dxa"/>
          </w:tcPr>
          <w:p w14:paraId="084CCF8B" w14:textId="294F6458" w:rsidR="00B5603D" w:rsidRPr="00022F0A" w:rsidRDefault="00B5603D" w:rsidP="00B5603D">
            <w:pPr>
              <w:rPr>
                <w:rFonts w:ascii="Arial" w:hAnsi="Arial" w:cs="Arial"/>
                <w:sz w:val="18"/>
                <w:szCs w:val="18"/>
              </w:rPr>
            </w:pPr>
            <w:r w:rsidRPr="00C967D3">
              <w:rPr>
                <w:rFonts w:ascii="Arial" w:hAnsi="Arial" w:cs="Arial"/>
                <w:sz w:val="18"/>
                <w:szCs w:val="18"/>
              </w:rPr>
              <w:t xml:space="preserve">$11,294,413 </w:t>
            </w:r>
          </w:p>
        </w:tc>
      </w:tr>
      <w:tr w:rsidR="00B5603D" w14:paraId="66D30DEC" w14:textId="77777777" w:rsidTr="00C91E7A">
        <w:trPr>
          <w:trHeight w:val="20"/>
        </w:trPr>
        <w:tc>
          <w:tcPr>
            <w:tcW w:w="1885" w:type="dxa"/>
          </w:tcPr>
          <w:p w14:paraId="1B0FEE2F" w14:textId="65C94EDC" w:rsidR="00B5603D" w:rsidRPr="00022F0A" w:rsidRDefault="00B5603D" w:rsidP="00B5603D">
            <w:pPr>
              <w:rPr>
                <w:rFonts w:ascii="Arial" w:hAnsi="Arial" w:cs="Arial"/>
                <w:sz w:val="18"/>
                <w:szCs w:val="18"/>
              </w:rPr>
            </w:pPr>
            <w:r w:rsidRPr="00C967D3">
              <w:rPr>
                <w:rFonts w:ascii="Arial" w:hAnsi="Arial" w:cs="Arial"/>
                <w:sz w:val="18"/>
                <w:szCs w:val="18"/>
              </w:rPr>
              <w:t>California</w:t>
            </w:r>
          </w:p>
        </w:tc>
        <w:tc>
          <w:tcPr>
            <w:tcW w:w="1440" w:type="dxa"/>
          </w:tcPr>
          <w:p w14:paraId="4D313659" w14:textId="76E329AB" w:rsidR="00B5603D" w:rsidRPr="00022F0A" w:rsidRDefault="00B5603D" w:rsidP="00B5603D">
            <w:pPr>
              <w:rPr>
                <w:rFonts w:ascii="Arial" w:hAnsi="Arial" w:cs="Arial"/>
                <w:sz w:val="18"/>
                <w:szCs w:val="18"/>
              </w:rPr>
            </w:pPr>
            <w:r w:rsidRPr="00C967D3">
              <w:rPr>
                <w:rFonts w:ascii="Arial" w:hAnsi="Arial" w:cs="Arial"/>
                <w:sz w:val="18"/>
                <w:szCs w:val="18"/>
              </w:rPr>
              <w:t xml:space="preserve">$33,831,124 </w:t>
            </w:r>
          </w:p>
        </w:tc>
        <w:tc>
          <w:tcPr>
            <w:tcW w:w="1530" w:type="dxa"/>
          </w:tcPr>
          <w:p w14:paraId="73FED3CA" w14:textId="03C28241" w:rsidR="00B5603D" w:rsidRPr="00022F0A" w:rsidRDefault="00B5603D" w:rsidP="00B5603D">
            <w:pPr>
              <w:rPr>
                <w:rFonts w:ascii="Arial" w:hAnsi="Arial" w:cs="Arial"/>
                <w:sz w:val="18"/>
                <w:szCs w:val="18"/>
              </w:rPr>
            </w:pPr>
            <w:r w:rsidRPr="00C967D3">
              <w:rPr>
                <w:rFonts w:ascii="Arial" w:hAnsi="Arial" w:cs="Arial"/>
                <w:sz w:val="18"/>
                <w:szCs w:val="18"/>
              </w:rPr>
              <w:t xml:space="preserve">$45,730,530 </w:t>
            </w:r>
          </w:p>
        </w:tc>
        <w:tc>
          <w:tcPr>
            <w:tcW w:w="1440" w:type="dxa"/>
          </w:tcPr>
          <w:p w14:paraId="120FD5F6" w14:textId="580BB846" w:rsidR="00B5603D" w:rsidRPr="00022F0A" w:rsidRDefault="00B5603D" w:rsidP="00B5603D">
            <w:pPr>
              <w:rPr>
                <w:rFonts w:ascii="Arial" w:hAnsi="Arial" w:cs="Arial"/>
                <w:sz w:val="18"/>
                <w:szCs w:val="18"/>
              </w:rPr>
            </w:pPr>
            <w:r w:rsidRPr="00C967D3">
              <w:rPr>
                <w:rFonts w:ascii="Arial" w:hAnsi="Arial" w:cs="Arial"/>
                <w:sz w:val="18"/>
                <w:szCs w:val="18"/>
              </w:rPr>
              <w:t xml:space="preserve">$23,603,150 </w:t>
            </w:r>
          </w:p>
        </w:tc>
        <w:tc>
          <w:tcPr>
            <w:tcW w:w="1440" w:type="dxa"/>
          </w:tcPr>
          <w:p w14:paraId="048FEF4D" w14:textId="54A94C44" w:rsidR="00B5603D" w:rsidRPr="00022F0A" w:rsidRDefault="00B5603D" w:rsidP="00B5603D">
            <w:pPr>
              <w:rPr>
                <w:rFonts w:ascii="Arial" w:hAnsi="Arial" w:cs="Arial"/>
                <w:sz w:val="18"/>
                <w:szCs w:val="18"/>
              </w:rPr>
            </w:pPr>
            <w:r w:rsidRPr="00C967D3">
              <w:rPr>
                <w:rFonts w:ascii="Arial" w:hAnsi="Arial" w:cs="Arial"/>
                <w:sz w:val="18"/>
                <w:szCs w:val="18"/>
              </w:rPr>
              <w:t xml:space="preserve">$1,976,890 </w:t>
            </w:r>
          </w:p>
        </w:tc>
        <w:tc>
          <w:tcPr>
            <w:tcW w:w="1440" w:type="dxa"/>
          </w:tcPr>
          <w:p w14:paraId="20DC018A" w14:textId="7DDFA9B0" w:rsidR="00B5603D" w:rsidRPr="00022F0A" w:rsidRDefault="00B5603D" w:rsidP="00B5603D">
            <w:pPr>
              <w:rPr>
                <w:rFonts w:ascii="Arial" w:hAnsi="Arial" w:cs="Arial"/>
                <w:sz w:val="18"/>
                <w:szCs w:val="18"/>
              </w:rPr>
            </w:pPr>
            <w:r w:rsidRPr="00C967D3">
              <w:rPr>
                <w:rFonts w:ascii="Arial" w:hAnsi="Arial" w:cs="Arial"/>
                <w:sz w:val="18"/>
                <w:szCs w:val="18"/>
              </w:rPr>
              <w:t xml:space="preserve">$15,484,352 </w:t>
            </w:r>
          </w:p>
        </w:tc>
        <w:tc>
          <w:tcPr>
            <w:tcW w:w="1615" w:type="dxa"/>
          </w:tcPr>
          <w:p w14:paraId="3333D730" w14:textId="087DAEBD" w:rsidR="00B5603D" w:rsidRPr="00022F0A" w:rsidRDefault="00B5603D" w:rsidP="00B5603D">
            <w:pPr>
              <w:rPr>
                <w:rFonts w:ascii="Arial" w:hAnsi="Arial" w:cs="Arial"/>
                <w:sz w:val="18"/>
                <w:szCs w:val="18"/>
              </w:rPr>
            </w:pPr>
            <w:r w:rsidRPr="00C967D3">
              <w:rPr>
                <w:rFonts w:ascii="Arial" w:hAnsi="Arial" w:cs="Arial"/>
                <w:sz w:val="18"/>
                <w:szCs w:val="18"/>
              </w:rPr>
              <w:t xml:space="preserve">$120,626,046 </w:t>
            </w:r>
          </w:p>
        </w:tc>
      </w:tr>
      <w:tr w:rsidR="00B5603D" w14:paraId="4179A343" w14:textId="77777777" w:rsidTr="00C91E7A">
        <w:trPr>
          <w:trHeight w:val="20"/>
        </w:trPr>
        <w:tc>
          <w:tcPr>
            <w:tcW w:w="1885" w:type="dxa"/>
          </w:tcPr>
          <w:p w14:paraId="49CA0D7F" w14:textId="58A54E6B" w:rsidR="00B5603D" w:rsidRPr="00022F0A" w:rsidRDefault="00B5603D" w:rsidP="00B5603D">
            <w:pPr>
              <w:rPr>
                <w:rFonts w:ascii="Arial" w:hAnsi="Arial" w:cs="Arial"/>
                <w:sz w:val="18"/>
                <w:szCs w:val="18"/>
              </w:rPr>
            </w:pPr>
            <w:r w:rsidRPr="00C967D3">
              <w:rPr>
                <w:rFonts w:ascii="Arial" w:hAnsi="Arial" w:cs="Arial"/>
                <w:sz w:val="18"/>
                <w:szCs w:val="18"/>
              </w:rPr>
              <w:t>Colorado</w:t>
            </w:r>
          </w:p>
        </w:tc>
        <w:tc>
          <w:tcPr>
            <w:tcW w:w="1440" w:type="dxa"/>
          </w:tcPr>
          <w:p w14:paraId="67749727" w14:textId="58BE3CD4" w:rsidR="00B5603D" w:rsidRPr="00022F0A" w:rsidRDefault="00B5603D" w:rsidP="00B5603D">
            <w:pPr>
              <w:rPr>
                <w:rFonts w:ascii="Arial" w:hAnsi="Arial" w:cs="Arial"/>
                <w:sz w:val="18"/>
                <w:szCs w:val="18"/>
              </w:rPr>
            </w:pPr>
            <w:r w:rsidRPr="00C967D3">
              <w:rPr>
                <w:rFonts w:ascii="Arial" w:hAnsi="Arial" w:cs="Arial"/>
                <w:sz w:val="18"/>
                <w:szCs w:val="18"/>
              </w:rPr>
              <w:t xml:space="preserve">$4,713,557 </w:t>
            </w:r>
          </w:p>
        </w:tc>
        <w:tc>
          <w:tcPr>
            <w:tcW w:w="1530" w:type="dxa"/>
          </w:tcPr>
          <w:p w14:paraId="7ED7A116" w14:textId="153088AE" w:rsidR="00B5603D" w:rsidRPr="00022F0A" w:rsidRDefault="00B5603D" w:rsidP="00B5603D">
            <w:pPr>
              <w:rPr>
                <w:rFonts w:ascii="Arial" w:hAnsi="Arial" w:cs="Arial"/>
                <w:sz w:val="18"/>
                <w:szCs w:val="18"/>
              </w:rPr>
            </w:pPr>
            <w:r w:rsidRPr="00C967D3">
              <w:rPr>
                <w:rFonts w:ascii="Arial" w:hAnsi="Arial" w:cs="Arial"/>
                <w:sz w:val="18"/>
                <w:szCs w:val="18"/>
              </w:rPr>
              <w:t xml:space="preserve">$6,453,514 </w:t>
            </w:r>
          </w:p>
        </w:tc>
        <w:tc>
          <w:tcPr>
            <w:tcW w:w="1440" w:type="dxa"/>
          </w:tcPr>
          <w:p w14:paraId="314BB4BE" w14:textId="01F831C3" w:rsidR="00B5603D" w:rsidRPr="00022F0A" w:rsidRDefault="00B5603D" w:rsidP="00B5603D">
            <w:pPr>
              <w:rPr>
                <w:rFonts w:ascii="Arial" w:hAnsi="Arial" w:cs="Arial"/>
                <w:sz w:val="18"/>
                <w:szCs w:val="18"/>
              </w:rPr>
            </w:pPr>
            <w:r w:rsidRPr="00C967D3">
              <w:rPr>
                <w:rFonts w:ascii="Arial" w:hAnsi="Arial" w:cs="Arial"/>
                <w:sz w:val="18"/>
                <w:szCs w:val="18"/>
              </w:rPr>
              <w:t xml:space="preserve">$3,330,888 </w:t>
            </w:r>
          </w:p>
        </w:tc>
        <w:tc>
          <w:tcPr>
            <w:tcW w:w="1440" w:type="dxa"/>
          </w:tcPr>
          <w:p w14:paraId="4061984B" w14:textId="2999C24F" w:rsidR="00B5603D" w:rsidRPr="00022F0A" w:rsidRDefault="00B5603D" w:rsidP="00B5603D">
            <w:pPr>
              <w:rPr>
                <w:rFonts w:ascii="Arial" w:hAnsi="Arial" w:cs="Arial"/>
                <w:sz w:val="18"/>
                <w:szCs w:val="18"/>
              </w:rPr>
            </w:pPr>
            <w:r w:rsidRPr="00C967D3">
              <w:rPr>
                <w:rFonts w:ascii="Arial" w:hAnsi="Arial" w:cs="Arial"/>
                <w:sz w:val="18"/>
                <w:szCs w:val="18"/>
              </w:rPr>
              <w:t xml:space="preserve">$266,214 </w:t>
            </w:r>
          </w:p>
        </w:tc>
        <w:tc>
          <w:tcPr>
            <w:tcW w:w="1440" w:type="dxa"/>
          </w:tcPr>
          <w:p w14:paraId="7B1C42B8" w14:textId="0AC01A96" w:rsidR="00B5603D" w:rsidRPr="00022F0A" w:rsidRDefault="00B5603D" w:rsidP="00B5603D">
            <w:pPr>
              <w:rPr>
                <w:rFonts w:ascii="Arial" w:hAnsi="Arial" w:cs="Arial"/>
                <w:sz w:val="18"/>
                <w:szCs w:val="18"/>
              </w:rPr>
            </w:pPr>
            <w:r w:rsidRPr="00C967D3">
              <w:rPr>
                <w:rFonts w:ascii="Arial" w:hAnsi="Arial" w:cs="Arial"/>
                <w:sz w:val="18"/>
                <w:szCs w:val="18"/>
              </w:rPr>
              <w:t xml:space="preserve">$2,027,990 </w:t>
            </w:r>
          </w:p>
        </w:tc>
        <w:tc>
          <w:tcPr>
            <w:tcW w:w="1615" w:type="dxa"/>
          </w:tcPr>
          <w:p w14:paraId="06388602" w14:textId="06C8945C" w:rsidR="00B5603D" w:rsidRPr="00022F0A" w:rsidRDefault="00B5603D" w:rsidP="00B5603D">
            <w:pPr>
              <w:rPr>
                <w:rFonts w:ascii="Arial" w:hAnsi="Arial" w:cs="Arial"/>
                <w:sz w:val="18"/>
                <w:szCs w:val="18"/>
              </w:rPr>
            </w:pPr>
            <w:r w:rsidRPr="00C967D3">
              <w:rPr>
                <w:rFonts w:ascii="Arial" w:hAnsi="Arial" w:cs="Arial"/>
                <w:sz w:val="18"/>
                <w:szCs w:val="18"/>
              </w:rPr>
              <w:t xml:space="preserve">$16,792,163 </w:t>
            </w:r>
          </w:p>
        </w:tc>
      </w:tr>
      <w:tr w:rsidR="00B5603D" w14:paraId="097EDFDA" w14:textId="77777777" w:rsidTr="00C91E7A">
        <w:trPr>
          <w:trHeight w:val="20"/>
        </w:trPr>
        <w:tc>
          <w:tcPr>
            <w:tcW w:w="1885" w:type="dxa"/>
          </w:tcPr>
          <w:p w14:paraId="72792571" w14:textId="57F032CF" w:rsidR="00B5603D" w:rsidRPr="00022F0A" w:rsidRDefault="00B5603D" w:rsidP="00B5603D">
            <w:pPr>
              <w:rPr>
                <w:rFonts w:ascii="Arial" w:hAnsi="Arial" w:cs="Arial"/>
                <w:sz w:val="18"/>
                <w:szCs w:val="18"/>
              </w:rPr>
            </w:pPr>
            <w:r w:rsidRPr="00C967D3">
              <w:rPr>
                <w:rFonts w:ascii="Arial" w:hAnsi="Arial" w:cs="Arial"/>
                <w:sz w:val="18"/>
                <w:szCs w:val="18"/>
              </w:rPr>
              <w:t>Connecticut</w:t>
            </w:r>
          </w:p>
        </w:tc>
        <w:tc>
          <w:tcPr>
            <w:tcW w:w="1440" w:type="dxa"/>
          </w:tcPr>
          <w:p w14:paraId="2C9E53AB" w14:textId="34DA218A" w:rsidR="00B5603D" w:rsidRPr="00022F0A" w:rsidRDefault="00B5603D" w:rsidP="00B5603D">
            <w:pPr>
              <w:rPr>
                <w:rFonts w:ascii="Arial" w:hAnsi="Arial" w:cs="Arial"/>
                <w:sz w:val="18"/>
                <w:szCs w:val="18"/>
              </w:rPr>
            </w:pPr>
            <w:r w:rsidRPr="00C967D3">
              <w:rPr>
                <w:rFonts w:ascii="Arial" w:hAnsi="Arial" w:cs="Arial"/>
                <w:sz w:val="18"/>
                <w:szCs w:val="18"/>
              </w:rPr>
              <w:t xml:space="preserve">$4,309,094 </w:t>
            </w:r>
          </w:p>
        </w:tc>
        <w:tc>
          <w:tcPr>
            <w:tcW w:w="1530" w:type="dxa"/>
          </w:tcPr>
          <w:p w14:paraId="50FC8516" w14:textId="2F458C04" w:rsidR="00B5603D" w:rsidRPr="00022F0A" w:rsidRDefault="00B5603D" w:rsidP="00B5603D">
            <w:pPr>
              <w:rPr>
                <w:rFonts w:ascii="Arial" w:hAnsi="Arial" w:cs="Arial"/>
                <w:sz w:val="18"/>
                <w:szCs w:val="18"/>
              </w:rPr>
            </w:pPr>
            <w:r w:rsidRPr="00C967D3">
              <w:rPr>
                <w:rFonts w:ascii="Arial" w:hAnsi="Arial" w:cs="Arial"/>
                <w:sz w:val="18"/>
                <w:szCs w:val="18"/>
              </w:rPr>
              <w:t xml:space="preserve">$5,189,037 </w:t>
            </w:r>
          </w:p>
        </w:tc>
        <w:tc>
          <w:tcPr>
            <w:tcW w:w="1440" w:type="dxa"/>
          </w:tcPr>
          <w:p w14:paraId="028A7F27" w14:textId="1A1949FA" w:rsidR="00B5603D" w:rsidRPr="00022F0A" w:rsidRDefault="00B5603D" w:rsidP="00B5603D">
            <w:pPr>
              <w:rPr>
                <w:rFonts w:ascii="Arial" w:hAnsi="Arial" w:cs="Arial"/>
                <w:sz w:val="18"/>
                <w:szCs w:val="18"/>
              </w:rPr>
            </w:pPr>
            <w:r w:rsidRPr="00C967D3">
              <w:rPr>
                <w:rFonts w:ascii="Arial" w:hAnsi="Arial" w:cs="Arial"/>
                <w:sz w:val="18"/>
                <w:szCs w:val="18"/>
              </w:rPr>
              <w:t xml:space="preserve">$2,555,699 </w:t>
            </w:r>
          </w:p>
        </w:tc>
        <w:tc>
          <w:tcPr>
            <w:tcW w:w="1440" w:type="dxa"/>
          </w:tcPr>
          <w:p w14:paraId="163CACB3" w14:textId="5737AB19" w:rsidR="00B5603D" w:rsidRPr="00022F0A" w:rsidRDefault="00B5603D" w:rsidP="00B5603D">
            <w:pPr>
              <w:rPr>
                <w:rFonts w:ascii="Arial" w:hAnsi="Arial" w:cs="Arial"/>
                <w:sz w:val="18"/>
                <w:szCs w:val="18"/>
              </w:rPr>
            </w:pPr>
            <w:r w:rsidRPr="00C967D3">
              <w:rPr>
                <w:rFonts w:ascii="Arial" w:hAnsi="Arial" w:cs="Arial"/>
                <w:sz w:val="18"/>
                <w:szCs w:val="18"/>
              </w:rPr>
              <w:t xml:space="preserve">$242,170 </w:t>
            </w:r>
          </w:p>
        </w:tc>
        <w:tc>
          <w:tcPr>
            <w:tcW w:w="1440" w:type="dxa"/>
          </w:tcPr>
          <w:p w14:paraId="30BA04FB" w14:textId="0DABCF87" w:rsidR="00B5603D" w:rsidRPr="00022F0A" w:rsidRDefault="00B5603D" w:rsidP="00B5603D">
            <w:pPr>
              <w:rPr>
                <w:rFonts w:ascii="Arial" w:hAnsi="Arial" w:cs="Arial"/>
                <w:sz w:val="18"/>
                <w:szCs w:val="18"/>
              </w:rPr>
            </w:pPr>
            <w:r w:rsidRPr="00C967D3">
              <w:rPr>
                <w:rFonts w:ascii="Arial" w:hAnsi="Arial" w:cs="Arial"/>
                <w:sz w:val="18"/>
                <w:szCs w:val="18"/>
              </w:rPr>
              <w:t xml:space="preserve">$1,730,978 </w:t>
            </w:r>
          </w:p>
        </w:tc>
        <w:tc>
          <w:tcPr>
            <w:tcW w:w="1615" w:type="dxa"/>
          </w:tcPr>
          <w:p w14:paraId="6B5DD345" w14:textId="134521AC" w:rsidR="00B5603D" w:rsidRPr="00022F0A" w:rsidRDefault="00B5603D" w:rsidP="00B5603D">
            <w:pPr>
              <w:rPr>
                <w:rFonts w:ascii="Arial" w:hAnsi="Arial" w:cs="Arial"/>
                <w:sz w:val="18"/>
                <w:szCs w:val="18"/>
              </w:rPr>
            </w:pPr>
            <w:r w:rsidRPr="00C967D3">
              <w:rPr>
                <w:rFonts w:ascii="Arial" w:hAnsi="Arial" w:cs="Arial"/>
                <w:sz w:val="18"/>
                <w:szCs w:val="18"/>
              </w:rPr>
              <w:t xml:space="preserve">$14,026,978 </w:t>
            </w:r>
          </w:p>
        </w:tc>
      </w:tr>
      <w:tr w:rsidR="00B5603D" w14:paraId="762B20E5" w14:textId="77777777" w:rsidTr="00C91E7A">
        <w:trPr>
          <w:trHeight w:val="20"/>
        </w:trPr>
        <w:tc>
          <w:tcPr>
            <w:tcW w:w="1885" w:type="dxa"/>
          </w:tcPr>
          <w:p w14:paraId="635E6351" w14:textId="5E297CBA" w:rsidR="00B5603D" w:rsidRPr="00022F0A" w:rsidRDefault="00B5603D" w:rsidP="00B5603D">
            <w:pPr>
              <w:rPr>
                <w:rFonts w:ascii="Arial" w:hAnsi="Arial" w:cs="Arial"/>
                <w:sz w:val="18"/>
                <w:szCs w:val="18"/>
              </w:rPr>
            </w:pPr>
            <w:r w:rsidRPr="00C967D3">
              <w:rPr>
                <w:rFonts w:ascii="Arial" w:hAnsi="Arial" w:cs="Arial"/>
                <w:sz w:val="18"/>
                <w:szCs w:val="18"/>
              </w:rPr>
              <w:t>Delaware</w:t>
            </w:r>
          </w:p>
        </w:tc>
        <w:tc>
          <w:tcPr>
            <w:tcW w:w="1440" w:type="dxa"/>
          </w:tcPr>
          <w:p w14:paraId="37151250" w14:textId="78A2E314" w:rsidR="00B5603D" w:rsidRPr="00022F0A" w:rsidRDefault="00B5603D" w:rsidP="00B5603D">
            <w:pPr>
              <w:rPr>
                <w:rFonts w:ascii="Arial" w:hAnsi="Arial" w:cs="Arial"/>
                <w:sz w:val="18"/>
                <w:szCs w:val="18"/>
              </w:rPr>
            </w:pPr>
            <w:r w:rsidRPr="00C967D3">
              <w:rPr>
                <w:rFonts w:ascii="Arial" w:hAnsi="Arial" w:cs="Arial"/>
                <w:sz w:val="18"/>
                <w:szCs w:val="18"/>
              </w:rPr>
              <w:t xml:space="preserve">$1,736,115 </w:t>
            </w:r>
          </w:p>
        </w:tc>
        <w:tc>
          <w:tcPr>
            <w:tcW w:w="1530" w:type="dxa"/>
          </w:tcPr>
          <w:p w14:paraId="3E6C5284" w14:textId="1BEE6B9B" w:rsidR="00B5603D" w:rsidRPr="00022F0A" w:rsidRDefault="00B5603D" w:rsidP="00B5603D">
            <w:pPr>
              <w:rPr>
                <w:rFonts w:ascii="Arial" w:hAnsi="Arial" w:cs="Arial"/>
                <w:sz w:val="18"/>
                <w:szCs w:val="18"/>
              </w:rPr>
            </w:pPr>
            <w:r w:rsidRPr="00C967D3">
              <w:rPr>
                <w:rFonts w:ascii="Arial" w:hAnsi="Arial" w:cs="Arial"/>
                <w:sz w:val="18"/>
                <w:szCs w:val="18"/>
              </w:rPr>
              <w:t xml:space="preserve">$2,229,088 </w:t>
            </w:r>
          </w:p>
        </w:tc>
        <w:tc>
          <w:tcPr>
            <w:tcW w:w="1440" w:type="dxa"/>
          </w:tcPr>
          <w:p w14:paraId="5CA6686B" w14:textId="24A2DE2B" w:rsidR="00B5603D" w:rsidRPr="00022F0A" w:rsidRDefault="00B5603D" w:rsidP="00B5603D">
            <w:pPr>
              <w:rPr>
                <w:rFonts w:ascii="Arial" w:hAnsi="Arial" w:cs="Arial"/>
                <w:sz w:val="18"/>
                <w:szCs w:val="18"/>
              </w:rPr>
            </w:pPr>
            <w:r w:rsidRPr="00C967D3">
              <w:rPr>
                <w:rFonts w:ascii="Arial" w:hAnsi="Arial" w:cs="Arial"/>
                <w:sz w:val="18"/>
                <w:szCs w:val="18"/>
              </w:rPr>
              <w:t xml:space="preserve">$1,125,270 </w:t>
            </w:r>
          </w:p>
        </w:tc>
        <w:tc>
          <w:tcPr>
            <w:tcW w:w="1440" w:type="dxa"/>
          </w:tcPr>
          <w:p w14:paraId="7700C23C" w14:textId="1731EEB1" w:rsidR="00B5603D" w:rsidRPr="00022F0A" w:rsidRDefault="00B5603D" w:rsidP="00B5603D">
            <w:pPr>
              <w:rPr>
                <w:rFonts w:ascii="Arial" w:hAnsi="Arial" w:cs="Arial"/>
                <w:sz w:val="18"/>
                <w:szCs w:val="18"/>
              </w:rPr>
            </w:pPr>
            <w:r w:rsidRPr="00C967D3">
              <w:rPr>
                <w:rFonts w:ascii="Arial" w:hAnsi="Arial" w:cs="Arial"/>
                <w:sz w:val="18"/>
                <w:szCs w:val="18"/>
              </w:rPr>
              <w:t xml:space="preserve">$98,321 </w:t>
            </w:r>
          </w:p>
        </w:tc>
        <w:tc>
          <w:tcPr>
            <w:tcW w:w="1440" w:type="dxa"/>
          </w:tcPr>
          <w:p w14:paraId="7328712E" w14:textId="719EB252" w:rsidR="00B5603D" w:rsidRPr="00022F0A" w:rsidRDefault="00B5603D" w:rsidP="00B5603D">
            <w:pPr>
              <w:rPr>
                <w:rFonts w:ascii="Arial" w:hAnsi="Arial" w:cs="Arial"/>
                <w:sz w:val="18"/>
                <w:szCs w:val="18"/>
              </w:rPr>
            </w:pPr>
            <w:r w:rsidRPr="00C967D3">
              <w:rPr>
                <w:rFonts w:ascii="Arial" w:hAnsi="Arial" w:cs="Arial"/>
                <w:sz w:val="18"/>
                <w:szCs w:val="18"/>
              </w:rPr>
              <w:t xml:space="preserve">$746,423 </w:t>
            </w:r>
          </w:p>
        </w:tc>
        <w:tc>
          <w:tcPr>
            <w:tcW w:w="1615" w:type="dxa"/>
          </w:tcPr>
          <w:p w14:paraId="718AD570" w14:textId="702BF291" w:rsidR="00B5603D" w:rsidRPr="00022F0A" w:rsidRDefault="00B5603D" w:rsidP="00B5603D">
            <w:pPr>
              <w:rPr>
                <w:rFonts w:ascii="Arial" w:hAnsi="Arial" w:cs="Arial"/>
                <w:sz w:val="18"/>
                <w:szCs w:val="18"/>
              </w:rPr>
            </w:pPr>
            <w:r w:rsidRPr="00C967D3">
              <w:rPr>
                <w:rFonts w:ascii="Arial" w:hAnsi="Arial" w:cs="Arial"/>
                <w:sz w:val="18"/>
                <w:szCs w:val="18"/>
              </w:rPr>
              <w:t xml:space="preserve">$5,935,217 </w:t>
            </w:r>
          </w:p>
        </w:tc>
      </w:tr>
      <w:tr w:rsidR="00B5603D" w14:paraId="03B89CA3" w14:textId="77777777" w:rsidTr="00C91E7A">
        <w:trPr>
          <w:trHeight w:val="20"/>
        </w:trPr>
        <w:tc>
          <w:tcPr>
            <w:tcW w:w="1885" w:type="dxa"/>
          </w:tcPr>
          <w:p w14:paraId="6F99F117" w14:textId="61058B67" w:rsidR="00B5603D" w:rsidRPr="00022F0A" w:rsidRDefault="00B5603D" w:rsidP="00B5603D">
            <w:pPr>
              <w:rPr>
                <w:rFonts w:ascii="Arial" w:hAnsi="Arial" w:cs="Arial"/>
                <w:sz w:val="18"/>
                <w:szCs w:val="18"/>
              </w:rPr>
            </w:pPr>
            <w:r w:rsidRPr="00C967D3">
              <w:rPr>
                <w:rFonts w:ascii="Arial" w:hAnsi="Arial" w:cs="Arial"/>
                <w:sz w:val="18"/>
                <w:szCs w:val="18"/>
              </w:rPr>
              <w:t>District of Columbia</w:t>
            </w:r>
          </w:p>
        </w:tc>
        <w:tc>
          <w:tcPr>
            <w:tcW w:w="1440" w:type="dxa"/>
          </w:tcPr>
          <w:p w14:paraId="7FC301F4" w14:textId="2CC1C975" w:rsidR="00B5603D" w:rsidRPr="00022F0A" w:rsidRDefault="00B5603D" w:rsidP="00B5603D">
            <w:pPr>
              <w:rPr>
                <w:rFonts w:ascii="Arial" w:hAnsi="Arial" w:cs="Arial"/>
                <w:sz w:val="18"/>
                <w:szCs w:val="18"/>
              </w:rPr>
            </w:pPr>
            <w:r w:rsidRPr="00C967D3">
              <w:rPr>
                <w:rFonts w:ascii="Arial" w:hAnsi="Arial" w:cs="Arial"/>
                <w:sz w:val="18"/>
                <w:szCs w:val="18"/>
              </w:rPr>
              <w:t xml:space="preserve">$1,736,115 </w:t>
            </w:r>
          </w:p>
        </w:tc>
        <w:tc>
          <w:tcPr>
            <w:tcW w:w="1530" w:type="dxa"/>
          </w:tcPr>
          <w:p w14:paraId="772EDE8E" w14:textId="215A5B95" w:rsidR="00B5603D" w:rsidRPr="00022F0A" w:rsidRDefault="00B5603D" w:rsidP="00B5603D">
            <w:pPr>
              <w:rPr>
                <w:rFonts w:ascii="Arial" w:hAnsi="Arial" w:cs="Arial"/>
                <w:sz w:val="18"/>
                <w:szCs w:val="18"/>
              </w:rPr>
            </w:pPr>
            <w:r w:rsidRPr="00C967D3">
              <w:rPr>
                <w:rFonts w:ascii="Arial" w:hAnsi="Arial" w:cs="Arial"/>
                <w:sz w:val="18"/>
                <w:szCs w:val="18"/>
              </w:rPr>
              <w:t xml:space="preserve">$2,229,088 </w:t>
            </w:r>
          </w:p>
        </w:tc>
        <w:tc>
          <w:tcPr>
            <w:tcW w:w="1440" w:type="dxa"/>
          </w:tcPr>
          <w:p w14:paraId="5C1CE399" w14:textId="227820F2" w:rsidR="00B5603D" w:rsidRPr="00022F0A" w:rsidRDefault="00B5603D" w:rsidP="00B5603D">
            <w:pPr>
              <w:rPr>
                <w:rFonts w:ascii="Arial" w:hAnsi="Arial" w:cs="Arial"/>
                <w:sz w:val="18"/>
                <w:szCs w:val="18"/>
              </w:rPr>
            </w:pPr>
            <w:r w:rsidRPr="00C967D3">
              <w:rPr>
                <w:rFonts w:ascii="Arial" w:hAnsi="Arial" w:cs="Arial"/>
                <w:sz w:val="18"/>
                <w:szCs w:val="18"/>
              </w:rPr>
              <w:t xml:space="preserve">$1,125,270 </w:t>
            </w:r>
          </w:p>
        </w:tc>
        <w:tc>
          <w:tcPr>
            <w:tcW w:w="1440" w:type="dxa"/>
          </w:tcPr>
          <w:p w14:paraId="5B5441B7" w14:textId="7594B821" w:rsidR="00B5603D" w:rsidRPr="00022F0A" w:rsidRDefault="00B5603D" w:rsidP="00B5603D">
            <w:pPr>
              <w:rPr>
                <w:rFonts w:ascii="Arial" w:hAnsi="Arial" w:cs="Arial"/>
                <w:sz w:val="18"/>
                <w:szCs w:val="18"/>
              </w:rPr>
            </w:pPr>
            <w:r w:rsidRPr="00C967D3">
              <w:rPr>
                <w:rFonts w:ascii="Arial" w:hAnsi="Arial" w:cs="Arial"/>
                <w:sz w:val="18"/>
                <w:szCs w:val="18"/>
              </w:rPr>
              <w:t xml:space="preserve">$98,321 </w:t>
            </w:r>
          </w:p>
        </w:tc>
        <w:tc>
          <w:tcPr>
            <w:tcW w:w="1440" w:type="dxa"/>
          </w:tcPr>
          <w:p w14:paraId="4A6A0137" w14:textId="6568D07C" w:rsidR="00B5603D" w:rsidRPr="00022F0A" w:rsidRDefault="00B5603D" w:rsidP="00B5603D">
            <w:pPr>
              <w:rPr>
                <w:rFonts w:ascii="Arial" w:hAnsi="Arial" w:cs="Arial"/>
                <w:sz w:val="18"/>
                <w:szCs w:val="18"/>
              </w:rPr>
            </w:pPr>
            <w:r w:rsidRPr="00C967D3">
              <w:rPr>
                <w:rFonts w:ascii="Arial" w:hAnsi="Arial" w:cs="Arial"/>
                <w:sz w:val="18"/>
                <w:szCs w:val="18"/>
              </w:rPr>
              <w:t xml:space="preserve">$746,423 </w:t>
            </w:r>
          </w:p>
        </w:tc>
        <w:tc>
          <w:tcPr>
            <w:tcW w:w="1615" w:type="dxa"/>
          </w:tcPr>
          <w:p w14:paraId="5FBD7EDC" w14:textId="011300B0" w:rsidR="00B5603D" w:rsidRPr="00022F0A" w:rsidRDefault="00B5603D" w:rsidP="00B5603D">
            <w:pPr>
              <w:rPr>
                <w:rFonts w:ascii="Arial" w:hAnsi="Arial" w:cs="Arial"/>
                <w:sz w:val="18"/>
                <w:szCs w:val="18"/>
              </w:rPr>
            </w:pPr>
            <w:r w:rsidRPr="00C967D3">
              <w:rPr>
                <w:rFonts w:ascii="Arial" w:hAnsi="Arial" w:cs="Arial"/>
                <w:sz w:val="18"/>
                <w:szCs w:val="18"/>
              </w:rPr>
              <w:t xml:space="preserve">$5,935,217 </w:t>
            </w:r>
          </w:p>
        </w:tc>
      </w:tr>
      <w:tr w:rsidR="00B5603D" w14:paraId="149016ED" w14:textId="77777777" w:rsidTr="00C91E7A">
        <w:trPr>
          <w:trHeight w:val="20"/>
        </w:trPr>
        <w:tc>
          <w:tcPr>
            <w:tcW w:w="1885" w:type="dxa"/>
          </w:tcPr>
          <w:p w14:paraId="5C5DBD1B" w14:textId="510E1908" w:rsidR="00B5603D" w:rsidRPr="00022F0A" w:rsidRDefault="00B5603D" w:rsidP="00B5603D">
            <w:pPr>
              <w:rPr>
                <w:rFonts w:ascii="Arial" w:hAnsi="Arial" w:cs="Arial"/>
                <w:sz w:val="18"/>
                <w:szCs w:val="18"/>
              </w:rPr>
            </w:pPr>
            <w:r w:rsidRPr="00C967D3">
              <w:rPr>
                <w:rFonts w:ascii="Arial" w:hAnsi="Arial" w:cs="Arial"/>
                <w:sz w:val="18"/>
                <w:szCs w:val="18"/>
              </w:rPr>
              <w:t>Florida</w:t>
            </w:r>
          </w:p>
        </w:tc>
        <w:tc>
          <w:tcPr>
            <w:tcW w:w="1440" w:type="dxa"/>
          </w:tcPr>
          <w:p w14:paraId="132C8EE0" w14:textId="24E3317C" w:rsidR="00B5603D" w:rsidRPr="00022F0A" w:rsidRDefault="00B5603D" w:rsidP="00B5603D">
            <w:pPr>
              <w:rPr>
                <w:rFonts w:ascii="Arial" w:hAnsi="Arial" w:cs="Arial"/>
                <w:sz w:val="18"/>
                <w:szCs w:val="18"/>
              </w:rPr>
            </w:pPr>
            <w:r w:rsidRPr="00C967D3">
              <w:rPr>
                <w:rFonts w:ascii="Arial" w:hAnsi="Arial" w:cs="Arial"/>
                <w:sz w:val="18"/>
                <w:szCs w:val="18"/>
              </w:rPr>
              <w:t xml:space="preserve">$24,715,567 </w:t>
            </w:r>
          </w:p>
        </w:tc>
        <w:tc>
          <w:tcPr>
            <w:tcW w:w="1530" w:type="dxa"/>
          </w:tcPr>
          <w:p w14:paraId="2F71E797" w14:textId="3AEE1E5D" w:rsidR="00B5603D" w:rsidRPr="00022F0A" w:rsidRDefault="00B5603D" w:rsidP="00B5603D">
            <w:pPr>
              <w:rPr>
                <w:rFonts w:ascii="Arial" w:hAnsi="Arial" w:cs="Arial"/>
                <w:sz w:val="18"/>
                <w:szCs w:val="18"/>
              </w:rPr>
            </w:pPr>
            <w:r w:rsidRPr="00C967D3">
              <w:rPr>
                <w:rFonts w:ascii="Arial" w:hAnsi="Arial" w:cs="Arial"/>
                <w:sz w:val="18"/>
                <w:szCs w:val="18"/>
              </w:rPr>
              <w:t xml:space="preserve">$32,559,130 </w:t>
            </w:r>
          </w:p>
        </w:tc>
        <w:tc>
          <w:tcPr>
            <w:tcW w:w="1440" w:type="dxa"/>
          </w:tcPr>
          <w:p w14:paraId="3FCE58E2" w14:textId="5C0FB817" w:rsidR="00B5603D" w:rsidRPr="00022F0A" w:rsidRDefault="00B5603D" w:rsidP="00B5603D">
            <w:pPr>
              <w:rPr>
                <w:rFonts w:ascii="Arial" w:hAnsi="Arial" w:cs="Arial"/>
                <w:sz w:val="18"/>
                <w:szCs w:val="18"/>
              </w:rPr>
            </w:pPr>
            <w:r w:rsidRPr="00C967D3">
              <w:rPr>
                <w:rFonts w:ascii="Arial" w:hAnsi="Arial" w:cs="Arial"/>
                <w:sz w:val="18"/>
                <w:szCs w:val="18"/>
              </w:rPr>
              <w:t xml:space="preserve">$16,804,923 </w:t>
            </w:r>
          </w:p>
        </w:tc>
        <w:tc>
          <w:tcPr>
            <w:tcW w:w="1440" w:type="dxa"/>
          </w:tcPr>
          <w:p w14:paraId="6A34A573" w14:textId="6216302E" w:rsidR="00B5603D" w:rsidRPr="00022F0A" w:rsidRDefault="00B5603D" w:rsidP="00B5603D">
            <w:pPr>
              <w:rPr>
                <w:rFonts w:ascii="Arial" w:hAnsi="Arial" w:cs="Arial"/>
                <w:sz w:val="18"/>
                <w:szCs w:val="18"/>
              </w:rPr>
            </w:pPr>
            <w:r w:rsidRPr="00C967D3">
              <w:rPr>
                <w:rFonts w:ascii="Arial" w:hAnsi="Arial" w:cs="Arial"/>
                <w:sz w:val="18"/>
                <w:szCs w:val="18"/>
              </w:rPr>
              <w:t xml:space="preserve">$1,444,234 </w:t>
            </w:r>
          </w:p>
        </w:tc>
        <w:tc>
          <w:tcPr>
            <w:tcW w:w="1440" w:type="dxa"/>
          </w:tcPr>
          <w:p w14:paraId="00BC1455" w14:textId="08434F26" w:rsidR="00B5603D" w:rsidRPr="00022F0A" w:rsidRDefault="00B5603D" w:rsidP="00B5603D">
            <w:pPr>
              <w:rPr>
                <w:rFonts w:ascii="Arial" w:hAnsi="Arial" w:cs="Arial"/>
                <w:sz w:val="18"/>
                <w:szCs w:val="18"/>
              </w:rPr>
            </w:pPr>
            <w:r w:rsidRPr="00C967D3">
              <w:rPr>
                <w:rFonts w:ascii="Arial" w:hAnsi="Arial" w:cs="Arial"/>
                <w:sz w:val="18"/>
                <w:szCs w:val="18"/>
              </w:rPr>
              <w:t xml:space="preserve">$12,289,080 </w:t>
            </w:r>
          </w:p>
        </w:tc>
        <w:tc>
          <w:tcPr>
            <w:tcW w:w="1615" w:type="dxa"/>
          </w:tcPr>
          <w:p w14:paraId="4A64B567" w14:textId="194010A4" w:rsidR="00B5603D" w:rsidRPr="00022F0A" w:rsidRDefault="00B5603D" w:rsidP="00B5603D">
            <w:pPr>
              <w:rPr>
                <w:rFonts w:ascii="Arial" w:hAnsi="Arial" w:cs="Arial"/>
                <w:sz w:val="18"/>
                <w:szCs w:val="18"/>
              </w:rPr>
            </w:pPr>
            <w:r w:rsidRPr="00C967D3">
              <w:rPr>
                <w:rFonts w:ascii="Arial" w:hAnsi="Arial" w:cs="Arial"/>
                <w:sz w:val="18"/>
                <w:szCs w:val="18"/>
              </w:rPr>
              <w:t xml:space="preserve">$87,812,934 </w:t>
            </w:r>
          </w:p>
        </w:tc>
      </w:tr>
      <w:tr w:rsidR="00B5603D" w14:paraId="2E5337E8" w14:textId="77777777" w:rsidTr="00C91E7A">
        <w:trPr>
          <w:trHeight w:val="20"/>
        </w:trPr>
        <w:tc>
          <w:tcPr>
            <w:tcW w:w="1885" w:type="dxa"/>
          </w:tcPr>
          <w:p w14:paraId="76CC2D41" w14:textId="49CB2105" w:rsidR="00B5603D" w:rsidRPr="00022F0A" w:rsidRDefault="00B5603D" w:rsidP="00B5603D">
            <w:pPr>
              <w:rPr>
                <w:rFonts w:ascii="Arial" w:hAnsi="Arial" w:cs="Arial"/>
                <w:sz w:val="18"/>
                <w:szCs w:val="18"/>
              </w:rPr>
            </w:pPr>
            <w:r w:rsidRPr="00C967D3">
              <w:rPr>
                <w:rFonts w:ascii="Arial" w:hAnsi="Arial" w:cs="Arial"/>
                <w:sz w:val="18"/>
                <w:szCs w:val="18"/>
              </w:rPr>
              <w:t>Georgia</w:t>
            </w:r>
          </w:p>
        </w:tc>
        <w:tc>
          <w:tcPr>
            <w:tcW w:w="1440" w:type="dxa"/>
          </w:tcPr>
          <w:p w14:paraId="11F1086F" w14:textId="10BE9490" w:rsidR="00B5603D" w:rsidRPr="00022F0A" w:rsidRDefault="00B5603D" w:rsidP="00B5603D">
            <w:pPr>
              <w:rPr>
                <w:rFonts w:ascii="Arial" w:hAnsi="Arial" w:cs="Arial"/>
                <w:sz w:val="18"/>
                <w:szCs w:val="18"/>
              </w:rPr>
            </w:pPr>
            <w:r w:rsidRPr="00C967D3">
              <w:rPr>
                <w:rFonts w:ascii="Arial" w:hAnsi="Arial" w:cs="Arial"/>
                <w:sz w:val="18"/>
                <w:szCs w:val="18"/>
              </w:rPr>
              <w:t xml:space="preserve">$8,496,385 </w:t>
            </w:r>
          </w:p>
        </w:tc>
        <w:tc>
          <w:tcPr>
            <w:tcW w:w="1530" w:type="dxa"/>
          </w:tcPr>
          <w:p w14:paraId="66DD3A80" w14:textId="7A560052" w:rsidR="00B5603D" w:rsidRPr="00022F0A" w:rsidRDefault="00B5603D" w:rsidP="00B5603D">
            <w:pPr>
              <w:rPr>
                <w:rFonts w:ascii="Arial" w:hAnsi="Arial" w:cs="Arial"/>
                <w:sz w:val="18"/>
                <w:szCs w:val="18"/>
              </w:rPr>
            </w:pPr>
            <w:r w:rsidRPr="00C967D3">
              <w:rPr>
                <w:rFonts w:ascii="Arial" w:hAnsi="Arial" w:cs="Arial"/>
                <w:sz w:val="18"/>
                <w:szCs w:val="18"/>
              </w:rPr>
              <w:t xml:space="preserve">$11,632,730 </w:t>
            </w:r>
          </w:p>
        </w:tc>
        <w:tc>
          <w:tcPr>
            <w:tcW w:w="1440" w:type="dxa"/>
          </w:tcPr>
          <w:p w14:paraId="501A38D6" w14:textId="505749D7" w:rsidR="00B5603D" w:rsidRPr="00022F0A" w:rsidRDefault="00B5603D" w:rsidP="00B5603D">
            <w:pPr>
              <w:rPr>
                <w:rFonts w:ascii="Arial" w:hAnsi="Arial" w:cs="Arial"/>
                <w:sz w:val="18"/>
                <w:szCs w:val="18"/>
              </w:rPr>
            </w:pPr>
            <w:r w:rsidRPr="00C967D3">
              <w:rPr>
                <w:rFonts w:ascii="Arial" w:hAnsi="Arial" w:cs="Arial"/>
                <w:sz w:val="18"/>
                <w:szCs w:val="18"/>
              </w:rPr>
              <w:t xml:space="preserve">$6,004,065 </w:t>
            </w:r>
          </w:p>
        </w:tc>
        <w:tc>
          <w:tcPr>
            <w:tcW w:w="1440" w:type="dxa"/>
          </w:tcPr>
          <w:p w14:paraId="190338A5" w14:textId="3FB8A747" w:rsidR="00B5603D" w:rsidRPr="00022F0A" w:rsidRDefault="00B5603D" w:rsidP="00B5603D">
            <w:pPr>
              <w:rPr>
                <w:rFonts w:ascii="Arial" w:hAnsi="Arial" w:cs="Arial"/>
                <w:sz w:val="18"/>
                <w:szCs w:val="18"/>
              </w:rPr>
            </w:pPr>
            <w:r w:rsidRPr="00C967D3">
              <w:rPr>
                <w:rFonts w:ascii="Arial" w:hAnsi="Arial" w:cs="Arial"/>
                <w:sz w:val="18"/>
                <w:szCs w:val="18"/>
              </w:rPr>
              <w:t xml:space="preserve">$479,862 </w:t>
            </w:r>
          </w:p>
        </w:tc>
        <w:tc>
          <w:tcPr>
            <w:tcW w:w="1440" w:type="dxa"/>
          </w:tcPr>
          <w:p w14:paraId="2BA0CFAF" w14:textId="29F63765" w:rsidR="00B5603D" w:rsidRPr="00022F0A" w:rsidRDefault="00B5603D" w:rsidP="00B5603D">
            <w:pPr>
              <w:rPr>
                <w:rFonts w:ascii="Arial" w:hAnsi="Arial" w:cs="Arial"/>
                <w:sz w:val="18"/>
                <w:szCs w:val="18"/>
              </w:rPr>
            </w:pPr>
            <w:r w:rsidRPr="00C967D3">
              <w:rPr>
                <w:rFonts w:ascii="Arial" w:hAnsi="Arial" w:cs="Arial"/>
                <w:sz w:val="18"/>
                <w:szCs w:val="18"/>
              </w:rPr>
              <w:t xml:space="preserve">$3,739,484 </w:t>
            </w:r>
          </w:p>
        </w:tc>
        <w:tc>
          <w:tcPr>
            <w:tcW w:w="1615" w:type="dxa"/>
          </w:tcPr>
          <w:p w14:paraId="534C39D3" w14:textId="65B7E70B" w:rsidR="00B5603D" w:rsidRPr="00022F0A" w:rsidRDefault="00B5603D" w:rsidP="00B5603D">
            <w:pPr>
              <w:rPr>
                <w:rFonts w:ascii="Arial" w:hAnsi="Arial" w:cs="Arial"/>
                <w:sz w:val="18"/>
                <w:szCs w:val="18"/>
              </w:rPr>
            </w:pPr>
            <w:r w:rsidRPr="00C967D3">
              <w:rPr>
                <w:rFonts w:ascii="Arial" w:hAnsi="Arial" w:cs="Arial"/>
                <w:sz w:val="18"/>
                <w:szCs w:val="18"/>
              </w:rPr>
              <w:t xml:space="preserve">$30,352,526 </w:t>
            </w:r>
          </w:p>
        </w:tc>
      </w:tr>
      <w:tr w:rsidR="00B5603D" w14:paraId="0BFB7691" w14:textId="77777777" w:rsidTr="00C91E7A">
        <w:trPr>
          <w:trHeight w:val="20"/>
        </w:trPr>
        <w:tc>
          <w:tcPr>
            <w:tcW w:w="1885" w:type="dxa"/>
          </w:tcPr>
          <w:p w14:paraId="49949A78" w14:textId="5B278A87" w:rsidR="00B5603D" w:rsidRPr="00022F0A" w:rsidRDefault="00B5603D" w:rsidP="00B5603D">
            <w:pPr>
              <w:rPr>
                <w:rFonts w:ascii="Arial" w:hAnsi="Arial" w:cs="Arial"/>
                <w:sz w:val="18"/>
                <w:szCs w:val="18"/>
              </w:rPr>
            </w:pPr>
            <w:r w:rsidRPr="00C967D3">
              <w:rPr>
                <w:rFonts w:ascii="Arial" w:hAnsi="Arial" w:cs="Arial"/>
                <w:sz w:val="18"/>
                <w:szCs w:val="18"/>
              </w:rPr>
              <w:t>Hawaii</w:t>
            </w:r>
          </w:p>
        </w:tc>
        <w:tc>
          <w:tcPr>
            <w:tcW w:w="1440" w:type="dxa"/>
          </w:tcPr>
          <w:p w14:paraId="64F6C99B" w14:textId="16FA4EB6" w:rsidR="00B5603D" w:rsidRPr="00022F0A" w:rsidRDefault="00B5603D" w:rsidP="00B5603D">
            <w:pPr>
              <w:rPr>
                <w:rFonts w:ascii="Arial" w:hAnsi="Arial" w:cs="Arial"/>
                <w:sz w:val="18"/>
                <w:szCs w:val="18"/>
              </w:rPr>
            </w:pPr>
            <w:r w:rsidRPr="00C967D3">
              <w:rPr>
                <w:rFonts w:ascii="Arial" w:hAnsi="Arial" w:cs="Arial"/>
                <w:sz w:val="18"/>
                <w:szCs w:val="18"/>
              </w:rPr>
              <w:t xml:space="preserve">$1,736,115 </w:t>
            </w:r>
          </w:p>
        </w:tc>
        <w:tc>
          <w:tcPr>
            <w:tcW w:w="1530" w:type="dxa"/>
          </w:tcPr>
          <w:p w14:paraId="6AA11B3E" w14:textId="1BAA64A6" w:rsidR="00B5603D" w:rsidRPr="00022F0A" w:rsidRDefault="00B5603D" w:rsidP="00B5603D">
            <w:pPr>
              <w:rPr>
                <w:rFonts w:ascii="Arial" w:hAnsi="Arial" w:cs="Arial"/>
                <w:sz w:val="18"/>
                <w:szCs w:val="18"/>
              </w:rPr>
            </w:pPr>
            <w:r w:rsidRPr="00C967D3">
              <w:rPr>
                <w:rFonts w:ascii="Arial" w:hAnsi="Arial" w:cs="Arial"/>
                <w:sz w:val="18"/>
                <w:szCs w:val="18"/>
              </w:rPr>
              <w:t xml:space="preserve">$2,229,088 </w:t>
            </w:r>
          </w:p>
        </w:tc>
        <w:tc>
          <w:tcPr>
            <w:tcW w:w="1440" w:type="dxa"/>
          </w:tcPr>
          <w:p w14:paraId="419F14DB" w14:textId="72E4078C" w:rsidR="00B5603D" w:rsidRPr="00022F0A" w:rsidRDefault="00B5603D" w:rsidP="00B5603D">
            <w:pPr>
              <w:rPr>
                <w:rFonts w:ascii="Arial" w:hAnsi="Arial" w:cs="Arial"/>
                <w:sz w:val="18"/>
                <w:szCs w:val="18"/>
              </w:rPr>
            </w:pPr>
            <w:r w:rsidRPr="00C967D3">
              <w:rPr>
                <w:rFonts w:ascii="Arial" w:hAnsi="Arial" w:cs="Arial"/>
                <w:sz w:val="18"/>
                <w:szCs w:val="18"/>
              </w:rPr>
              <w:t xml:space="preserve">$1,125,270 </w:t>
            </w:r>
          </w:p>
        </w:tc>
        <w:tc>
          <w:tcPr>
            <w:tcW w:w="1440" w:type="dxa"/>
          </w:tcPr>
          <w:p w14:paraId="0EEFEEA7" w14:textId="31027E7F" w:rsidR="00B5603D" w:rsidRPr="00022F0A" w:rsidRDefault="00B5603D" w:rsidP="00B5603D">
            <w:pPr>
              <w:rPr>
                <w:rFonts w:ascii="Arial" w:hAnsi="Arial" w:cs="Arial"/>
                <w:sz w:val="18"/>
                <w:szCs w:val="18"/>
              </w:rPr>
            </w:pPr>
            <w:r w:rsidRPr="00C967D3">
              <w:rPr>
                <w:rFonts w:ascii="Arial" w:hAnsi="Arial" w:cs="Arial"/>
                <w:sz w:val="18"/>
                <w:szCs w:val="18"/>
              </w:rPr>
              <w:t xml:space="preserve">$98,321 </w:t>
            </w:r>
          </w:p>
        </w:tc>
        <w:tc>
          <w:tcPr>
            <w:tcW w:w="1440" w:type="dxa"/>
          </w:tcPr>
          <w:p w14:paraId="25A32F06" w14:textId="47BB92B2" w:rsidR="00B5603D" w:rsidRPr="00022F0A" w:rsidRDefault="00B5603D" w:rsidP="00B5603D">
            <w:pPr>
              <w:rPr>
                <w:rFonts w:ascii="Arial" w:hAnsi="Arial" w:cs="Arial"/>
                <w:sz w:val="18"/>
                <w:szCs w:val="18"/>
              </w:rPr>
            </w:pPr>
            <w:r w:rsidRPr="00C967D3">
              <w:rPr>
                <w:rFonts w:ascii="Arial" w:hAnsi="Arial" w:cs="Arial"/>
                <w:sz w:val="18"/>
                <w:szCs w:val="18"/>
              </w:rPr>
              <w:t xml:space="preserve">$746,423 </w:t>
            </w:r>
          </w:p>
        </w:tc>
        <w:tc>
          <w:tcPr>
            <w:tcW w:w="1615" w:type="dxa"/>
          </w:tcPr>
          <w:p w14:paraId="004FAF0F" w14:textId="01F7983A" w:rsidR="00B5603D" w:rsidRPr="00022F0A" w:rsidRDefault="00B5603D" w:rsidP="00B5603D">
            <w:pPr>
              <w:rPr>
                <w:rFonts w:ascii="Arial" w:hAnsi="Arial" w:cs="Arial"/>
                <w:sz w:val="18"/>
                <w:szCs w:val="18"/>
              </w:rPr>
            </w:pPr>
            <w:r w:rsidRPr="00C967D3">
              <w:rPr>
                <w:rFonts w:ascii="Arial" w:hAnsi="Arial" w:cs="Arial"/>
                <w:sz w:val="18"/>
                <w:szCs w:val="18"/>
              </w:rPr>
              <w:t xml:space="preserve">$5,935,217 </w:t>
            </w:r>
          </w:p>
        </w:tc>
      </w:tr>
      <w:tr w:rsidR="00B5603D" w14:paraId="7BDABEDE" w14:textId="77777777" w:rsidTr="00C91E7A">
        <w:trPr>
          <w:trHeight w:val="20"/>
        </w:trPr>
        <w:tc>
          <w:tcPr>
            <w:tcW w:w="1885" w:type="dxa"/>
          </w:tcPr>
          <w:p w14:paraId="49006148" w14:textId="12978938" w:rsidR="00B5603D" w:rsidRPr="00022F0A" w:rsidRDefault="00B5603D" w:rsidP="00B5603D">
            <w:pPr>
              <w:rPr>
                <w:rFonts w:ascii="Arial" w:hAnsi="Arial" w:cs="Arial"/>
                <w:sz w:val="18"/>
                <w:szCs w:val="18"/>
              </w:rPr>
            </w:pPr>
            <w:r w:rsidRPr="00C967D3">
              <w:rPr>
                <w:rFonts w:ascii="Arial" w:hAnsi="Arial" w:cs="Arial"/>
                <w:sz w:val="18"/>
                <w:szCs w:val="18"/>
              </w:rPr>
              <w:t>Idaho</w:t>
            </w:r>
          </w:p>
        </w:tc>
        <w:tc>
          <w:tcPr>
            <w:tcW w:w="1440" w:type="dxa"/>
          </w:tcPr>
          <w:p w14:paraId="2EA0EFC0" w14:textId="5A77D9E6" w:rsidR="00B5603D" w:rsidRPr="00022F0A" w:rsidRDefault="00B5603D" w:rsidP="00B5603D">
            <w:pPr>
              <w:rPr>
                <w:rFonts w:ascii="Arial" w:hAnsi="Arial" w:cs="Arial"/>
                <w:sz w:val="18"/>
                <w:szCs w:val="18"/>
              </w:rPr>
            </w:pPr>
            <w:r w:rsidRPr="00C967D3">
              <w:rPr>
                <w:rFonts w:ascii="Arial" w:hAnsi="Arial" w:cs="Arial"/>
                <w:sz w:val="18"/>
                <w:szCs w:val="18"/>
              </w:rPr>
              <w:t xml:space="preserve">$1,736,115 </w:t>
            </w:r>
          </w:p>
        </w:tc>
        <w:tc>
          <w:tcPr>
            <w:tcW w:w="1530" w:type="dxa"/>
          </w:tcPr>
          <w:p w14:paraId="6F1A52D1" w14:textId="42EF3202" w:rsidR="00B5603D" w:rsidRPr="00022F0A" w:rsidRDefault="00B5603D" w:rsidP="00B5603D">
            <w:pPr>
              <w:rPr>
                <w:rFonts w:ascii="Arial" w:hAnsi="Arial" w:cs="Arial"/>
                <w:sz w:val="18"/>
                <w:szCs w:val="18"/>
              </w:rPr>
            </w:pPr>
            <w:r w:rsidRPr="00C967D3">
              <w:rPr>
                <w:rFonts w:ascii="Arial" w:hAnsi="Arial" w:cs="Arial"/>
                <w:sz w:val="18"/>
                <w:szCs w:val="18"/>
              </w:rPr>
              <w:t xml:space="preserve">$2,229,088 </w:t>
            </w:r>
          </w:p>
        </w:tc>
        <w:tc>
          <w:tcPr>
            <w:tcW w:w="1440" w:type="dxa"/>
          </w:tcPr>
          <w:p w14:paraId="5FE8135C" w14:textId="6D5E4E51" w:rsidR="00B5603D" w:rsidRPr="00022F0A" w:rsidRDefault="00B5603D" w:rsidP="00B5603D">
            <w:pPr>
              <w:rPr>
                <w:rFonts w:ascii="Arial" w:hAnsi="Arial" w:cs="Arial"/>
                <w:sz w:val="18"/>
                <w:szCs w:val="18"/>
              </w:rPr>
            </w:pPr>
            <w:r w:rsidRPr="00C967D3">
              <w:rPr>
                <w:rFonts w:ascii="Arial" w:hAnsi="Arial" w:cs="Arial"/>
                <w:sz w:val="18"/>
                <w:szCs w:val="18"/>
              </w:rPr>
              <w:t xml:space="preserve">$1,125,270 </w:t>
            </w:r>
          </w:p>
        </w:tc>
        <w:tc>
          <w:tcPr>
            <w:tcW w:w="1440" w:type="dxa"/>
          </w:tcPr>
          <w:p w14:paraId="653B9EF0" w14:textId="55EF603A" w:rsidR="00B5603D" w:rsidRPr="00022F0A" w:rsidRDefault="00B5603D" w:rsidP="00B5603D">
            <w:pPr>
              <w:rPr>
                <w:rFonts w:ascii="Arial" w:hAnsi="Arial" w:cs="Arial"/>
                <w:sz w:val="18"/>
                <w:szCs w:val="18"/>
              </w:rPr>
            </w:pPr>
            <w:r w:rsidRPr="00C967D3">
              <w:rPr>
                <w:rFonts w:ascii="Arial" w:hAnsi="Arial" w:cs="Arial"/>
                <w:sz w:val="18"/>
                <w:szCs w:val="18"/>
              </w:rPr>
              <w:t xml:space="preserve">$98,321 </w:t>
            </w:r>
          </w:p>
        </w:tc>
        <w:tc>
          <w:tcPr>
            <w:tcW w:w="1440" w:type="dxa"/>
          </w:tcPr>
          <w:p w14:paraId="3B4D5A51" w14:textId="5B4B7300" w:rsidR="00B5603D" w:rsidRPr="00022F0A" w:rsidRDefault="00B5603D" w:rsidP="00B5603D">
            <w:pPr>
              <w:rPr>
                <w:rFonts w:ascii="Arial" w:hAnsi="Arial" w:cs="Arial"/>
                <w:sz w:val="18"/>
                <w:szCs w:val="18"/>
              </w:rPr>
            </w:pPr>
            <w:r w:rsidRPr="00C967D3">
              <w:rPr>
                <w:rFonts w:ascii="Arial" w:hAnsi="Arial" w:cs="Arial"/>
                <w:sz w:val="18"/>
                <w:szCs w:val="18"/>
              </w:rPr>
              <w:t xml:space="preserve">$746,423 </w:t>
            </w:r>
          </w:p>
        </w:tc>
        <w:tc>
          <w:tcPr>
            <w:tcW w:w="1615" w:type="dxa"/>
          </w:tcPr>
          <w:p w14:paraId="218EBC4E" w14:textId="7887B059" w:rsidR="00B5603D" w:rsidRPr="00022F0A" w:rsidRDefault="00B5603D" w:rsidP="00B5603D">
            <w:pPr>
              <w:rPr>
                <w:rFonts w:ascii="Arial" w:hAnsi="Arial" w:cs="Arial"/>
                <w:sz w:val="18"/>
                <w:szCs w:val="18"/>
              </w:rPr>
            </w:pPr>
            <w:r w:rsidRPr="00C967D3">
              <w:rPr>
                <w:rFonts w:ascii="Arial" w:hAnsi="Arial" w:cs="Arial"/>
                <w:sz w:val="18"/>
                <w:szCs w:val="18"/>
              </w:rPr>
              <w:t xml:space="preserve">$5,935,217 </w:t>
            </w:r>
          </w:p>
        </w:tc>
      </w:tr>
      <w:tr w:rsidR="00B5603D" w14:paraId="424003C1" w14:textId="77777777" w:rsidTr="00C91E7A">
        <w:trPr>
          <w:trHeight w:val="20"/>
        </w:trPr>
        <w:tc>
          <w:tcPr>
            <w:tcW w:w="1885" w:type="dxa"/>
          </w:tcPr>
          <w:p w14:paraId="11D9563E" w14:textId="08852F03" w:rsidR="00B5603D" w:rsidRPr="00022F0A" w:rsidRDefault="00B5603D" w:rsidP="00B5603D">
            <w:pPr>
              <w:rPr>
                <w:rFonts w:ascii="Arial" w:hAnsi="Arial" w:cs="Arial"/>
                <w:sz w:val="18"/>
                <w:szCs w:val="18"/>
              </w:rPr>
            </w:pPr>
            <w:r w:rsidRPr="00C967D3">
              <w:rPr>
                <w:rFonts w:ascii="Arial" w:hAnsi="Arial" w:cs="Arial"/>
                <w:sz w:val="18"/>
                <w:szCs w:val="18"/>
              </w:rPr>
              <w:t>Illinois</w:t>
            </w:r>
          </w:p>
        </w:tc>
        <w:tc>
          <w:tcPr>
            <w:tcW w:w="1440" w:type="dxa"/>
          </w:tcPr>
          <w:p w14:paraId="59CE4B49" w14:textId="7869301F" w:rsidR="00B5603D" w:rsidRPr="00022F0A" w:rsidRDefault="00B5603D" w:rsidP="00B5603D">
            <w:pPr>
              <w:rPr>
                <w:rFonts w:ascii="Arial" w:hAnsi="Arial" w:cs="Arial"/>
                <w:sz w:val="18"/>
                <w:szCs w:val="18"/>
              </w:rPr>
            </w:pPr>
            <w:r w:rsidRPr="00C967D3">
              <w:rPr>
                <w:rFonts w:ascii="Arial" w:hAnsi="Arial" w:cs="Arial"/>
                <w:sz w:val="18"/>
                <w:szCs w:val="18"/>
              </w:rPr>
              <w:t xml:space="preserve">$14,210,793 </w:t>
            </w:r>
          </w:p>
        </w:tc>
        <w:tc>
          <w:tcPr>
            <w:tcW w:w="1530" w:type="dxa"/>
          </w:tcPr>
          <w:p w14:paraId="5A2B034A" w14:textId="766811A4" w:rsidR="00B5603D" w:rsidRPr="00022F0A" w:rsidRDefault="00B5603D" w:rsidP="00B5603D">
            <w:pPr>
              <w:rPr>
                <w:rFonts w:ascii="Arial" w:hAnsi="Arial" w:cs="Arial"/>
                <w:sz w:val="18"/>
                <w:szCs w:val="18"/>
              </w:rPr>
            </w:pPr>
            <w:r w:rsidRPr="00C967D3">
              <w:rPr>
                <w:rFonts w:ascii="Arial" w:hAnsi="Arial" w:cs="Arial"/>
                <w:sz w:val="18"/>
                <w:szCs w:val="18"/>
              </w:rPr>
              <w:t xml:space="preserve">$17,113,676 </w:t>
            </w:r>
          </w:p>
        </w:tc>
        <w:tc>
          <w:tcPr>
            <w:tcW w:w="1440" w:type="dxa"/>
          </w:tcPr>
          <w:p w14:paraId="3F2A0A92" w14:textId="1179AE80" w:rsidR="00B5603D" w:rsidRPr="00022F0A" w:rsidRDefault="00B5603D" w:rsidP="00B5603D">
            <w:pPr>
              <w:rPr>
                <w:rFonts w:ascii="Arial" w:hAnsi="Arial" w:cs="Arial"/>
                <w:sz w:val="18"/>
                <w:szCs w:val="18"/>
              </w:rPr>
            </w:pPr>
            <w:r w:rsidRPr="00C967D3">
              <w:rPr>
                <w:rFonts w:ascii="Arial" w:hAnsi="Arial" w:cs="Arial"/>
                <w:sz w:val="18"/>
                <w:szCs w:val="18"/>
              </w:rPr>
              <w:t xml:space="preserve">$8,351,441 </w:t>
            </w:r>
          </w:p>
        </w:tc>
        <w:tc>
          <w:tcPr>
            <w:tcW w:w="1440" w:type="dxa"/>
          </w:tcPr>
          <w:p w14:paraId="4AE450F7" w14:textId="042829F6" w:rsidR="00B5603D" w:rsidRPr="00022F0A" w:rsidRDefault="00B5603D" w:rsidP="00B5603D">
            <w:pPr>
              <w:rPr>
                <w:rFonts w:ascii="Arial" w:hAnsi="Arial" w:cs="Arial"/>
                <w:sz w:val="18"/>
                <w:szCs w:val="18"/>
              </w:rPr>
            </w:pPr>
            <w:r w:rsidRPr="00C967D3">
              <w:rPr>
                <w:rFonts w:ascii="Arial" w:hAnsi="Arial" w:cs="Arial"/>
                <w:sz w:val="18"/>
                <w:szCs w:val="18"/>
              </w:rPr>
              <w:t xml:space="preserve">$779,954 </w:t>
            </w:r>
          </w:p>
        </w:tc>
        <w:tc>
          <w:tcPr>
            <w:tcW w:w="1440" w:type="dxa"/>
          </w:tcPr>
          <w:p w14:paraId="3402E9F9" w14:textId="13DE8475" w:rsidR="00B5603D" w:rsidRPr="00022F0A" w:rsidRDefault="00B5603D" w:rsidP="00B5603D">
            <w:pPr>
              <w:rPr>
                <w:rFonts w:ascii="Arial" w:hAnsi="Arial" w:cs="Arial"/>
                <w:sz w:val="18"/>
                <w:szCs w:val="18"/>
              </w:rPr>
            </w:pPr>
            <w:r w:rsidRPr="00C967D3">
              <w:rPr>
                <w:rFonts w:ascii="Arial" w:hAnsi="Arial" w:cs="Arial"/>
                <w:sz w:val="18"/>
                <w:szCs w:val="18"/>
              </w:rPr>
              <w:t xml:space="preserve">$5,501,430 </w:t>
            </w:r>
          </w:p>
        </w:tc>
        <w:tc>
          <w:tcPr>
            <w:tcW w:w="1615" w:type="dxa"/>
          </w:tcPr>
          <w:p w14:paraId="6ED6D1EA" w14:textId="5A8C37EC" w:rsidR="00B5603D" w:rsidRPr="00022F0A" w:rsidRDefault="00B5603D" w:rsidP="00B5603D">
            <w:pPr>
              <w:rPr>
                <w:rFonts w:ascii="Arial" w:hAnsi="Arial" w:cs="Arial"/>
                <w:sz w:val="18"/>
                <w:szCs w:val="18"/>
              </w:rPr>
            </w:pPr>
            <w:r w:rsidRPr="00C967D3">
              <w:rPr>
                <w:rFonts w:ascii="Arial" w:hAnsi="Arial" w:cs="Arial"/>
                <w:sz w:val="18"/>
                <w:szCs w:val="18"/>
              </w:rPr>
              <w:t xml:space="preserve">$45,957,294 </w:t>
            </w:r>
          </w:p>
        </w:tc>
      </w:tr>
      <w:tr w:rsidR="00B5603D" w14:paraId="57774E59" w14:textId="77777777" w:rsidTr="00C91E7A">
        <w:trPr>
          <w:trHeight w:val="20"/>
        </w:trPr>
        <w:tc>
          <w:tcPr>
            <w:tcW w:w="1885" w:type="dxa"/>
          </w:tcPr>
          <w:p w14:paraId="2CDCE5CC" w14:textId="504A3425" w:rsidR="00B5603D" w:rsidRPr="00022F0A" w:rsidRDefault="00B5603D" w:rsidP="00B5603D">
            <w:pPr>
              <w:rPr>
                <w:rFonts w:ascii="Arial" w:hAnsi="Arial" w:cs="Arial"/>
                <w:sz w:val="18"/>
                <w:szCs w:val="18"/>
              </w:rPr>
            </w:pPr>
            <w:r w:rsidRPr="00C967D3">
              <w:rPr>
                <w:rFonts w:ascii="Arial" w:hAnsi="Arial" w:cs="Arial"/>
                <w:sz w:val="18"/>
                <w:szCs w:val="18"/>
              </w:rPr>
              <w:t>Indiana</w:t>
            </w:r>
          </w:p>
        </w:tc>
        <w:tc>
          <w:tcPr>
            <w:tcW w:w="1440" w:type="dxa"/>
          </w:tcPr>
          <w:p w14:paraId="31687F0E" w14:textId="49BF605C" w:rsidR="00B5603D" w:rsidRPr="00022F0A" w:rsidRDefault="00B5603D" w:rsidP="00B5603D">
            <w:pPr>
              <w:rPr>
                <w:rFonts w:ascii="Arial" w:hAnsi="Arial" w:cs="Arial"/>
                <w:sz w:val="18"/>
                <w:szCs w:val="18"/>
              </w:rPr>
            </w:pPr>
            <w:r w:rsidRPr="00C967D3">
              <w:rPr>
                <w:rFonts w:ascii="Arial" w:hAnsi="Arial" w:cs="Arial"/>
                <w:sz w:val="18"/>
                <w:szCs w:val="18"/>
              </w:rPr>
              <w:t xml:space="preserve">$6,777,591 </w:t>
            </w:r>
          </w:p>
        </w:tc>
        <w:tc>
          <w:tcPr>
            <w:tcW w:w="1530" w:type="dxa"/>
          </w:tcPr>
          <w:p w14:paraId="10DEFB8E" w14:textId="4DE078FF" w:rsidR="00B5603D" w:rsidRPr="00022F0A" w:rsidRDefault="00B5603D" w:rsidP="00B5603D">
            <w:pPr>
              <w:rPr>
                <w:rFonts w:ascii="Arial" w:hAnsi="Arial" w:cs="Arial"/>
                <w:sz w:val="18"/>
                <w:szCs w:val="18"/>
              </w:rPr>
            </w:pPr>
            <w:r w:rsidRPr="00C967D3">
              <w:rPr>
                <w:rFonts w:ascii="Arial" w:hAnsi="Arial" w:cs="Arial"/>
                <w:sz w:val="18"/>
                <w:szCs w:val="18"/>
              </w:rPr>
              <w:t xml:space="preserve">$8,533,317 </w:t>
            </w:r>
          </w:p>
        </w:tc>
        <w:tc>
          <w:tcPr>
            <w:tcW w:w="1440" w:type="dxa"/>
          </w:tcPr>
          <w:p w14:paraId="5565244B" w14:textId="378EA4BB" w:rsidR="00B5603D" w:rsidRPr="00022F0A" w:rsidRDefault="00B5603D" w:rsidP="00B5603D">
            <w:pPr>
              <w:rPr>
                <w:rFonts w:ascii="Arial" w:hAnsi="Arial" w:cs="Arial"/>
                <w:sz w:val="18"/>
                <w:szCs w:val="18"/>
              </w:rPr>
            </w:pPr>
            <w:r w:rsidRPr="00C967D3">
              <w:rPr>
                <w:rFonts w:ascii="Arial" w:hAnsi="Arial" w:cs="Arial"/>
                <w:sz w:val="18"/>
                <w:szCs w:val="18"/>
              </w:rPr>
              <w:t xml:space="preserve">$4,404,348 </w:t>
            </w:r>
          </w:p>
        </w:tc>
        <w:tc>
          <w:tcPr>
            <w:tcW w:w="1440" w:type="dxa"/>
          </w:tcPr>
          <w:p w14:paraId="242E2372" w14:textId="76526875" w:rsidR="00B5603D" w:rsidRPr="00022F0A" w:rsidRDefault="00B5603D" w:rsidP="00B5603D">
            <w:pPr>
              <w:rPr>
                <w:rFonts w:ascii="Arial" w:hAnsi="Arial" w:cs="Arial"/>
                <w:sz w:val="18"/>
                <w:szCs w:val="18"/>
              </w:rPr>
            </w:pPr>
            <w:r w:rsidRPr="00C967D3">
              <w:rPr>
                <w:rFonts w:ascii="Arial" w:hAnsi="Arial" w:cs="Arial"/>
                <w:sz w:val="18"/>
                <w:szCs w:val="18"/>
              </w:rPr>
              <w:t xml:space="preserve">$396,043 </w:t>
            </w:r>
          </w:p>
        </w:tc>
        <w:tc>
          <w:tcPr>
            <w:tcW w:w="1440" w:type="dxa"/>
          </w:tcPr>
          <w:p w14:paraId="191289DC" w14:textId="527E3821" w:rsidR="00B5603D" w:rsidRPr="00022F0A" w:rsidRDefault="00B5603D" w:rsidP="00B5603D">
            <w:pPr>
              <w:rPr>
                <w:rFonts w:ascii="Arial" w:hAnsi="Arial" w:cs="Arial"/>
                <w:sz w:val="18"/>
                <w:szCs w:val="18"/>
              </w:rPr>
            </w:pPr>
            <w:r w:rsidRPr="00C967D3">
              <w:rPr>
                <w:rFonts w:ascii="Arial" w:hAnsi="Arial" w:cs="Arial"/>
                <w:sz w:val="18"/>
                <w:szCs w:val="18"/>
              </w:rPr>
              <w:t xml:space="preserve">$2,886,096 </w:t>
            </w:r>
          </w:p>
        </w:tc>
        <w:tc>
          <w:tcPr>
            <w:tcW w:w="1615" w:type="dxa"/>
          </w:tcPr>
          <w:p w14:paraId="773F6E4C" w14:textId="4F3C2BEB" w:rsidR="00B5603D" w:rsidRPr="00022F0A" w:rsidRDefault="00B5603D" w:rsidP="00B5603D">
            <w:pPr>
              <w:rPr>
                <w:rFonts w:ascii="Arial" w:hAnsi="Arial" w:cs="Arial"/>
                <w:sz w:val="18"/>
                <w:szCs w:val="18"/>
              </w:rPr>
            </w:pPr>
            <w:r w:rsidRPr="00C967D3">
              <w:rPr>
                <w:rFonts w:ascii="Arial" w:hAnsi="Arial" w:cs="Arial"/>
                <w:sz w:val="18"/>
                <w:szCs w:val="18"/>
              </w:rPr>
              <w:t xml:space="preserve">$22,997,395 </w:t>
            </w:r>
          </w:p>
        </w:tc>
      </w:tr>
      <w:tr w:rsidR="00B5603D" w14:paraId="13CBC305" w14:textId="77777777" w:rsidTr="00C91E7A">
        <w:trPr>
          <w:trHeight w:val="20"/>
        </w:trPr>
        <w:tc>
          <w:tcPr>
            <w:tcW w:w="1885" w:type="dxa"/>
          </w:tcPr>
          <w:p w14:paraId="1705862D" w14:textId="526DBFB8" w:rsidR="00B5603D" w:rsidRPr="00022F0A" w:rsidRDefault="00B5603D" w:rsidP="00B5603D">
            <w:pPr>
              <w:rPr>
                <w:rFonts w:ascii="Arial" w:hAnsi="Arial" w:cs="Arial"/>
                <w:sz w:val="18"/>
                <w:szCs w:val="18"/>
              </w:rPr>
            </w:pPr>
            <w:r w:rsidRPr="00C967D3">
              <w:rPr>
                <w:rFonts w:ascii="Arial" w:hAnsi="Arial" w:cs="Arial"/>
                <w:sz w:val="18"/>
                <w:szCs w:val="18"/>
              </w:rPr>
              <w:t>Iowa</w:t>
            </w:r>
          </w:p>
        </w:tc>
        <w:tc>
          <w:tcPr>
            <w:tcW w:w="1440" w:type="dxa"/>
          </w:tcPr>
          <w:p w14:paraId="49F917A8" w14:textId="5760DE84" w:rsidR="00B5603D" w:rsidRPr="00022F0A" w:rsidRDefault="00B5603D" w:rsidP="00B5603D">
            <w:pPr>
              <w:rPr>
                <w:rFonts w:ascii="Arial" w:hAnsi="Arial" w:cs="Arial"/>
                <w:sz w:val="18"/>
                <w:szCs w:val="18"/>
              </w:rPr>
            </w:pPr>
            <w:r w:rsidRPr="00C967D3">
              <w:rPr>
                <w:rFonts w:ascii="Arial" w:hAnsi="Arial" w:cs="Arial"/>
                <w:sz w:val="18"/>
                <w:szCs w:val="18"/>
              </w:rPr>
              <w:t xml:space="preserve">$4,168,738 </w:t>
            </w:r>
          </w:p>
        </w:tc>
        <w:tc>
          <w:tcPr>
            <w:tcW w:w="1530" w:type="dxa"/>
          </w:tcPr>
          <w:p w14:paraId="740D616B" w14:textId="3A4564A4" w:rsidR="00B5603D" w:rsidRPr="00022F0A" w:rsidRDefault="00B5603D" w:rsidP="00B5603D">
            <w:pPr>
              <w:rPr>
                <w:rFonts w:ascii="Arial" w:hAnsi="Arial" w:cs="Arial"/>
                <w:sz w:val="18"/>
                <w:szCs w:val="18"/>
              </w:rPr>
            </w:pPr>
            <w:r w:rsidRPr="00C967D3">
              <w:rPr>
                <w:rFonts w:ascii="Arial" w:hAnsi="Arial" w:cs="Arial"/>
                <w:sz w:val="18"/>
                <w:szCs w:val="18"/>
              </w:rPr>
              <w:t xml:space="preserve">$5,030,686 </w:t>
            </w:r>
          </w:p>
        </w:tc>
        <w:tc>
          <w:tcPr>
            <w:tcW w:w="1440" w:type="dxa"/>
          </w:tcPr>
          <w:p w14:paraId="405F3A76" w14:textId="1332B6A1" w:rsidR="00B5603D" w:rsidRPr="00022F0A" w:rsidRDefault="00B5603D" w:rsidP="00B5603D">
            <w:pPr>
              <w:rPr>
                <w:rFonts w:ascii="Arial" w:hAnsi="Arial" w:cs="Arial"/>
                <w:sz w:val="18"/>
                <w:szCs w:val="18"/>
              </w:rPr>
            </w:pPr>
            <w:r w:rsidRPr="00C967D3">
              <w:rPr>
                <w:rFonts w:ascii="Arial" w:hAnsi="Arial" w:cs="Arial"/>
                <w:sz w:val="18"/>
                <w:szCs w:val="18"/>
              </w:rPr>
              <w:t xml:space="preserve">$2,255,215 </w:t>
            </w:r>
          </w:p>
        </w:tc>
        <w:tc>
          <w:tcPr>
            <w:tcW w:w="1440" w:type="dxa"/>
          </w:tcPr>
          <w:p w14:paraId="20528C9F" w14:textId="1B950A2B" w:rsidR="00B5603D" w:rsidRPr="00022F0A" w:rsidRDefault="00B5603D" w:rsidP="00B5603D">
            <w:pPr>
              <w:rPr>
                <w:rFonts w:ascii="Arial" w:hAnsi="Arial" w:cs="Arial"/>
                <w:sz w:val="18"/>
                <w:szCs w:val="18"/>
              </w:rPr>
            </w:pPr>
            <w:r w:rsidRPr="00C967D3">
              <w:rPr>
                <w:rFonts w:ascii="Arial" w:hAnsi="Arial" w:cs="Arial"/>
                <w:sz w:val="18"/>
                <w:szCs w:val="18"/>
              </w:rPr>
              <w:t xml:space="preserve">$215,352 </w:t>
            </w:r>
          </w:p>
        </w:tc>
        <w:tc>
          <w:tcPr>
            <w:tcW w:w="1440" w:type="dxa"/>
          </w:tcPr>
          <w:p w14:paraId="19E97BBE" w14:textId="3FB3D8A1" w:rsidR="00B5603D" w:rsidRPr="00022F0A" w:rsidRDefault="00B5603D" w:rsidP="00B5603D">
            <w:pPr>
              <w:rPr>
                <w:rFonts w:ascii="Arial" w:hAnsi="Arial" w:cs="Arial"/>
                <w:sz w:val="18"/>
                <w:szCs w:val="18"/>
              </w:rPr>
            </w:pPr>
            <w:r w:rsidRPr="00C967D3">
              <w:rPr>
                <w:rFonts w:ascii="Arial" w:hAnsi="Arial" w:cs="Arial"/>
                <w:sz w:val="18"/>
                <w:szCs w:val="18"/>
              </w:rPr>
              <w:t xml:space="preserve">$1,553,739 </w:t>
            </w:r>
          </w:p>
        </w:tc>
        <w:tc>
          <w:tcPr>
            <w:tcW w:w="1615" w:type="dxa"/>
          </w:tcPr>
          <w:p w14:paraId="2D3CE28B" w14:textId="718A7D7D" w:rsidR="00B5603D" w:rsidRPr="00022F0A" w:rsidRDefault="00B5603D" w:rsidP="00B5603D">
            <w:pPr>
              <w:rPr>
                <w:rFonts w:ascii="Arial" w:hAnsi="Arial" w:cs="Arial"/>
                <w:sz w:val="18"/>
                <w:szCs w:val="18"/>
              </w:rPr>
            </w:pPr>
            <w:r w:rsidRPr="00C967D3">
              <w:rPr>
                <w:rFonts w:ascii="Arial" w:hAnsi="Arial" w:cs="Arial"/>
                <w:sz w:val="18"/>
                <w:szCs w:val="18"/>
              </w:rPr>
              <w:t xml:space="preserve">$13,223,730 </w:t>
            </w:r>
          </w:p>
        </w:tc>
      </w:tr>
      <w:tr w:rsidR="00B5603D" w14:paraId="205E96DE" w14:textId="77777777" w:rsidTr="00C91E7A">
        <w:trPr>
          <w:trHeight w:val="20"/>
        </w:trPr>
        <w:tc>
          <w:tcPr>
            <w:tcW w:w="1885" w:type="dxa"/>
          </w:tcPr>
          <w:p w14:paraId="0B05461A" w14:textId="68FD1EEA" w:rsidR="00B5603D" w:rsidRPr="00022F0A" w:rsidRDefault="00B5603D" w:rsidP="00B5603D">
            <w:pPr>
              <w:rPr>
                <w:rFonts w:ascii="Arial" w:hAnsi="Arial" w:cs="Arial"/>
                <w:sz w:val="18"/>
                <w:szCs w:val="18"/>
              </w:rPr>
            </w:pPr>
            <w:r w:rsidRPr="00C967D3">
              <w:rPr>
                <w:rFonts w:ascii="Arial" w:hAnsi="Arial" w:cs="Arial"/>
                <w:sz w:val="18"/>
                <w:szCs w:val="18"/>
              </w:rPr>
              <w:t>Kansas</w:t>
            </w:r>
          </w:p>
        </w:tc>
        <w:tc>
          <w:tcPr>
            <w:tcW w:w="1440" w:type="dxa"/>
          </w:tcPr>
          <w:p w14:paraId="645EF829" w14:textId="5197F69C" w:rsidR="00B5603D" w:rsidRPr="00022F0A" w:rsidRDefault="00B5603D" w:rsidP="00B5603D">
            <w:pPr>
              <w:rPr>
                <w:rFonts w:ascii="Arial" w:hAnsi="Arial" w:cs="Arial"/>
                <w:sz w:val="18"/>
                <w:szCs w:val="18"/>
              </w:rPr>
            </w:pPr>
            <w:r w:rsidRPr="00C967D3">
              <w:rPr>
                <w:rFonts w:ascii="Arial" w:hAnsi="Arial" w:cs="Arial"/>
                <w:sz w:val="18"/>
                <w:szCs w:val="18"/>
              </w:rPr>
              <w:t xml:space="preserve">$3,358,672 </w:t>
            </w:r>
          </w:p>
        </w:tc>
        <w:tc>
          <w:tcPr>
            <w:tcW w:w="1530" w:type="dxa"/>
          </w:tcPr>
          <w:p w14:paraId="2A6316E3" w14:textId="4DDCA553" w:rsidR="00B5603D" w:rsidRPr="00022F0A" w:rsidRDefault="00B5603D" w:rsidP="00B5603D">
            <w:pPr>
              <w:rPr>
                <w:rFonts w:ascii="Arial" w:hAnsi="Arial" w:cs="Arial"/>
                <w:sz w:val="18"/>
                <w:szCs w:val="18"/>
              </w:rPr>
            </w:pPr>
            <w:r w:rsidRPr="00C967D3">
              <w:rPr>
                <w:rFonts w:ascii="Arial" w:hAnsi="Arial" w:cs="Arial"/>
                <w:sz w:val="18"/>
                <w:szCs w:val="18"/>
              </w:rPr>
              <w:t xml:space="preserve">$4,049,004 </w:t>
            </w:r>
          </w:p>
        </w:tc>
        <w:tc>
          <w:tcPr>
            <w:tcW w:w="1440" w:type="dxa"/>
          </w:tcPr>
          <w:p w14:paraId="3671BBB6" w14:textId="24BF3526" w:rsidR="00B5603D" w:rsidRPr="00022F0A" w:rsidRDefault="00B5603D" w:rsidP="00B5603D">
            <w:pPr>
              <w:rPr>
                <w:rFonts w:ascii="Arial" w:hAnsi="Arial" w:cs="Arial"/>
                <w:sz w:val="18"/>
                <w:szCs w:val="18"/>
              </w:rPr>
            </w:pPr>
            <w:r w:rsidRPr="00C967D3">
              <w:rPr>
                <w:rFonts w:ascii="Arial" w:hAnsi="Arial" w:cs="Arial"/>
                <w:sz w:val="18"/>
                <w:szCs w:val="18"/>
              </w:rPr>
              <w:t xml:space="preserve">$1,931,835 </w:t>
            </w:r>
          </w:p>
        </w:tc>
        <w:tc>
          <w:tcPr>
            <w:tcW w:w="1440" w:type="dxa"/>
          </w:tcPr>
          <w:p w14:paraId="443B0644" w14:textId="5666BE08" w:rsidR="00B5603D" w:rsidRPr="00022F0A" w:rsidRDefault="00B5603D" w:rsidP="00B5603D">
            <w:pPr>
              <w:rPr>
                <w:rFonts w:ascii="Arial" w:hAnsi="Arial" w:cs="Arial"/>
                <w:sz w:val="18"/>
                <w:szCs w:val="18"/>
              </w:rPr>
            </w:pPr>
            <w:r w:rsidRPr="00C967D3">
              <w:rPr>
                <w:rFonts w:ascii="Arial" w:hAnsi="Arial" w:cs="Arial"/>
                <w:sz w:val="18"/>
                <w:szCs w:val="18"/>
              </w:rPr>
              <w:t xml:space="preserve">$177,748 </w:t>
            </w:r>
          </w:p>
        </w:tc>
        <w:tc>
          <w:tcPr>
            <w:tcW w:w="1440" w:type="dxa"/>
          </w:tcPr>
          <w:p w14:paraId="276C2DAE" w14:textId="3E9520D5" w:rsidR="00B5603D" w:rsidRPr="00022F0A" w:rsidRDefault="00B5603D" w:rsidP="00B5603D">
            <w:pPr>
              <w:rPr>
                <w:rFonts w:ascii="Arial" w:hAnsi="Arial" w:cs="Arial"/>
                <w:sz w:val="18"/>
                <w:szCs w:val="18"/>
              </w:rPr>
            </w:pPr>
            <w:r w:rsidRPr="00C967D3">
              <w:rPr>
                <w:rFonts w:ascii="Arial" w:hAnsi="Arial" w:cs="Arial"/>
                <w:sz w:val="18"/>
                <w:szCs w:val="18"/>
              </w:rPr>
              <w:t xml:space="preserve">$1,298,812 </w:t>
            </w:r>
          </w:p>
        </w:tc>
        <w:tc>
          <w:tcPr>
            <w:tcW w:w="1615" w:type="dxa"/>
          </w:tcPr>
          <w:p w14:paraId="7C2130EB" w14:textId="7A1962BE" w:rsidR="00B5603D" w:rsidRPr="00022F0A" w:rsidRDefault="00B5603D" w:rsidP="00B5603D">
            <w:pPr>
              <w:rPr>
                <w:rFonts w:ascii="Arial" w:hAnsi="Arial" w:cs="Arial"/>
                <w:sz w:val="18"/>
                <w:szCs w:val="18"/>
              </w:rPr>
            </w:pPr>
            <w:r w:rsidRPr="00C967D3">
              <w:rPr>
                <w:rFonts w:ascii="Arial" w:hAnsi="Arial" w:cs="Arial"/>
                <w:sz w:val="18"/>
                <w:szCs w:val="18"/>
              </w:rPr>
              <w:t xml:space="preserve">$10,816,071 </w:t>
            </w:r>
          </w:p>
        </w:tc>
      </w:tr>
      <w:tr w:rsidR="00B5603D" w14:paraId="03C8BA34" w14:textId="77777777" w:rsidTr="00C91E7A">
        <w:trPr>
          <w:trHeight w:val="20"/>
        </w:trPr>
        <w:tc>
          <w:tcPr>
            <w:tcW w:w="1885" w:type="dxa"/>
          </w:tcPr>
          <w:p w14:paraId="67CE80E9" w14:textId="3AEE0B49" w:rsidR="00B5603D" w:rsidRPr="00022F0A" w:rsidRDefault="00B5603D" w:rsidP="00B5603D">
            <w:pPr>
              <w:rPr>
                <w:rFonts w:ascii="Arial" w:hAnsi="Arial" w:cs="Arial"/>
                <w:sz w:val="18"/>
                <w:szCs w:val="18"/>
              </w:rPr>
            </w:pPr>
            <w:r w:rsidRPr="00C967D3">
              <w:rPr>
                <w:rFonts w:ascii="Arial" w:hAnsi="Arial" w:cs="Arial"/>
                <w:sz w:val="18"/>
                <w:szCs w:val="18"/>
              </w:rPr>
              <w:t>Kentucky</w:t>
            </w:r>
          </w:p>
        </w:tc>
        <w:tc>
          <w:tcPr>
            <w:tcW w:w="1440" w:type="dxa"/>
          </w:tcPr>
          <w:p w14:paraId="783468AC" w14:textId="5933B786" w:rsidR="00B5603D" w:rsidRPr="00022F0A" w:rsidRDefault="00B5603D" w:rsidP="00B5603D">
            <w:pPr>
              <w:rPr>
                <w:rFonts w:ascii="Arial" w:hAnsi="Arial" w:cs="Arial"/>
                <w:sz w:val="18"/>
                <w:szCs w:val="18"/>
              </w:rPr>
            </w:pPr>
            <w:r w:rsidRPr="00C967D3">
              <w:rPr>
                <w:rFonts w:ascii="Arial" w:hAnsi="Arial" w:cs="Arial"/>
                <w:sz w:val="18"/>
                <w:szCs w:val="18"/>
              </w:rPr>
              <w:t xml:space="preserve">$4,638,742 </w:t>
            </w:r>
          </w:p>
        </w:tc>
        <w:tc>
          <w:tcPr>
            <w:tcW w:w="1530" w:type="dxa"/>
          </w:tcPr>
          <w:p w14:paraId="0DA07C42" w14:textId="30147EE0" w:rsidR="00B5603D" w:rsidRPr="00022F0A" w:rsidRDefault="00B5603D" w:rsidP="00B5603D">
            <w:pPr>
              <w:rPr>
                <w:rFonts w:ascii="Arial" w:hAnsi="Arial" w:cs="Arial"/>
                <w:sz w:val="18"/>
                <w:szCs w:val="18"/>
              </w:rPr>
            </w:pPr>
            <w:r w:rsidRPr="00C967D3">
              <w:rPr>
                <w:rFonts w:ascii="Arial" w:hAnsi="Arial" w:cs="Arial"/>
                <w:sz w:val="18"/>
                <w:szCs w:val="18"/>
              </w:rPr>
              <w:t xml:space="preserve">$5,928,874 </w:t>
            </w:r>
          </w:p>
        </w:tc>
        <w:tc>
          <w:tcPr>
            <w:tcW w:w="1440" w:type="dxa"/>
          </w:tcPr>
          <w:p w14:paraId="60CBA77F" w14:textId="1D542022" w:rsidR="00B5603D" w:rsidRPr="00022F0A" w:rsidRDefault="00B5603D" w:rsidP="00B5603D">
            <w:pPr>
              <w:rPr>
                <w:rFonts w:ascii="Arial" w:hAnsi="Arial" w:cs="Arial"/>
                <w:sz w:val="18"/>
                <w:szCs w:val="18"/>
              </w:rPr>
            </w:pPr>
            <w:r w:rsidRPr="00C967D3">
              <w:rPr>
                <w:rFonts w:ascii="Arial" w:hAnsi="Arial" w:cs="Arial"/>
                <w:sz w:val="18"/>
                <w:szCs w:val="18"/>
              </w:rPr>
              <w:t xml:space="preserve">$3,060,102 </w:t>
            </w:r>
          </w:p>
        </w:tc>
        <w:tc>
          <w:tcPr>
            <w:tcW w:w="1440" w:type="dxa"/>
          </w:tcPr>
          <w:p w14:paraId="7FE5A3D3" w14:textId="3F617A24" w:rsidR="00B5603D" w:rsidRPr="00022F0A" w:rsidRDefault="00B5603D" w:rsidP="00B5603D">
            <w:pPr>
              <w:rPr>
                <w:rFonts w:ascii="Arial" w:hAnsi="Arial" w:cs="Arial"/>
                <w:sz w:val="18"/>
                <w:szCs w:val="18"/>
              </w:rPr>
            </w:pPr>
            <w:r w:rsidRPr="00C967D3">
              <w:rPr>
                <w:rFonts w:ascii="Arial" w:hAnsi="Arial" w:cs="Arial"/>
                <w:sz w:val="18"/>
                <w:szCs w:val="18"/>
              </w:rPr>
              <w:t xml:space="preserve">$271,061 </w:t>
            </w:r>
          </w:p>
        </w:tc>
        <w:tc>
          <w:tcPr>
            <w:tcW w:w="1440" w:type="dxa"/>
          </w:tcPr>
          <w:p w14:paraId="27CADD0D" w14:textId="19977CFD" w:rsidR="00B5603D" w:rsidRPr="00022F0A" w:rsidRDefault="00B5603D" w:rsidP="00B5603D">
            <w:pPr>
              <w:rPr>
                <w:rFonts w:ascii="Arial" w:hAnsi="Arial" w:cs="Arial"/>
                <w:sz w:val="18"/>
                <w:szCs w:val="18"/>
              </w:rPr>
            </w:pPr>
            <w:r w:rsidRPr="00C967D3">
              <w:rPr>
                <w:rFonts w:ascii="Arial" w:hAnsi="Arial" w:cs="Arial"/>
                <w:sz w:val="18"/>
                <w:szCs w:val="18"/>
              </w:rPr>
              <w:t xml:space="preserve">$1,976,309 </w:t>
            </w:r>
          </w:p>
        </w:tc>
        <w:tc>
          <w:tcPr>
            <w:tcW w:w="1615" w:type="dxa"/>
          </w:tcPr>
          <w:p w14:paraId="2C8EF7E4" w14:textId="63A2BB71" w:rsidR="00B5603D" w:rsidRPr="00022F0A" w:rsidRDefault="00B5603D" w:rsidP="00B5603D">
            <w:pPr>
              <w:rPr>
                <w:rFonts w:ascii="Arial" w:hAnsi="Arial" w:cs="Arial"/>
                <w:sz w:val="18"/>
                <w:szCs w:val="18"/>
              </w:rPr>
            </w:pPr>
            <w:r w:rsidRPr="00C967D3">
              <w:rPr>
                <w:rFonts w:ascii="Arial" w:hAnsi="Arial" w:cs="Arial"/>
                <w:sz w:val="18"/>
                <w:szCs w:val="18"/>
              </w:rPr>
              <w:t xml:space="preserve">$15,875,088 </w:t>
            </w:r>
          </w:p>
        </w:tc>
      </w:tr>
      <w:tr w:rsidR="00B5603D" w14:paraId="043F799F" w14:textId="77777777" w:rsidTr="00C91E7A">
        <w:trPr>
          <w:trHeight w:val="20"/>
        </w:trPr>
        <w:tc>
          <w:tcPr>
            <w:tcW w:w="1885" w:type="dxa"/>
          </w:tcPr>
          <w:p w14:paraId="469BFE3C" w14:textId="74FDCD77" w:rsidR="00B5603D" w:rsidRPr="00022F0A" w:rsidRDefault="00B5603D" w:rsidP="00B5603D">
            <w:pPr>
              <w:rPr>
                <w:rFonts w:ascii="Arial" w:hAnsi="Arial" w:cs="Arial"/>
                <w:sz w:val="18"/>
                <w:szCs w:val="18"/>
              </w:rPr>
            </w:pPr>
            <w:r w:rsidRPr="00C967D3">
              <w:rPr>
                <w:rFonts w:ascii="Arial" w:hAnsi="Arial" w:cs="Arial"/>
                <w:sz w:val="18"/>
                <w:szCs w:val="18"/>
              </w:rPr>
              <w:t>Louisiana</w:t>
            </w:r>
          </w:p>
        </w:tc>
        <w:tc>
          <w:tcPr>
            <w:tcW w:w="1440" w:type="dxa"/>
          </w:tcPr>
          <w:p w14:paraId="6975171D" w14:textId="47C05241" w:rsidR="00B5603D" w:rsidRPr="00022F0A" w:rsidRDefault="00B5603D" w:rsidP="00B5603D">
            <w:pPr>
              <w:rPr>
                <w:rFonts w:ascii="Arial" w:hAnsi="Arial" w:cs="Arial"/>
                <w:sz w:val="18"/>
                <w:szCs w:val="18"/>
              </w:rPr>
            </w:pPr>
            <w:r w:rsidRPr="00C967D3">
              <w:rPr>
                <w:rFonts w:ascii="Arial" w:hAnsi="Arial" w:cs="Arial"/>
                <w:sz w:val="18"/>
                <w:szCs w:val="18"/>
              </w:rPr>
              <w:t xml:space="preserve">$4,692,188 </w:t>
            </w:r>
          </w:p>
        </w:tc>
        <w:tc>
          <w:tcPr>
            <w:tcW w:w="1530" w:type="dxa"/>
          </w:tcPr>
          <w:p w14:paraId="4C04B323" w14:textId="3820638D" w:rsidR="00B5603D" w:rsidRPr="00022F0A" w:rsidRDefault="00B5603D" w:rsidP="00B5603D">
            <w:pPr>
              <w:rPr>
                <w:rFonts w:ascii="Arial" w:hAnsi="Arial" w:cs="Arial"/>
                <w:sz w:val="18"/>
                <w:szCs w:val="18"/>
              </w:rPr>
            </w:pPr>
            <w:r w:rsidRPr="00C967D3">
              <w:rPr>
                <w:rFonts w:ascii="Arial" w:hAnsi="Arial" w:cs="Arial"/>
                <w:sz w:val="18"/>
                <w:szCs w:val="18"/>
              </w:rPr>
              <w:t xml:space="preserve">$5,825,212 </w:t>
            </w:r>
          </w:p>
        </w:tc>
        <w:tc>
          <w:tcPr>
            <w:tcW w:w="1440" w:type="dxa"/>
          </w:tcPr>
          <w:p w14:paraId="6B592C5D" w14:textId="4D97ED31" w:rsidR="00B5603D" w:rsidRPr="00022F0A" w:rsidRDefault="00B5603D" w:rsidP="00B5603D">
            <w:pPr>
              <w:rPr>
                <w:rFonts w:ascii="Arial" w:hAnsi="Arial" w:cs="Arial"/>
                <w:sz w:val="18"/>
                <w:szCs w:val="18"/>
              </w:rPr>
            </w:pPr>
            <w:r w:rsidRPr="00C967D3">
              <w:rPr>
                <w:rFonts w:ascii="Arial" w:hAnsi="Arial" w:cs="Arial"/>
                <w:sz w:val="18"/>
                <w:szCs w:val="18"/>
              </w:rPr>
              <w:t xml:space="preserve">$3,006,599 </w:t>
            </w:r>
          </w:p>
        </w:tc>
        <w:tc>
          <w:tcPr>
            <w:tcW w:w="1440" w:type="dxa"/>
          </w:tcPr>
          <w:p w14:paraId="5707E624" w14:textId="587349E4" w:rsidR="00B5603D" w:rsidRPr="00022F0A" w:rsidRDefault="00B5603D" w:rsidP="00B5603D">
            <w:pPr>
              <w:rPr>
                <w:rFonts w:ascii="Arial" w:hAnsi="Arial" w:cs="Arial"/>
                <w:sz w:val="18"/>
                <w:szCs w:val="18"/>
              </w:rPr>
            </w:pPr>
            <w:r w:rsidRPr="00C967D3">
              <w:rPr>
                <w:rFonts w:ascii="Arial" w:hAnsi="Arial" w:cs="Arial"/>
                <w:sz w:val="18"/>
                <w:szCs w:val="18"/>
              </w:rPr>
              <w:t xml:space="preserve">$274,184 </w:t>
            </w:r>
          </w:p>
        </w:tc>
        <w:tc>
          <w:tcPr>
            <w:tcW w:w="1440" w:type="dxa"/>
          </w:tcPr>
          <w:p w14:paraId="6514E4BE" w14:textId="59E6888B" w:rsidR="00B5603D" w:rsidRPr="00022F0A" w:rsidRDefault="00B5603D" w:rsidP="00B5603D">
            <w:pPr>
              <w:rPr>
                <w:rFonts w:ascii="Arial" w:hAnsi="Arial" w:cs="Arial"/>
                <w:sz w:val="18"/>
                <w:szCs w:val="18"/>
              </w:rPr>
            </w:pPr>
            <w:r w:rsidRPr="00C967D3">
              <w:rPr>
                <w:rFonts w:ascii="Arial" w:hAnsi="Arial" w:cs="Arial"/>
                <w:sz w:val="18"/>
                <w:szCs w:val="18"/>
              </w:rPr>
              <w:t xml:space="preserve">$1,919,754 </w:t>
            </w:r>
          </w:p>
        </w:tc>
        <w:tc>
          <w:tcPr>
            <w:tcW w:w="1615" w:type="dxa"/>
          </w:tcPr>
          <w:p w14:paraId="6D983BEA" w14:textId="7C1118BB" w:rsidR="00B5603D" w:rsidRPr="00022F0A" w:rsidRDefault="00B5603D" w:rsidP="00B5603D">
            <w:pPr>
              <w:rPr>
                <w:rFonts w:ascii="Arial" w:hAnsi="Arial" w:cs="Arial"/>
                <w:sz w:val="18"/>
                <w:szCs w:val="18"/>
              </w:rPr>
            </w:pPr>
            <w:r w:rsidRPr="00C967D3">
              <w:rPr>
                <w:rFonts w:ascii="Arial" w:hAnsi="Arial" w:cs="Arial"/>
                <w:sz w:val="18"/>
                <w:szCs w:val="18"/>
              </w:rPr>
              <w:t xml:space="preserve">$15,717,937 </w:t>
            </w:r>
          </w:p>
        </w:tc>
      </w:tr>
      <w:tr w:rsidR="00B5603D" w14:paraId="361464D7" w14:textId="77777777" w:rsidTr="00C91E7A">
        <w:trPr>
          <w:trHeight w:val="20"/>
        </w:trPr>
        <w:tc>
          <w:tcPr>
            <w:tcW w:w="1885" w:type="dxa"/>
          </w:tcPr>
          <w:p w14:paraId="122974BF" w14:textId="36EEAEC7" w:rsidR="00B5603D" w:rsidRPr="00022F0A" w:rsidRDefault="00B5603D" w:rsidP="00B5603D">
            <w:pPr>
              <w:rPr>
                <w:rFonts w:ascii="Arial" w:hAnsi="Arial" w:cs="Arial"/>
                <w:sz w:val="18"/>
                <w:szCs w:val="18"/>
              </w:rPr>
            </w:pPr>
            <w:r w:rsidRPr="00C967D3">
              <w:rPr>
                <w:rFonts w:ascii="Arial" w:hAnsi="Arial" w:cs="Arial"/>
                <w:sz w:val="18"/>
                <w:szCs w:val="18"/>
              </w:rPr>
              <w:t>Maine</w:t>
            </w:r>
          </w:p>
        </w:tc>
        <w:tc>
          <w:tcPr>
            <w:tcW w:w="1440" w:type="dxa"/>
          </w:tcPr>
          <w:p w14:paraId="5B708EC3" w14:textId="7DB3D10B" w:rsidR="00B5603D" w:rsidRPr="00022F0A" w:rsidRDefault="00B5603D" w:rsidP="00B5603D">
            <w:pPr>
              <w:rPr>
                <w:rFonts w:ascii="Arial" w:hAnsi="Arial" w:cs="Arial"/>
                <w:sz w:val="18"/>
                <w:szCs w:val="18"/>
              </w:rPr>
            </w:pPr>
            <w:r w:rsidRPr="00C967D3">
              <w:rPr>
                <w:rFonts w:ascii="Arial" w:hAnsi="Arial" w:cs="Arial"/>
                <w:sz w:val="18"/>
                <w:szCs w:val="18"/>
              </w:rPr>
              <w:t xml:space="preserve">$1,736,115 </w:t>
            </w:r>
          </w:p>
        </w:tc>
        <w:tc>
          <w:tcPr>
            <w:tcW w:w="1530" w:type="dxa"/>
          </w:tcPr>
          <w:p w14:paraId="0821C4B5" w14:textId="7667A182" w:rsidR="00B5603D" w:rsidRPr="00022F0A" w:rsidRDefault="00B5603D" w:rsidP="00B5603D">
            <w:pPr>
              <w:rPr>
                <w:rFonts w:ascii="Arial" w:hAnsi="Arial" w:cs="Arial"/>
                <w:sz w:val="18"/>
                <w:szCs w:val="18"/>
              </w:rPr>
            </w:pPr>
            <w:r w:rsidRPr="00C967D3">
              <w:rPr>
                <w:rFonts w:ascii="Arial" w:hAnsi="Arial" w:cs="Arial"/>
                <w:sz w:val="18"/>
                <w:szCs w:val="18"/>
              </w:rPr>
              <w:t xml:space="preserve">$2,229,088 </w:t>
            </w:r>
          </w:p>
        </w:tc>
        <w:tc>
          <w:tcPr>
            <w:tcW w:w="1440" w:type="dxa"/>
          </w:tcPr>
          <w:p w14:paraId="1283FC85" w14:textId="00ABE4A7" w:rsidR="00B5603D" w:rsidRPr="00022F0A" w:rsidRDefault="00B5603D" w:rsidP="00B5603D">
            <w:pPr>
              <w:rPr>
                <w:rFonts w:ascii="Arial" w:hAnsi="Arial" w:cs="Arial"/>
                <w:sz w:val="18"/>
                <w:szCs w:val="18"/>
              </w:rPr>
            </w:pPr>
            <w:r w:rsidRPr="00C967D3">
              <w:rPr>
                <w:rFonts w:ascii="Arial" w:hAnsi="Arial" w:cs="Arial"/>
                <w:sz w:val="18"/>
                <w:szCs w:val="18"/>
              </w:rPr>
              <w:t xml:space="preserve">$1,130,464 </w:t>
            </w:r>
          </w:p>
        </w:tc>
        <w:tc>
          <w:tcPr>
            <w:tcW w:w="1440" w:type="dxa"/>
          </w:tcPr>
          <w:p w14:paraId="6C7B2699" w14:textId="5D6F87D9" w:rsidR="00B5603D" w:rsidRPr="00022F0A" w:rsidRDefault="00B5603D" w:rsidP="00B5603D">
            <w:pPr>
              <w:rPr>
                <w:rFonts w:ascii="Arial" w:hAnsi="Arial" w:cs="Arial"/>
                <w:sz w:val="18"/>
                <w:szCs w:val="18"/>
              </w:rPr>
            </w:pPr>
            <w:r w:rsidRPr="00C967D3">
              <w:rPr>
                <w:rFonts w:ascii="Arial" w:hAnsi="Arial" w:cs="Arial"/>
                <w:sz w:val="18"/>
                <w:szCs w:val="18"/>
              </w:rPr>
              <w:t xml:space="preserve">$98,321 </w:t>
            </w:r>
          </w:p>
        </w:tc>
        <w:tc>
          <w:tcPr>
            <w:tcW w:w="1440" w:type="dxa"/>
          </w:tcPr>
          <w:p w14:paraId="4B84A2D5" w14:textId="1ABB7DFB" w:rsidR="00B5603D" w:rsidRPr="00022F0A" w:rsidRDefault="00B5603D" w:rsidP="00B5603D">
            <w:pPr>
              <w:rPr>
                <w:rFonts w:ascii="Arial" w:hAnsi="Arial" w:cs="Arial"/>
                <w:sz w:val="18"/>
                <w:szCs w:val="18"/>
              </w:rPr>
            </w:pPr>
            <w:r w:rsidRPr="00C967D3">
              <w:rPr>
                <w:rFonts w:ascii="Arial" w:hAnsi="Arial" w:cs="Arial"/>
                <w:sz w:val="18"/>
                <w:szCs w:val="18"/>
              </w:rPr>
              <w:t xml:space="preserve">$746,423 </w:t>
            </w:r>
          </w:p>
        </w:tc>
        <w:tc>
          <w:tcPr>
            <w:tcW w:w="1615" w:type="dxa"/>
          </w:tcPr>
          <w:p w14:paraId="3A67AAE8" w14:textId="25DCC593" w:rsidR="00B5603D" w:rsidRPr="00022F0A" w:rsidRDefault="00B5603D" w:rsidP="00B5603D">
            <w:pPr>
              <w:rPr>
                <w:rFonts w:ascii="Arial" w:hAnsi="Arial" w:cs="Arial"/>
                <w:sz w:val="18"/>
                <w:szCs w:val="18"/>
              </w:rPr>
            </w:pPr>
            <w:r w:rsidRPr="00C967D3">
              <w:rPr>
                <w:rFonts w:ascii="Arial" w:hAnsi="Arial" w:cs="Arial"/>
                <w:sz w:val="18"/>
                <w:szCs w:val="18"/>
              </w:rPr>
              <w:t xml:space="preserve">$5,940,411 </w:t>
            </w:r>
          </w:p>
        </w:tc>
      </w:tr>
      <w:tr w:rsidR="00B5603D" w14:paraId="4C98ED42" w14:textId="77777777" w:rsidTr="00C91E7A">
        <w:trPr>
          <w:trHeight w:val="20"/>
        </w:trPr>
        <w:tc>
          <w:tcPr>
            <w:tcW w:w="1885" w:type="dxa"/>
          </w:tcPr>
          <w:p w14:paraId="476D6EC9" w14:textId="21946581" w:rsidR="00B5603D" w:rsidRPr="00022F0A" w:rsidRDefault="00B5603D" w:rsidP="00B5603D">
            <w:pPr>
              <w:rPr>
                <w:rFonts w:ascii="Arial" w:hAnsi="Arial" w:cs="Arial"/>
                <w:sz w:val="18"/>
                <w:szCs w:val="18"/>
              </w:rPr>
            </w:pPr>
            <w:r w:rsidRPr="00C967D3">
              <w:rPr>
                <w:rFonts w:ascii="Arial" w:hAnsi="Arial" w:cs="Arial"/>
                <w:sz w:val="18"/>
                <w:szCs w:val="18"/>
              </w:rPr>
              <w:t>Maryland</w:t>
            </w:r>
          </w:p>
        </w:tc>
        <w:tc>
          <w:tcPr>
            <w:tcW w:w="1440" w:type="dxa"/>
          </w:tcPr>
          <w:p w14:paraId="4C3FF753" w14:textId="5506DC2E" w:rsidR="00B5603D" w:rsidRPr="00022F0A" w:rsidRDefault="00B5603D" w:rsidP="00B5603D">
            <w:pPr>
              <w:rPr>
                <w:rFonts w:ascii="Arial" w:hAnsi="Arial" w:cs="Arial"/>
                <w:sz w:val="18"/>
                <w:szCs w:val="18"/>
              </w:rPr>
            </w:pPr>
            <w:r w:rsidRPr="00C967D3">
              <w:rPr>
                <w:rFonts w:ascii="Arial" w:hAnsi="Arial" w:cs="Arial"/>
                <w:sz w:val="18"/>
                <w:szCs w:val="18"/>
              </w:rPr>
              <w:t xml:space="preserve">$5,730,772 </w:t>
            </w:r>
          </w:p>
        </w:tc>
        <w:tc>
          <w:tcPr>
            <w:tcW w:w="1530" w:type="dxa"/>
          </w:tcPr>
          <w:p w14:paraId="4D0010FB" w14:textId="0339B425" w:rsidR="00B5603D" w:rsidRPr="00022F0A" w:rsidRDefault="00B5603D" w:rsidP="00B5603D">
            <w:pPr>
              <w:rPr>
                <w:rFonts w:ascii="Arial" w:hAnsi="Arial" w:cs="Arial"/>
                <w:sz w:val="18"/>
                <w:szCs w:val="18"/>
              </w:rPr>
            </w:pPr>
            <w:r w:rsidRPr="00C967D3">
              <w:rPr>
                <w:rFonts w:ascii="Arial" w:hAnsi="Arial" w:cs="Arial"/>
                <w:sz w:val="18"/>
                <w:szCs w:val="18"/>
              </w:rPr>
              <w:t xml:space="preserve">$7,536,434 </w:t>
            </w:r>
          </w:p>
        </w:tc>
        <w:tc>
          <w:tcPr>
            <w:tcW w:w="1440" w:type="dxa"/>
          </w:tcPr>
          <w:p w14:paraId="16984142" w14:textId="57C0A457" w:rsidR="00B5603D" w:rsidRPr="00022F0A" w:rsidRDefault="00B5603D" w:rsidP="00B5603D">
            <w:pPr>
              <w:rPr>
                <w:rFonts w:ascii="Arial" w:hAnsi="Arial" w:cs="Arial"/>
                <w:sz w:val="18"/>
                <w:szCs w:val="18"/>
              </w:rPr>
            </w:pPr>
            <w:r w:rsidRPr="00C967D3">
              <w:rPr>
                <w:rFonts w:ascii="Arial" w:hAnsi="Arial" w:cs="Arial"/>
                <w:sz w:val="18"/>
                <w:szCs w:val="18"/>
              </w:rPr>
              <w:t xml:space="preserve">$3,889,821 </w:t>
            </w:r>
          </w:p>
        </w:tc>
        <w:tc>
          <w:tcPr>
            <w:tcW w:w="1440" w:type="dxa"/>
          </w:tcPr>
          <w:p w14:paraId="6A0C2CCF" w14:textId="146D8097" w:rsidR="00B5603D" w:rsidRPr="00022F0A" w:rsidRDefault="00B5603D" w:rsidP="00B5603D">
            <w:pPr>
              <w:rPr>
                <w:rFonts w:ascii="Arial" w:hAnsi="Arial" w:cs="Arial"/>
                <w:sz w:val="18"/>
                <w:szCs w:val="18"/>
              </w:rPr>
            </w:pPr>
            <w:r w:rsidRPr="00C967D3">
              <w:rPr>
                <w:rFonts w:ascii="Arial" w:hAnsi="Arial" w:cs="Arial"/>
                <w:sz w:val="18"/>
                <w:szCs w:val="18"/>
              </w:rPr>
              <w:t xml:space="preserve">$334,873 </w:t>
            </w:r>
          </w:p>
        </w:tc>
        <w:tc>
          <w:tcPr>
            <w:tcW w:w="1440" w:type="dxa"/>
          </w:tcPr>
          <w:p w14:paraId="701FE500" w14:textId="47EAE950" w:rsidR="00B5603D" w:rsidRPr="00022F0A" w:rsidRDefault="00B5603D" w:rsidP="00B5603D">
            <w:pPr>
              <w:rPr>
                <w:rFonts w:ascii="Arial" w:hAnsi="Arial" w:cs="Arial"/>
                <w:sz w:val="18"/>
                <w:szCs w:val="18"/>
              </w:rPr>
            </w:pPr>
            <w:r w:rsidRPr="00C967D3">
              <w:rPr>
                <w:rFonts w:ascii="Arial" w:hAnsi="Arial" w:cs="Arial"/>
                <w:sz w:val="18"/>
                <w:szCs w:val="18"/>
              </w:rPr>
              <w:t xml:space="preserve">$2,507,616 </w:t>
            </w:r>
          </w:p>
        </w:tc>
        <w:tc>
          <w:tcPr>
            <w:tcW w:w="1615" w:type="dxa"/>
          </w:tcPr>
          <w:p w14:paraId="12A12F1B" w14:textId="1A056E58" w:rsidR="00B5603D" w:rsidRPr="00022F0A" w:rsidRDefault="00B5603D" w:rsidP="00B5603D">
            <w:pPr>
              <w:rPr>
                <w:rFonts w:ascii="Arial" w:hAnsi="Arial" w:cs="Arial"/>
                <w:sz w:val="18"/>
                <w:szCs w:val="18"/>
              </w:rPr>
            </w:pPr>
            <w:r w:rsidRPr="00C967D3">
              <w:rPr>
                <w:rFonts w:ascii="Arial" w:hAnsi="Arial" w:cs="Arial"/>
                <w:sz w:val="18"/>
                <w:szCs w:val="18"/>
              </w:rPr>
              <w:t xml:space="preserve">$19,999,516 </w:t>
            </w:r>
          </w:p>
        </w:tc>
      </w:tr>
      <w:tr w:rsidR="00B5603D" w14:paraId="4098C38E" w14:textId="77777777" w:rsidTr="00C91E7A">
        <w:trPr>
          <w:trHeight w:val="20"/>
        </w:trPr>
        <w:tc>
          <w:tcPr>
            <w:tcW w:w="1885" w:type="dxa"/>
          </w:tcPr>
          <w:p w14:paraId="21D2DDA3" w14:textId="5D66D5FF" w:rsidR="00B5603D" w:rsidRPr="00022F0A" w:rsidRDefault="00B5603D" w:rsidP="00B5603D">
            <w:pPr>
              <w:rPr>
                <w:rFonts w:ascii="Arial" w:hAnsi="Arial" w:cs="Arial"/>
                <w:sz w:val="18"/>
                <w:szCs w:val="18"/>
              </w:rPr>
            </w:pPr>
            <w:r w:rsidRPr="00C967D3">
              <w:rPr>
                <w:rFonts w:ascii="Arial" w:hAnsi="Arial" w:cs="Arial"/>
                <w:sz w:val="18"/>
                <w:szCs w:val="18"/>
              </w:rPr>
              <w:t>Massachusetts</w:t>
            </w:r>
          </w:p>
        </w:tc>
        <w:tc>
          <w:tcPr>
            <w:tcW w:w="1440" w:type="dxa"/>
          </w:tcPr>
          <w:p w14:paraId="318D75D5" w14:textId="4D2C8209" w:rsidR="00B5603D" w:rsidRPr="00022F0A" w:rsidRDefault="00B5603D" w:rsidP="00B5603D">
            <w:pPr>
              <w:rPr>
                <w:rFonts w:ascii="Arial" w:hAnsi="Arial" w:cs="Arial"/>
                <w:sz w:val="18"/>
                <w:szCs w:val="18"/>
              </w:rPr>
            </w:pPr>
            <w:r w:rsidRPr="00C967D3">
              <w:rPr>
                <w:rFonts w:ascii="Arial" w:hAnsi="Arial" w:cs="Arial"/>
                <w:sz w:val="18"/>
                <w:szCs w:val="18"/>
              </w:rPr>
              <w:t xml:space="preserve">$8,031,575 </w:t>
            </w:r>
          </w:p>
        </w:tc>
        <w:tc>
          <w:tcPr>
            <w:tcW w:w="1530" w:type="dxa"/>
          </w:tcPr>
          <w:p w14:paraId="1AEE2806" w14:textId="3F856A69" w:rsidR="00B5603D" w:rsidRPr="00022F0A" w:rsidRDefault="00B5603D" w:rsidP="00B5603D">
            <w:pPr>
              <w:rPr>
                <w:rFonts w:ascii="Arial" w:hAnsi="Arial" w:cs="Arial"/>
                <w:sz w:val="18"/>
                <w:szCs w:val="18"/>
              </w:rPr>
            </w:pPr>
            <w:r w:rsidRPr="00C967D3">
              <w:rPr>
                <w:rFonts w:ascii="Arial" w:hAnsi="Arial" w:cs="Arial"/>
                <w:sz w:val="18"/>
                <w:szCs w:val="18"/>
              </w:rPr>
              <w:t xml:space="preserve">$9,682,464 </w:t>
            </w:r>
          </w:p>
        </w:tc>
        <w:tc>
          <w:tcPr>
            <w:tcW w:w="1440" w:type="dxa"/>
          </w:tcPr>
          <w:p w14:paraId="3D823822" w14:textId="7C50217F" w:rsidR="00B5603D" w:rsidRPr="00022F0A" w:rsidRDefault="00B5603D" w:rsidP="00B5603D">
            <w:pPr>
              <w:rPr>
                <w:rFonts w:ascii="Arial" w:hAnsi="Arial" w:cs="Arial"/>
                <w:sz w:val="18"/>
                <w:szCs w:val="18"/>
              </w:rPr>
            </w:pPr>
            <w:r w:rsidRPr="00C967D3">
              <w:rPr>
                <w:rFonts w:ascii="Arial" w:hAnsi="Arial" w:cs="Arial"/>
                <w:sz w:val="18"/>
                <w:szCs w:val="18"/>
              </w:rPr>
              <w:t xml:space="preserve">$4,718,223 </w:t>
            </w:r>
          </w:p>
        </w:tc>
        <w:tc>
          <w:tcPr>
            <w:tcW w:w="1440" w:type="dxa"/>
          </w:tcPr>
          <w:p w14:paraId="47B054E8" w14:textId="2921FFCC" w:rsidR="00B5603D" w:rsidRPr="00022F0A" w:rsidRDefault="00B5603D" w:rsidP="00B5603D">
            <w:pPr>
              <w:rPr>
                <w:rFonts w:ascii="Arial" w:hAnsi="Arial" w:cs="Arial"/>
                <w:sz w:val="18"/>
                <w:szCs w:val="18"/>
              </w:rPr>
            </w:pPr>
            <w:r w:rsidRPr="00C967D3">
              <w:rPr>
                <w:rFonts w:ascii="Arial" w:hAnsi="Arial" w:cs="Arial"/>
                <w:sz w:val="18"/>
                <w:szCs w:val="18"/>
              </w:rPr>
              <w:t xml:space="preserve">$431,595 </w:t>
            </w:r>
          </w:p>
        </w:tc>
        <w:tc>
          <w:tcPr>
            <w:tcW w:w="1440" w:type="dxa"/>
          </w:tcPr>
          <w:p w14:paraId="52B618FA" w14:textId="185EF5ED" w:rsidR="00B5603D" w:rsidRPr="00022F0A" w:rsidRDefault="00B5603D" w:rsidP="00B5603D">
            <w:pPr>
              <w:rPr>
                <w:rFonts w:ascii="Arial" w:hAnsi="Arial" w:cs="Arial"/>
                <w:sz w:val="18"/>
                <w:szCs w:val="18"/>
              </w:rPr>
            </w:pPr>
            <w:r w:rsidRPr="00C967D3">
              <w:rPr>
                <w:rFonts w:ascii="Arial" w:hAnsi="Arial" w:cs="Arial"/>
                <w:sz w:val="18"/>
                <w:szCs w:val="18"/>
              </w:rPr>
              <w:t xml:space="preserve">$3,146,938 </w:t>
            </w:r>
          </w:p>
        </w:tc>
        <w:tc>
          <w:tcPr>
            <w:tcW w:w="1615" w:type="dxa"/>
          </w:tcPr>
          <w:p w14:paraId="2EE920B6" w14:textId="0E0D3D26" w:rsidR="00B5603D" w:rsidRPr="00022F0A" w:rsidRDefault="00B5603D" w:rsidP="00B5603D">
            <w:pPr>
              <w:rPr>
                <w:rFonts w:ascii="Arial" w:hAnsi="Arial" w:cs="Arial"/>
                <w:sz w:val="18"/>
                <w:szCs w:val="18"/>
              </w:rPr>
            </w:pPr>
            <w:r w:rsidRPr="00C967D3">
              <w:rPr>
                <w:rFonts w:ascii="Arial" w:hAnsi="Arial" w:cs="Arial"/>
                <w:sz w:val="18"/>
                <w:szCs w:val="18"/>
              </w:rPr>
              <w:t xml:space="preserve">$26,010,795 </w:t>
            </w:r>
          </w:p>
        </w:tc>
      </w:tr>
      <w:tr w:rsidR="00B5603D" w14:paraId="62FF76F9" w14:textId="77777777" w:rsidTr="00C91E7A">
        <w:trPr>
          <w:trHeight w:val="20"/>
        </w:trPr>
        <w:tc>
          <w:tcPr>
            <w:tcW w:w="1885" w:type="dxa"/>
          </w:tcPr>
          <w:p w14:paraId="3F92E578" w14:textId="2CEF8930" w:rsidR="00B5603D" w:rsidRPr="00022F0A" w:rsidRDefault="00B5603D" w:rsidP="00B5603D">
            <w:pPr>
              <w:rPr>
                <w:rFonts w:ascii="Arial" w:hAnsi="Arial" w:cs="Arial"/>
                <w:sz w:val="18"/>
                <w:szCs w:val="18"/>
              </w:rPr>
            </w:pPr>
            <w:r w:rsidRPr="00C967D3">
              <w:rPr>
                <w:rFonts w:ascii="Arial" w:hAnsi="Arial" w:cs="Arial"/>
                <w:sz w:val="18"/>
                <w:szCs w:val="18"/>
              </w:rPr>
              <w:t>Michigan</w:t>
            </w:r>
          </w:p>
        </w:tc>
        <w:tc>
          <w:tcPr>
            <w:tcW w:w="1440" w:type="dxa"/>
          </w:tcPr>
          <w:p w14:paraId="0179FFFE" w14:textId="7C6EBA9E" w:rsidR="00B5603D" w:rsidRPr="00022F0A" w:rsidRDefault="00B5603D" w:rsidP="00B5603D">
            <w:pPr>
              <w:rPr>
                <w:rFonts w:ascii="Arial" w:hAnsi="Arial" w:cs="Arial"/>
                <w:sz w:val="18"/>
                <w:szCs w:val="18"/>
              </w:rPr>
            </w:pPr>
            <w:r w:rsidRPr="00C967D3">
              <w:rPr>
                <w:rFonts w:ascii="Arial" w:hAnsi="Arial" w:cs="Arial"/>
                <w:sz w:val="18"/>
                <w:szCs w:val="18"/>
              </w:rPr>
              <w:t xml:space="preserve">$11,012,313 </w:t>
            </w:r>
          </w:p>
        </w:tc>
        <w:tc>
          <w:tcPr>
            <w:tcW w:w="1530" w:type="dxa"/>
          </w:tcPr>
          <w:p w14:paraId="405E6D1E" w14:textId="3EFA4AD7" w:rsidR="00B5603D" w:rsidRPr="00022F0A" w:rsidRDefault="00B5603D" w:rsidP="00B5603D">
            <w:pPr>
              <w:rPr>
                <w:rFonts w:ascii="Arial" w:hAnsi="Arial" w:cs="Arial"/>
                <w:sz w:val="18"/>
                <w:szCs w:val="18"/>
              </w:rPr>
            </w:pPr>
            <w:r w:rsidRPr="00C967D3">
              <w:rPr>
                <w:rFonts w:ascii="Arial" w:hAnsi="Arial" w:cs="Arial"/>
                <w:sz w:val="18"/>
                <w:szCs w:val="18"/>
              </w:rPr>
              <w:t xml:space="preserve">$13,877,129 </w:t>
            </w:r>
          </w:p>
        </w:tc>
        <w:tc>
          <w:tcPr>
            <w:tcW w:w="1440" w:type="dxa"/>
          </w:tcPr>
          <w:p w14:paraId="018CFA6F" w14:textId="2315F54C" w:rsidR="00B5603D" w:rsidRPr="00022F0A" w:rsidRDefault="00B5603D" w:rsidP="00B5603D">
            <w:pPr>
              <w:rPr>
                <w:rFonts w:ascii="Arial" w:hAnsi="Arial" w:cs="Arial"/>
                <w:sz w:val="18"/>
                <w:szCs w:val="18"/>
              </w:rPr>
            </w:pPr>
            <w:r w:rsidRPr="00C967D3">
              <w:rPr>
                <w:rFonts w:ascii="Arial" w:hAnsi="Arial" w:cs="Arial"/>
                <w:sz w:val="18"/>
                <w:szCs w:val="18"/>
              </w:rPr>
              <w:t xml:space="preserve">$7,162,479 </w:t>
            </w:r>
          </w:p>
        </w:tc>
        <w:tc>
          <w:tcPr>
            <w:tcW w:w="1440" w:type="dxa"/>
          </w:tcPr>
          <w:p w14:paraId="18702DCC" w14:textId="1C701A43" w:rsidR="00B5603D" w:rsidRPr="00022F0A" w:rsidRDefault="00B5603D" w:rsidP="00B5603D">
            <w:pPr>
              <w:rPr>
                <w:rFonts w:ascii="Arial" w:hAnsi="Arial" w:cs="Arial"/>
                <w:sz w:val="18"/>
                <w:szCs w:val="18"/>
              </w:rPr>
            </w:pPr>
            <w:r w:rsidRPr="00C967D3">
              <w:rPr>
                <w:rFonts w:ascii="Arial" w:hAnsi="Arial" w:cs="Arial"/>
                <w:sz w:val="18"/>
                <w:szCs w:val="18"/>
              </w:rPr>
              <w:t xml:space="preserve">$643,495 </w:t>
            </w:r>
          </w:p>
        </w:tc>
        <w:tc>
          <w:tcPr>
            <w:tcW w:w="1440" w:type="dxa"/>
          </w:tcPr>
          <w:p w14:paraId="2299AACD" w14:textId="13AC31EB" w:rsidR="00B5603D" w:rsidRPr="00022F0A" w:rsidRDefault="00B5603D" w:rsidP="00B5603D">
            <w:pPr>
              <w:rPr>
                <w:rFonts w:ascii="Arial" w:hAnsi="Arial" w:cs="Arial"/>
                <w:sz w:val="18"/>
                <w:szCs w:val="18"/>
              </w:rPr>
            </w:pPr>
            <w:r w:rsidRPr="00C967D3">
              <w:rPr>
                <w:rFonts w:ascii="Arial" w:hAnsi="Arial" w:cs="Arial"/>
                <w:sz w:val="18"/>
                <w:szCs w:val="18"/>
              </w:rPr>
              <w:t xml:space="preserve">$4,686,446 </w:t>
            </w:r>
          </w:p>
        </w:tc>
        <w:tc>
          <w:tcPr>
            <w:tcW w:w="1615" w:type="dxa"/>
          </w:tcPr>
          <w:p w14:paraId="7C3A4895" w14:textId="5003B2FA" w:rsidR="00B5603D" w:rsidRPr="00022F0A" w:rsidRDefault="00B5603D" w:rsidP="00B5603D">
            <w:pPr>
              <w:rPr>
                <w:rFonts w:ascii="Arial" w:hAnsi="Arial" w:cs="Arial"/>
                <w:sz w:val="18"/>
                <w:szCs w:val="18"/>
              </w:rPr>
            </w:pPr>
            <w:r w:rsidRPr="00C967D3">
              <w:rPr>
                <w:rFonts w:ascii="Arial" w:hAnsi="Arial" w:cs="Arial"/>
                <w:sz w:val="18"/>
                <w:szCs w:val="18"/>
              </w:rPr>
              <w:t xml:space="preserve">$37,381,862 </w:t>
            </w:r>
          </w:p>
        </w:tc>
      </w:tr>
      <w:tr w:rsidR="00B5603D" w14:paraId="5DC255CC" w14:textId="77777777" w:rsidTr="00C91E7A">
        <w:trPr>
          <w:trHeight w:val="20"/>
        </w:trPr>
        <w:tc>
          <w:tcPr>
            <w:tcW w:w="1885" w:type="dxa"/>
          </w:tcPr>
          <w:p w14:paraId="7D8413D5" w14:textId="38F5F9E9" w:rsidR="00B5603D" w:rsidRPr="00022F0A" w:rsidRDefault="00B5603D" w:rsidP="00B5603D">
            <w:pPr>
              <w:rPr>
                <w:rFonts w:ascii="Arial" w:hAnsi="Arial" w:cs="Arial"/>
                <w:sz w:val="18"/>
                <w:szCs w:val="18"/>
              </w:rPr>
            </w:pPr>
            <w:r w:rsidRPr="00C967D3">
              <w:rPr>
                <w:rFonts w:ascii="Arial" w:hAnsi="Arial" w:cs="Arial"/>
                <w:sz w:val="18"/>
                <w:szCs w:val="18"/>
              </w:rPr>
              <w:t>Minnesota</w:t>
            </w:r>
          </w:p>
        </w:tc>
        <w:tc>
          <w:tcPr>
            <w:tcW w:w="1440" w:type="dxa"/>
          </w:tcPr>
          <w:p w14:paraId="4EF9C95D" w14:textId="4F81385C" w:rsidR="00B5603D" w:rsidRPr="00022F0A" w:rsidRDefault="00B5603D" w:rsidP="00B5603D">
            <w:pPr>
              <w:rPr>
                <w:rFonts w:ascii="Arial" w:hAnsi="Arial" w:cs="Arial"/>
                <w:sz w:val="18"/>
                <w:szCs w:val="18"/>
              </w:rPr>
            </w:pPr>
            <w:r w:rsidRPr="00C967D3">
              <w:rPr>
                <w:rFonts w:ascii="Arial" w:hAnsi="Arial" w:cs="Arial"/>
                <w:sz w:val="18"/>
                <w:szCs w:val="18"/>
              </w:rPr>
              <w:t xml:space="preserve">$5,380,738 </w:t>
            </w:r>
          </w:p>
        </w:tc>
        <w:tc>
          <w:tcPr>
            <w:tcW w:w="1530" w:type="dxa"/>
          </w:tcPr>
          <w:p w14:paraId="5FAEDFB5" w14:textId="2B5BFDA9" w:rsidR="00B5603D" w:rsidRPr="00022F0A" w:rsidRDefault="00B5603D" w:rsidP="00B5603D">
            <w:pPr>
              <w:rPr>
                <w:rFonts w:ascii="Arial" w:hAnsi="Arial" w:cs="Arial"/>
                <w:sz w:val="18"/>
                <w:szCs w:val="18"/>
              </w:rPr>
            </w:pPr>
            <w:r w:rsidRPr="00C967D3">
              <w:rPr>
                <w:rFonts w:ascii="Arial" w:hAnsi="Arial" w:cs="Arial"/>
                <w:sz w:val="18"/>
                <w:szCs w:val="18"/>
              </w:rPr>
              <w:t xml:space="preserve">$7,138,238 </w:t>
            </w:r>
          </w:p>
        </w:tc>
        <w:tc>
          <w:tcPr>
            <w:tcW w:w="1440" w:type="dxa"/>
          </w:tcPr>
          <w:p w14:paraId="52C9044F" w14:textId="031F06E1" w:rsidR="00B5603D" w:rsidRPr="00022F0A" w:rsidRDefault="00B5603D" w:rsidP="00B5603D">
            <w:pPr>
              <w:rPr>
                <w:rFonts w:ascii="Arial" w:hAnsi="Arial" w:cs="Arial"/>
                <w:sz w:val="18"/>
                <w:szCs w:val="18"/>
              </w:rPr>
            </w:pPr>
            <w:r w:rsidRPr="00C967D3">
              <w:rPr>
                <w:rFonts w:ascii="Arial" w:hAnsi="Arial" w:cs="Arial"/>
                <w:sz w:val="18"/>
                <w:szCs w:val="18"/>
              </w:rPr>
              <w:t xml:space="preserve">$3,684,298 </w:t>
            </w:r>
          </w:p>
        </w:tc>
        <w:tc>
          <w:tcPr>
            <w:tcW w:w="1440" w:type="dxa"/>
          </w:tcPr>
          <w:p w14:paraId="04B73793" w14:textId="585787FB" w:rsidR="00B5603D" w:rsidRPr="00022F0A" w:rsidRDefault="00B5603D" w:rsidP="00B5603D">
            <w:pPr>
              <w:rPr>
                <w:rFonts w:ascii="Arial" w:hAnsi="Arial" w:cs="Arial"/>
                <w:sz w:val="18"/>
                <w:szCs w:val="18"/>
              </w:rPr>
            </w:pPr>
            <w:r w:rsidRPr="00C967D3">
              <w:rPr>
                <w:rFonts w:ascii="Arial" w:hAnsi="Arial" w:cs="Arial"/>
                <w:sz w:val="18"/>
                <w:szCs w:val="18"/>
              </w:rPr>
              <w:t xml:space="preserve">$314,419 </w:t>
            </w:r>
          </w:p>
        </w:tc>
        <w:tc>
          <w:tcPr>
            <w:tcW w:w="1440" w:type="dxa"/>
          </w:tcPr>
          <w:p w14:paraId="03DBB2F6" w14:textId="31088267" w:rsidR="00B5603D" w:rsidRPr="00022F0A" w:rsidRDefault="00B5603D" w:rsidP="00B5603D">
            <w:pPr>
              <w:rPr>
                <w:rFonts w:ascii="Arial" w:hAnsi="Arial" w:cs="Arial"/>
                <w:sz w:val="18"/>
                <w:szCs w:val="18"/>
              </w:rPr>
            </w:pPr>
            <w:r w:rsidRPr="00C967D3">
              <w:rPr>
                <w:rFonts w:ascii="Arial" w:hAnsi="Arial" w:cs="Arial"/>
                <w:sz w:val="18"/>
                <w:szCs w:val="18"/>
              </w:rPr>
              <w:t xml:space="preserve">$2,436,131 </w:t>
            </w:r>
          </w:p>
        </w:tc>
        <w:tc>
          <w:tcPr>
            <w:tcW w:w="1615" w:type="dxa"/>
          </w:tcPr>
          <w:p w14:paraId="1E6D2F75" w14:textId="2E7F6836" w:rsidR="00B5603D" w:rsidRPr="00022F0A" w:rsidRDefault="00B5603D" w:rsidP="00B5603D">
            <w:pPr>
              <w:rPr>
                <w:rFonts w:ascii="Arial" w:hAnsi="Arial" w:cs="Arial"/>
                <w:sz w:val="18"/>
                <w:szCs w:val="18"/>
              </w:rPr>
            </w:pPr>
            <w:r w:rsidRPr="00C967D3">
              <w:rPr>
                <w:rFonts w:ascii="Arial" w:hAnsi="Arial" w:cs="Arial"/>
                <w:sz w:val="18"/>
                <w:szCs w:val="18"/>
              </w:rPr>
              <w:t xml:space="preserve">$18,953,824 </w:t>
            </w:r>
          </w:p>
        </w:tc>
      </w:tr>
      <w:tr w:rsidR="00B5603D" w14:paraId="203CD2B1" w14:textId="77777777" w:rsidTr="00C91E7A">
        <w:trPr>
          <w:trHeight w:val="20"/>
        </w:trPr>
        <w:tc>
          <w:tcPr>
            <w:tcW w:w="1885" w:type="dxa"/>
          </w:tcPr>
          <w:p w14:paraId="03625917" w14:textId="68CD9B55" w:rsidR="00B5603D" w:rsidRPr="00022F0A" w:rsidRDefault="00B5603D" w:rsidP="00B5603D">
            <w:pPr>
              <w:rPr>
                <w:rFonts w:ascii="Arial" w:hAnsi="Arial" w:cs="Arial"/>
                <w:sz w:val="18"/>
                <w:szCs w:val="18"/>
              </w:rPr>
            </w:pPr>
            <w:r w:rsidRPr="00C967D3">
              <w:rPr>
                <w:rFonts w:ascii="Arial" w:hAnsi="Arial" w:cs="Arial"/>
                <w:sz w:val="18"/>
                <w:szCs w:val="18"/>
              </w:rPr>
              <w:t>Mississippi</w:t>
            </w:r>
          </w:p>
        </w:tc>
        <w:tc>
          <w:tcPr>
            <w:tcW w:w="1440" w:type="dxa"/>
          </w:tcPr>
          <w:p w14:paraId="6F0082FF" w14:textId="32CD032A" w:rsidR="00B5603D" w:rsidRPr="00022F0A" w:rsidRDefault="00B5603D" w:rsidP="00B5603D">
            <w:pPr>
              <w:rPr>
                <w:rFonts w:ascii="Arial" w:hAnsi="Arial" w:cs="Arial"/>
                <w:sz w:val="18"/>
                <w:szCs w:val="18"/>
              </w:rPr>
            </w:pPr>
            <w:r w:rsidRPr="00C967D3">
              <w:rPr>
                <w:rFonts w:ascii="Arial" w:hAnsi="Arial" w:cs="Arial"/>
                <w:sz w:val="18"/>
                <w:szCs w:val="18"/>
              </w:rPr>
              <w:t xml:space="preserve">$3,201,939 </w:t>
            </w:r>
          </w:p>
        </w:tc>
        <w:tc>
          <w:tcPr>
            <w:tcW w:w="1530" w:type="dxa"/>
          </w:tcPr>
          <w:p w14:paraId="01AE60F5" w14:textId="7DFF42B0" w:rsidR="00B5603D" w:rsidRPr="00022F0A" w:rsidRDefault="00B5603D" w:rsidP="00B5603D">
            <w:pPr>
              <w:rPr>
                <w:rFonts w:ascii="Arial" w:hAnsi="Arial" w:cs="Arial"/>
                <w:sz w:val="18"/>
                <w:szCs w:val="18"/>
              </w:rPr>
            </w:pPr>
            <w:r w:rsidRPr="00C967D3">
              <w:rPr>
                <w:rFonts w:ascii="Arial" w:hAnsi="Arial" w:cs="Arial"/>
                <w:sz w:val="18"/>
                <w:szCs w:val="18"/>
              </w:rPr>
              <w:t xml:space="preserve">$3,856,890 </w:t>
            </w:r>
          </w:p>
        </w:tc>
        <w:tc>
          <w:tcPr>
            <w:tcW w:w="1440" w:type="dxa"/>
          </w:tcPr>
          <w:p w14:paraId="19CA5546" w14:textId="44AE5160" w:rsidR="00B5603D" w:rsidRPr="00022F0A" w:rsidRDefault="00B5603D" w:rsidP="00B5603D">
            <w:pPr>
              <w:rPr>
                <w:rFonts w:ascii="Arial" w:hAnsi="Arial" w:cs="Arial"/>
                <w:sz w:val="18"/>
                <w:szCs w:val="18"/>
              </w:rPr>
            </w:pPr>
            <w:r w:rsidRPr="00C967D3">
              <w:rPr>
                <w:rFonts w:ascii="Arial" w:hAnsi="Arial" w:cs="Arial"/>
                <w:sz w:val="18"/>
                <w:szCs w:val="18"/>
              </w:rPr>
              <w:t xml:space="preserve">$1,990,678 </w:t>
            </w:r>
          </w:p>
        </w:tc>
        <w:tc>
          <w:tcPr>
            <w:tcW w:w="1440" w:type="dxa"/>
          </w:tcPr>
          <w:p w14:paraId="02360FBD" w14:textId="6E749807" w:rsidR="00B5603D" w:rsidRPr="00022F0A" w:rsidRDefault="00B5603D" w:rsidP="00B5603D">
            <w:pPr>
              <w:rPr>
                <w:rFonts w:ascii="Arial" w:hAnsi="Arial" w:cs="Arial"/>
                <w:sz w:val="18"/>
                <w:szCs w:val="18"/>
              </w:rPr>
            </w:pPr>
            <w:r w:rsidRPr="00C967D3">
              <w:rPr>
                <w:rFonts w:ascii="Arial" w:hAnsi="Arial" w:cs="Arial"/>
                <w:sz w:val="18"/>
                <w:szCs w:val="18"/>
              </w:rPr>
              <w:t xml:space="preserve">$181,971 </w:t>
            </w:r>
          </w:p>
        </w:tc>
        <w:tc>
          <w:tcPr>
            <w:tcW w:w="1440" w:type="dxa"/>
          </w:tcPr>
          <w:p w14:paraId="6F067DB4" w14:textId="09F941AD" w:rsidR="00B5603D" w:rsidRPr="00022F0A" w:rsidRDefault="00B5603D" w:rsidP="00B5603D">
            <w:pPr>
              <w:rPr>
                <w:rFonts w:ascii="Arial" w:hAnsi="Arial" w:cs="Arial"/>
                <w:sz w:val="18"/>
                <w:szCs w:val="18"/>
              </w:rPr>
            </w:pPr>
            <w:r w:rsidRPr="00C967D3">
              <w:rPr>
                <w:rFonts w:ascii="Arial" w:hAnsi="Arial" w:cs="Arial"/>
                <w:sz w:val="18"/>
                <w:szCs w:val="18"/>
              </w:rPr>
              <w:t xml:space="preserve">$1,303,412 </w:t>
            </w:r>
          </w:p>
        </w:tc>
        <w:tc>
          <w:tcPr>
            <w:tcW w:w="1615" w:type="dxa"/>
          </w:tcPr>
          <w:p w14:paraId="67115D80" w14:textId="3A594A83" w:rsidR="00B5603D" w:rsidRPr="00022F0A" w:rsidRDefault="00B5603D" w:rsidP="00B5603D">
            <w:pPr>
              <w:rPr>
                <w:rFonts w:ascii="Arial" w:hAnsi="Arial" w:cs="Arial"/>
                <w:sz w:val="18"/>
                <w:szCs w:val="18"/>
              </w:rPr>
            </w:pPr>
            <w:r w:rsidRPr="00C967D3">
              <w:rPr>
                <w:rFonts w:ascii="Arial" w:hAnsi="Arial" w:cs="Arial"/>
                <w:sz w:val="18"/>
                <w:szCs w:val="18"/>
              </w:rPr>
              <w:t xml:space="preserve">$10,534,890 </w:t>
            </w:r>
          </w:p>
        </w:tc>
      </w:tr>
      <w:tr w:rsidR="00B5603D" w14:paraId="0BB2FCA7" w14:textId="77777777" w:rsidTr="00C91E7A">
        <w:trPr>
          <w:trHeight w:val="20"/>
        </w:trPr>
        <w:tc>
          <w:tcPr>
            <w:tcW w:w="1885" w:type="dxa"/>
          </w:tcPr>
          <w:p w14:paraId="586B85F3" w14:textId="0E8C5411" w:rsidR="00B5603D" w:rsidRPr="00022F0A" w:rsidRDefault="00B5603D" w:rsidP="00B5603D">
            <w:pPr>
              <w:rPr>
                <w:rFonts w:ascii="Arial" w:hAnsi="Arial" w:cs="Arial"/>
                <w:sz w:val="18"/>
                <w:szCs w:val="18"/>
              </w:rPr>
            </w:pPr>
            <w:r w:rsidRPr="00C967D3">
              <w:rPr>
                <w:rFonts w:ascii="Arial" w:hAnsi="Arial" w:cs="Arial"/>
                <w:sz w:val="18"/>
                <w:szCs w:val="18"/>
              </w:rPr>
              <w:t>Missouri</w:t>
            </w:r>
          </w:p>
        </w:tc>
        <w:tc>
          <w:tcPr>
            <w:tcW w:w="1440" w:type="dxa"/>
          </w:tcPr>
          <w:p w14:paraId="2FFE9737" w14:textId="3881C6CD" w:rsidR="00B5603D" w:rsidRPr="00022F0A" w:rsidRDefault="00B5603D" w:rsidP="00B5603D">
            <w:pPr>
              <w:rPr>
                <w:rFonts w:ascii="Arial" w:hAnsi="Arial" w:cs="Arial"/>
                <w:sz w:val="18"/>
                <w:szCs w:val="18"/>
              </w:rPr>
            </w:pPr>
            <w:r w:rsidRPr="00C967D3">
              <w:rPr>
                <w:rFonts w:ascii="Arial" w:hAnsi="Arial" w:cs="Arial"/>
                <w:sz w:val="18"/>
                <w:szCs w:val="18"/>
              </w:rPr>
              <w:t xml:space="preserve">$6,964,495 </w:t>
            </w:r>
          </w:p>
        </w:tc>
        <w:tc>
          <w:tcPr>
            <w:tcW w:w="1530" w:type="dxa"/>
          </w:tcPr>
          <w:p w14:paraId="54FBEDF3" w14:textId="65B469E8" w:rsidR="00B5603D" w:rsidRPr="00022F0A" w:rsidRDefault="00B5603D" w:rsidP="00B5603D">
            <w:pPr>
              <w:rPr>
                <w:rFonts w:ascii="Arial" w:hAnsi="Arial" w:cs="Arial"/>
                <w:sz w:val="18"/>
                <w:szCs w:val="18"/>
              </w:rPr>
            </w:pPr>
            <w:r w:rsidRPr="00C967D3">
              <w:rPr>
                <w:rFonts w:ascii="Arial" w:hAnsi="Arial" w:cs="Arial"/>
                <w:sz w:val="18"/>
                <w:szCs w:val="18"/>
              </w:rPr>
              <w:t xml:space="preserve">$8,382,377 </w:t>
            </w:r>
          </w:p>
        </w:tc>
        <w:tc>
          <w:tcPr>
            <w:tcW w:w="1440" w:type="dxa"/>
          </w:tcPr>
          <w:p w14:paraId="5FE45C5E" w14:textId="554FD567" w:rsidR="00B5603D" w:rsidRPr="00022F0A" w:rsidRDefault="00B5603D" w:rsidP="00B5603D">
            <w:pPr>
              <w:rPr>
                <w:rFonts w:ascii="Arial" w:hAnsi="Arial" w:cs="Arial"/>
                <w:sz w:val="18"/>
                <w:szCs w:val="18"/>
              </w:rPr>
            </w:pPr>
            <w:r w:rsidRPr="00C967D3">
              <w:rPr>
                <w:rFonts w:ascii="Arial" w:hAnsi="Arial" w:cs="Arial"/>
                <w:sz w:val="18"/>
                <w:szCs w:val="18"/>
              </w:rPr>
              <w:t xml:space="preserve">$4,290,047 </w:t>
            </w:r>
          </w:p>
        </w:tc>
        <w:tc>
          <w:tcPr>
            <w:tcW w:w="1440" w:type="dxa"/>
          </w:tcPr>
          <w:p w14:paraId="56B85ADD" w14:textId="72BAAE60" w:rsidR="00B5603D" w:rsidRPr="00022F0A" w:rsidRDefault="00B5603D" w:rsidP="00B5603D">
            <w:pPr>
              <w:rPr>
                <w:rFonts w:ascii="Arial" w:hAnsi="Arial" w:cs="Arial"/>
                <w:sz w:val="18"/>
                <w:szCs w:val="18"/>
              </w:rPr>
            </w:pPr>
            <w:r w:rsidRPr="00C967D3">
              <w:rPr>
                <w:rFonts w:ascii="Arial" w:hAnsi="Arial" w:cs="Arial"/>
                <w:sz w:val="18"/>
                <w:szCs w:val="18"/>
              </w:rPr>
              <w:t xml:space="preserve">$392,454 </w:t>
            </w:r>
          </w:p>
        </w:tc>
        <w:tc>
          <w:tcPr>
            <w:tcW w:w="1440" w:type="dxa"/>
          </w:tcPr>
          <w:p w14:paraId="7982AC85" w14:textId="7EC09088" w:rsidR="00B5603D" w:rsidRPr="00022F0A" w:rsidRDefault="00B5603D" w:rsidP="00B5603D">
            <w:pPr>
              <w:rPr>
                <w:rFonts w:ascii="Arial" w:hAnsi="Arial" w:cs="Arial"/>
                <w:sz w:val="18"/>
                <w:szCs w:val="18"/>
              </w:rPr>
            </w:pPr>
            <w:r w:rsidRPr="00C967D3">
              <w:rPr>
                <w:rFonts w:ascii="Arial" w:hAnsi="Arial" w:cs="Arial"/>
                <w:sz w:val="18"/>
                <w:szCs w:val="18"/>
              </w:rPr>
              <w:t xml:space="preserve">$2,893,349 </w:t>
            </w:r>
          </w:p>
        </w:tc>
        <w:tc>
          <w:tcPr>
            <w:tcW w:w="1615" w:type="dxa"/>
          </w:tcPr>
          <w:p w14:paraId="25215B29" w14:textId="3C75B4C2" w:rsidR="00B5603D" w:rsidRPr="00022F0A" w:rsidRDefault="00B5603D" w:rsidP="00B5603D">
            <w:pPr>
              <w:rPr>
                <w:rFonts w:ascii="Arial" w:hAnsi="Arial" w:cs="Arial"/>
                <w:sz w:val="18"/>
                <w:szCs w:val="18"/>
              </w:rPr>
            </w:pPr>
            <w:r w:rsidRPr="00C967D3">
              <w:rPr>
                <w:rFonts w:ascii="Arial" w:hAnsi="Arial" w:cs="Arial"/>
                <w:sz w:val="18"/>
                <w:szCs w:val="18"/>
              </w:rPr>
              <w:t xml:space="preserve">$22,922,722 </w:t>
            </w:r>
          </w:p>
        </w:tc>
      </w:tr>
      <w:tr w:rsidR="00B5603D" w14:paraId="03E37808" w14:textId="77777777" w:rsidTr="00C91E7A">
        <w:trPr>
          <w:trHeight w:val="20"/>
        </w:trPr>
        <w:tc>
          <w:tcPr>
            <w:tcW w:w="1885" w:type="dxa"/>
          </w:tcPr>
          <w:p w14:paraId="6C935474" w14:textId="0AA439FE" w:rsidR="00B5603D" w:rsidRPr="00022F0A" w:rsidRDefault="00B5603D" w:rsidP="00B5603D">
            <w:pPr>
              <w:rPr>
                <w:rFonts w:ascii="Arial" w:hAnsi="Arial" w:cs="Arial"/>
                <w:sz w:val="18"/>
                <w:szCs w:val="18"/>
              </w:rPr>
            </w:pPr>
            <w:r w:rsidRPr="00C967D3">
              <w:rPr>
                <w:rFonts w:ascii="Arial" w:hAnsi="Arial" w:cs="Arial"/>
                <w:sz w:val="18"/>
                <w:szCs w:val="18"/>
              </w:rPr>
              <w:t>Montana</w:t>
            </w:r>
          </w:p>
        </w:tc>
        <w:tc>
          <w:tcPr>
            <w:tcW w:w="1440" w:type="dxa"/>
          </w:tcPr>
          <w:p w14:paraId="6B1BD269" w14:textId="59516BA3" w:rsidR="00B5603D" w:rsidRPr="00022F0A" w:rsidRDefault="00B5603D" w:rsidP="00B5603D">
            <w:pPr>
              <w:rPr>
                <w:rFonts w:ascii="Arial" w:hAnsi="Arial" w:cs="Arial"/>
                <w:sz w:val="18"/>
                <w:szCs w:val="18"/>
              </w:rPr>
            </w:pPr>
            <w:r w:rsidRPr="00C967D3">
              <w:rPr>
                <w:rFonts w:ascii="Arial" w:hAnsi="Arial" w:cs="Arial"/>
                <w:sz w:val="18"/>
                <w:szCs w:val="18"/>
              </w:rPr>
              <w:t xml:space="preserve">$1,736,115 </w:t>
            </w:r>
          </w:p>
        </w:tc>
        <w:tc>
          <w:tcPr>
            <w:tcW w:w="1530" w:type="dxa"/>
          </w:tcPr>
          <w:p w14:paraId="2563F21E" w14:textId="239B260E" w:rsidR="00B5603D" w:rsidRPr="00022F0A" w:rsidRDefault="00B5603D" w:rsidP="00B5603D">
            <w:pPr>
              <w:rPr>
                <w:rFonts w:ascii="Arial" w:hAnsi="Arial" w:cs="Arial"/>
                <w:sz w:val="18"/>
                <w:szCs w:val="18"/>
              </w:rPr>
            </w:pPr>
            <w:r w:rsidRPr="00C967D3">
              <w:rPr>
                <w:rFonts w:ascii="Arial" w:hAnsi="Arial" w:cs="Arial"/>
                <w:sz w:val="18"/>
                <w:szCs w:val="18"/>
              </w:rPr>
              <w:t xml:space="preserve">$2,229,088 </w:t>
            </w:r>
          </w:p>
        </w:tc>
        <w:tc>
          <w:tcPr>
            <w:tcW w:w="1440" w:type="dxa"/>
          </w:tcPr>
          <w:p w14:paraId="064C3900" w14:textId="120FB8C3" w:rsidR="00B5603D" w:rsidRPr="00022F0A" w:rsidRDefault="00B5603D" w:rsidP="00B5603D">
            <w:pPr>
              <w:rPr>
                <w:rFonts w:ascii="Arial" w:hAnsi="Arial" w:cs="Arial"/>
                <w:sz w:val="18"/>
                <w:szCs w:val="18"/>
              </w:rPr>
            </w:pPr>
            <w:r w:rsidRPr="00C967D3">
              <w:rPr>
                <w:rFonts w:ascii="Arial" w:hAnsi="Arial" w:cs="Arial"/>
                <w:sz w:val="18"/>
                <w:szCs w:val="18"/>
              </w:rPr>
              <w:t xml:space="preserve">$1,125,270 </w:t>
            </w:r>
          </w:p>
        </w:tc>
        <w:tc>
          <w:tcPr>
            <w:tcW w:w="1440" w:type="dxa"/>
          </w:tcPr>
          <w:p w14:paraId="35336F25" w14:textId="002FC3DF" w:rsidR="00B5603D" w:rsidRPr="00022F0A" w:rsidRDefault="00B5603D" w:rsidP="00B5603D">
            <w:pPr>
              <w:rPr>
                <w:rFonts w:ascii="Arial" w:hAnsi="Arial" w:cs="Arial"/>
                <w:sz w:val="18"/>
                <w:szCs w:val="18"/>
              </w:rPr>
            </w:pPr>
            <w:r w:rsidRPr="00C967D3">
              <w:rPr>
                <w:rFonts w:ascii="Arial" w:hAnsi="Arial" w:cs="Arial"/>
                <w:sz w:val="18"/>
                <w:szCs w:val="18"/>
              </w:rPr>
              <w:t xml:space="preserve">$98,321 </w:t>
            </w:r>
          </w:p>
        </w:tc>
        <w:tc>
          <w:tcPr>
            <w:tcW w:w="1440" w:type="dxa"/>
          </w:tcPr>
          <w:p w14:paraId="113BB67C" w14:textId="4379E9E0" w:rsidR="00B5603D" w:rsidRPr="00022F0A" w:rsidRDefault="00B5603D" w:rsidP="00B5603D">
            <w:pPr>
              <w:rPr>
                <w:rFonts w:ascii="Arial" w:hAnsi="Arial" w:cs="Arial"/>
                <w:sz w:val="18"/>
                <w:szCs w:val="18"/>
              </w:rPr>
            </w:pPr>
            <w:r w:rsidRPr="00C967D3">
              <w:rPr>
                <w:rFonts w:ascii="Arial" w:hAnsi="Arial" w:cs="Arial"/>
                <w:sz w:val="18"/>
                <w:szCs w:val="18"/>
              </w:rPr>
              <w:t xml:space="preserve">$746,423 </w:t>
            </w:r>
          </w:p>
        </w:tc>
        <w:tc>
          <w:tcPr>
            <w:tcW w:w="1615" w:type="dxa"/>
          </w:tcPr>
          <w:p w14:paraId="3AD476EF" w14:textId="370E0221" w:rsidR="00B5603D" w:rsidRPr="00022F0A" w:rsidRDefault="00B5603D" w:rsidP="00B5603D">
            <w:pPr>
              <w:rPr>
                <w:rFonts w:ascii="Arial" w:hAnsi="Arial" w:cs="Arial"/>
                <w:sz w:val="18"/>
                <w:szCs w:val="18"/>
              </w:rPr>
            </w:pPr>
            <w:r w:rsidRPr="00C967D3">
              <w:rPr>
                <w:rFonts w:ascii="Arial" w:hAnsi="Arial" w:cs="Arial"/>
                <w:sz w:val="18"/>
                <w:szCs w:val="18"/>
              </w:rPr>
              <w:t xml:space="preserve">$5,935,217 </w:t>
            </w:r>
          </w:p>
        </w:tc>
      </w:tr>
      <w:tr w:rsidR="00B5603D" w14:paraId="45909A50" w14:textId="77777777" w:rsidTr="00C91E7A">
        <w:trPr>
          <w:trHeight w:val="20"/>
        </w:trPr>
        <w:tc>
          <w:tcPr>
            <w:tcW w:w="1885" w:type="dxa"/>
          </w:tcPr>
          <w:p w14:paraId="48809024" w14:textId="2F74865A" w:rsidR="00B5603D" w:rsidRPr="00022F0A" w:rsidRDefault="00B5603D" w:rsidP="00B5603D">
            <w:pPr>
              <w:rPr>
                <w:rFonts w:ascii="Arial" w:hAnsi="Arial" w:cs="Arial"/>
                <w:sz w:val="18"/>
                <w:szCs w:val="18"/>
              </w:rPr>
            </w:pPr>
            <w:r w:rsidRPr="00C967D3">
              <w:rPr>
                <w:rFonts w:ascii="Arial" w:hAnsi="Arial" w:cs="Arial"/>
                <w:sz w:val="18"/>
                <w:szCs w:val="18"/>
              </w:rPr>
              <w:t>Nebraska</w:t>
            </w:r>
          </w:p>
        </w:tc>
        <w:tc>
          <w:tcPr>
            <w:tcW w:w="1440" w:type="dxa"/>
          </w:tcPr>
          <w:p w14:paraId="072688A1" w14:textId="245306C9" w:rsidR="00B5603D" w:rsidRPr="00022F0A" w:rsidRDefault="00B5603D" w:rsidP="00B5603D">
            <w:pPr>
              <w:rPr>
                <w:rFonts w:ascii="Arial" w:hAnsi="Arial" w:cs="Arial"/>
                <w:sz w:val="18"/>
                <w:szCs w:val="18"/>
              </w:rPr>
            </w:pPr>
            <w:r w:rsidRPr="00C967D3">
              <w:rPr>
                <w:rFonts w:ascii="Arial" w:hAnsi="Arial" w:cs="Arial"/>
                <w:sz w:val="18"/>
                <w:szCs w:val="18"/>
              </w:rPr>
              <w:t xml:space="preserve">$2,245,310 </w:t>
            </w:r>
          </w:p>
        </w:tc>
        <w:tc>
          <w:tcPr>
            <w:tcW w:w="1530" w:type="dxa"/>
          </w:tcPr>
          <w:p w14:paraId="6C5429E7" w14:textId="20380990" w:rsidR="00B5603D" w:rsidRPr="00022F0A" w:rsidRDefault="00B5603D" w:rsidP="00B5603D">
            <w:pPr>
              <w:rPr>
                <w:rFonts w:ascii="Arial" w:hAnsi="Arial" w:cs="Arial"/>
                <w:sz w:val="18"/>
                <w:szCs w:val="18"/>
              </w:rPr>
            </w:pPr>
            <w:r w:rsidRPr="00C967D3">
              <w:rPr>
                <w:rFonts w:ascii="Arial" w:hAnsi="Arial" w:cs="Arial"/>
                <w:sz w:val="18"/>
                <w:szCs w:val="18"/>
              </w:rPr>
              <w:t xml:space="preserve">$2,711,414 </w:t>
            </w:r>
          </w:p>
        </w:tc>
        <w:tc>
          <w:tcPr>
            <w:tcW w:w="1440" w:type="dxa"/>
          </w:tcPr>
          <w:p w14:paraId="73D88391" w14:textId="20D3AA2A" w:rsidR="00B5603D" w:rsidRPr="00022F0A" w:rsidRDefault="00B5603D" w:rsidP="00B5603D">
            <w:pPr>
              <w:rPr>
                <w:rFonts w:ascii="Arial" w:hAnsi="Arial" w:cs="Arial"/>
                <w:sz w:val="18"/>
                <w:szCs w:val="18"/>
              </w:rPr>
            </w:pPr>
            <w:r w:rsidRPr="00C967D3">
              <w:rPr>
                <w:rFonts w:ascii="Arial" w:hAnsi="Arial" w:cs="Arial"/>
                <w:sz w:val="18"/>
                <w:szCs w:val="18"/>
              </w:rPr>
              <w:t xml:space="preserve">$1,261,576 </w:t>
            </w:r>
          </w:p>
        </w:tc>
        <w:tc>
          <w:tcPr>
            <w:tcW w:w="1440" w:type="dxa"/>
          </w:tcPr>
          <w:p w14:paraId="543C4D3B" w14:textId="7333C05B" w:rsidR="00B5603D" w:rsidRPr="00022F0A" w:rsidRDefault="00B5603D" w:rsidP="00B5603D">
            <w:pPr>
              <w:rPr>
                <w:rFonts w:ascii="Arial" w:hAnsi="Arial" w:cs="Arial"/>
                <w:sz w:val="18"/>
                <w:szCs w:val="18"/>
              </w:rPr>
            </w:pPr>
            <w:r w:rsidRPr="00C967D3">
              <w:rPr>
                <w:rFonts w:ascii="Arial" w:hAnsi="Arial" w:cs="Arial"/>
                <w:sz w:val="18"/>
                <w:szCs w:val="18"/>
              </w:rPr>
              <w:t xml:space="preserve">$115,812 </w:t>
            </w:r>
          </w:p>
        </w:tc>
        <w:tc>
          <w:tcPr>
            <w:tcW w:w="1440" w:type="dxa"/>
          </w:tcPr>
          <w:p w14:paraId="286BBE81" w14:textId="23675E9E" w:rsidR="00B5603D" w:rsidRPr="00022F0A" w:rsidRDefault="00B5603D" w:rsidP="00B5603D">
            <w:pPr>
              <w:rPr>
                <w:rFonts w:ascii="Arial" w:hAnsi="Arial" w:cs="Arial"/>
                <w:sz w:val="18"/>
                <w:szCs w:val="18"/>
              </w:rPr>
            </w:pPr>
            <w:r w:rsidRPr="00C967D3">
              <w:rPr>
                <w:rFonts w:ascii="Arial" w:hAnsi="Arial" w:cs="Arial"/>
                <w:sz w:val="18"/>
                <w:szCs w:val="18"/>
              </w:rPr>
              <w:t xml:space="preserve">$851,506 </w:t>
            </w:r>
          </w:p>
        </w:tc>
        <w:tc>
          <w:tcPr>
            <w:tcW w:w="1615" w:type="dxa"/>
          </w:tcPr>
          <w:p w14:paraId="48782E2F" w14:textId="4FA59B1B" w:rsidR="00B5603D" w:rsidRPr="00022F0A" w:rsidRDefault="00B5603D" w:rsidP="00B5603D">
            <w:pPr>
              <w:rPr>
                <w:rFonts w:ascii="Arial" w:hAnsi="Arial" w:cs="Arial"/>
                <w:sz w:val="18"/>
                <w:szCs w:val="18"/>
              </w:rPr>
            </w:pPr>
            <w:r w:rsidRPr="00C967D3">
              <w:rPr>
                <w:rFonts w:ascii="Arial" w:hAnsi="Arial" w:cs="Arial"/>
                <w:sz w:val="18"/>
                <w:szCs w:val="18"/>
              </w:rPr>
              <w:t xml:space="preserve">$7,185,618 </w:t>
            </w:r>
          </w:p>
        </w:tc>
      </w:tr>
      <w:tr w:rsidR="00B5603D" w14:paraId="1F247335" w14:textId="77777777" w:rsidTr="00C91E7A">
        <w:trPr>
          <w:trHeight w:val="20"/>
        </w:trPr>
        <w:tc>
          <w:tcPr>
            <w:tcW w:w="1885" w:type="dxa"/>
          </w:tcPr>
          <w:p w14:paraId="577CD5B7" w14:textId="1F3C2E22" w:rsidR="00B5603D" w:rsidRPr="00022F0A" w:rsidRDefault="00B5603D" w:rsidP="00B5603D">
            <w:pPr>
              <w:rPr>
                <w:rFonts w:ascii="Arial" w:hAnsi="Arial" w:cs="Arial"/>
                <w:sz w:val="18"/>
                <w:szCs w:val="18"/>
              </w:rPr>
            </w:pPr>
            <w:r w:rsidRPr="00C967D3">
              <w:rPr>
                <w:rFonts w:ascii="Arial" w:hAnsi="Arial" w:cs="Arial"/>
                <w:sz w:val="18"/>
                <w:szCs w:val="18"/>
              </w:rPr>
              <w:t>Nevada</w:t>
            </w:r>
          </w:p>
        </w:tc>
        <w:tc>
          <w:tcPr>
            <w:tcW w:w="1440" w:type="dxa"/>
          </w:tcPr>
          <w:p w14:paraId="6B1FA179" w14:textId="62C2813A" w:rsidR="00B5603D" w:rsidRPr="00022F0A" w:rsidRDefault="00B5603D" w:rsidP="00B5603D">
            <w:pPr>
              <w:rPr>
                <w:rFonts w:ascii="Arial" w:hAnsi="Arial" w:cs="Arial"/>
                <w:sz w:val="18"/>
                <w:szCs w:val="18"/>
              </w:rPr>
            </w:pPr>
            <w:r w:rsidRPr="00C967D3">
              <w:rPr>
                <w:rFonts w:ascii="Arial" w:hAnsi="Arial" w:cs="Arial"/>
                <w:sz w:val="18"/>
                <w:szCs w:val="18"/>
              </w:rPr>
              <w:t xml:space="preserve">$2,696,093 </w:t>
            </w:r>
          </w:p>
        </w:tc>
        <w:tc>
          <w:tcPr>
            <w:tcW w:w="1530" w:type="dxa"/>
          </w:tcPr>
          <w:p w14:paraId="3782908D" w14:textId="5AE474B9" w:rsidR="00B5603D" w:rsidRPr="00022F0A" w:rsidRDefault="00B5603D" w:rsidP="00B5603D">
            <w:pPr>
              <w:rPr>
                <w:rFonts w:ascii="Arial" w:hAnsi="Arial" w:cs="Arial"/>
                <w:sz w:val="18"/>
                <w:szCs w:val="18"/>
              </w:rPr>
            </w:pPr>
            <w:r w:rsidRPr="00C967D3">
              <w:rPr>
                <w:rFonts w:ascii="Arial" w:hAnsi="Arial" w:cs="Arial"/>
                <w:sz w:val="18"/>
                <w:szCs w:val="18"/>
              </w:rPr>
              <w:t xml:space="preserve">$3,691,325 </w:t>
            </w:r>
          </w:p>
        </w:tc>
        <w:tc>
          <w:tcPr>
            <w:tcW w:w="1440" w:type="dxa"/>
          </w:tcPr>
          <w:p w14:paraId="26F032C9" w14:textId="095EB135" w:rsidR="00B5603D" w:rsidRPr="00022F0A" w:rsidRDefault="00B5603D" w:rsidP="00B5603D">
            <w:pPr>
              <w:rPr>
                <w:rFonts w:ascii="Arial" w:hAnsi="Arial" w:cs="Arial"/>
                <w:sz w:val="18"/>
                <w:szCs w:val="18"/>
              </w:rPr>
            </w:pPr>
            <w:r w:rsidRPr="00C967D3">
              <w:rPr>
                <w:rFonts w:ascii="Arial" w:hAnsi="Arial" w:cs="Arial"/>
                <w:sz w:val="18"/>
                <w:szCs w:val="18"/>
              </w:rPr>
              <w:t xml:space="preserve">$1,905,224 </w:t>
            </w:r>
          </w:p>
        </w:tc>
        <w:tc>
          <w:tcPr>
            <w:tcW w:w="1440" w:type="dxa"/>
          </w:tcPr>
          <w:p w14:paraId="67D92062" w14:textId="10C0E31F" w:rsidR="00B5603D" w:rsidRPr="00022F0A" w:rsidRDefault="00B5603D" w:rsidP="00B5603D">
            <w:pPr>
              <w:rPr>
                <w:rFonts w:ascii="Arial" w:hAnsi="Arial" w:cs="Arial"/>
                <w:sz w:val="18"/>
                <w:szCs w:val="18"/>
              </w:rPr>
            </w:pPr>
            <w:r w:rsidRPr="00C967D3">
              <w:rPr>
                <w:rFonts w:ascii="Arial" w:hAnsi="Arial" w:cs="Arial"/>
                <w:sz w:val="18"/>
                <w:szCs w:val="18"/>
              </w:rPr>
              <w:t xml:space="preserve">$152,271 </w:t>
            </w:r>
          </w:p>
        </w:tc>
        <w:tc>
          <w:tcPr>
            <w:tcW w:w="1440" w:type="dxa"/>
          </w:tcPr>
          <w:p w14:paraId="0FBC47DD" w14:textId="52D5DDD3" w:rsidR="00B5603D" w:rsidRPr="00022F0A" w:rsidRDefault="00B5603D" w:rsidP="00B5603D">
            <w:pPr>
              <w:rPr>
                <w:rFonts w:ascii="Arial" w:hAnsi="Arial" w:cs="Arial"/>
                <w:sz w:val="18"/>
                <w:szCs w:val="18"/>
              </w:rPr>
            </w:pPr>
            <w:r w:rsidRPr="00C967D3">
              <w:rPr>
                <w:rFonts w:ascii="Arial" w:hAnsi="Arial" w:cs="Arial"/>
                <w:sz w:val="18"/>
                <w:szCs w:val="18"/>
              </w:rPr>
              <w:t xml:space="preserve">$1,209,218 </w:t>
            </w:r>
          </w:p>
        </w:tc>
        <w:tc>
          <w:tcPr>
            <w:tcW w:w="1615" w:type="dxa"/>
          </w:tcPr>
          <w:p w14:paraId="451DB137" w14:textId="71ABBF04" w:rsidR="00B5603D" w:rsidRPr="00022F0A" w:rsidRDefault="00B5603D" w:rsidP="00B5603D">
            <w:pPr>
              <w:rPr>
                <w:rFonts w:ascii="Arial" w:hAnsi="Arial" w:cs="Arial"/>
                <w:sz w:val="18"/>
                <w:szCs w:val="18"/>
              </w:rPr>
            </w:pPr>
            <w:r w:rsidRPr="00C967D3">
              <w:rPr>
                <w:rFonts w:ascii="Arial" w:hAnsi="Arial" w:cs="Arial"/>
                <w:sz w:val="18"/>
                <w:szCs w:val="18"/>
              </w:rPr>
              <w:t xml:space="preserve">$9,654,131 </w:t>
            </w:r>
          </w:p>
        </w:tc>
      </w:tr>
      <w:tr w:rsidR="00B5603D" w14:paraId="79ADB5AD" w14:textId="77777777" w:rsidTr="00C91E7A">
        <w:trPr>
          <w:trHeight w:val="20"/>
        </w:trPr>
        <w:tc>
          <w:tcPr>
            <w:tcW w:w="1885" w:type="dxa"/>
          </w:tcPr>
          <w:p w14:paraId="54648521" w14:textId="64CBF4B6" w:rsidR="00B5603D" w:rsidRPr="00022F0A" w:rsidRDefault="00B5603D" w:rsidP="00B5603D">
            <w:pPr>
              <w:rPr>
                <w:rFonts w:ascii="Arial" w:hAnsi="Arial" w:cs="Arial"/>
                <w:sz w:val="18"/>
                <w:szCs w:val="18"/>
              </w:rPr>
            </w:pPr>
            <w:r w:rsidRPr="00C967D3">
              <w:rPr>
                <w:rFonts w:ascii="Arial" w:hAnsi="Arial" w:cs="Arial"/>
                <w:sz w:val="18"/>
                <w:szCs w:val="18"/>
              </w:rPr>
              <w:t>New Hampshire</w:t>
            </w:r>
          </w:p>
        </w:tc>
        <w:tc>
          <w:tcPr>
            <w:tcW w:w="1440" w:type="dxa"/>
          </w:tcPr>
          <w:p w14:paraId="2F542AC4" w14:textId="7F77D87C" w:rsidR="00B5603D" w:rsidRPr="00022F0A" w:rsidRDefault="00B5603D" w:rsidP="00B5603D">
            <w:pPr>
              <w:rPr>
                <w:rFonts w:ascii="Arial" w:hAnsi="Arial" w:cs="Arial"/>
                <w:sz w:val="18"/>
                <w:szCs w:val="18"/>
              </w:rPr>
            </w:pPr>
            <w:r w:rsidRPr="00C967D3">
              <w:rPr>
                <w:rFonts w:ascii="Arial" w:hAnsi="Arial" w:cs="Arial"/>
                <w:sz w:val="18"/>
                <w:szCs w:val="18"/>
              </w:rPr>
              <w:t xml:space="preserve">$1,736,115 </w:t>
            </w:r>
          </w:p>
        </w:tc>
        <w:tc>
          <w:tcPr>
            <w:tcW w:w="1530" w:type="dxa"/>
          </w:tcPr>
          <w:p w14:paraId="4AF96AA2" w14:textId="33B8FC3E" w:rsidR="00B5603D" w:rsidRPr="00022F0A" w:rsidRDefault="00B5603D" w:rsidP="00B5603D">
            <w:pPr>
              <w:rPr>
                <w:rFonts w:ascii="Arial" w:hAnsi="Arial" w:cs="Arial"/>
                <w:sz w:val="18"/>
                <w:szCs w:val="18"/>
              </w:rPr>
            </w:pPr>
            <w:r w:rsidRPr="00C967D3">
              <w:rPr>
                <w:rFonts w:ascii="Arial" w:hAnsi="Arial" w:cs="Arial"/>
                <w:sz w:val="18"/>
                <w:szCs w:val="18"/>
              </w:rPr>
              <w:t xml:space="preserve">$2,229,088 </w:t>
            </w:r>
          </w:p>
        </w:tc>
        <w:tc>
          <w:tcPr>
            <w:tcW w:w="1440" w:type="dxa"/>
          </w:tcPr>
          <w:p w14:paraId="5D7CA2FD" w14:textId="5AB19F47" w:rsidR="00B5603D" w:rsidRPr="00022F0A" w:rsidRDefault="00B5603D" w:rsidP="00B5603D">
            <w:pPr>
              <w:rPr>
                <w:rFonts w:ascii="Arial" w:hAnsi="Arial" w:cs="Arial"/>
                <w:sz w:val="18"/>
                <w:szCs w:val="18"/>
              </w:rPr>
            </w:pPr>
            <w:r w:rsidRPr="00C967D3">
              <w:rPr>
                <w:rFonts w:ascii="Arial" w:hAnsi="Arial" w:cs="Arial"/>
                <w:sz w:val="18"/>
                <w:szCs w:val="18"/>
              </w:rPr>
              <w:t xml:space="preserve">$1,125,270 </w:t>
            </w:r>
          </w:p>
        </w:tc>
        <w:tc>
          <w:tcPr>
            <w:tcW w:w="1440" w:type="dxa"/>
          </w:tcPr>
          <w:p w14:paraId="1185B175" w14:textId="6B384EF1" w:rsidR="00B5603D" w:rsidRPr="00022F0A" w:rsidRDefault="00B5603D" w:rsidP="00B5603D">
            <w:pPr>
              <w:rPr>
                <w:rFonts w:ascii="Arial" w:hAnsi="Arial" w:cs="Arial"/>
                <w:sz w:val="18"/>
                <w:szCs w:val="18"/>
              </w:rPr>
            </w:pPr>
            <w:r w:rsidRPr="00C967D3">
              <w:rPr>
                <w:rFonts w:ascii="Arial" w:hAnsi="Arial" w:cs="Arial"/>
                <w:sz w:val="18"/>
                <w:szCs w:val="18"/>
              </w:rPr>
              <w:t xml:space="preserve">$98,321 </w:t>
            </w:r>
          </w:p>
        </w:tc>
        <w:tc>
          <w:tcPr>
            <w:tcW w:w="1440" w:type="dxa"/>
          </w:tcPr>
          <w:p w14:paraId="50F59E69" w14:textId="6A395FD2" w:rsidR="00B5603D" w:rsidRPr="00022F0A" w:rsidRDefault="00B5603D" w:rsidP="00B5603D">
            <w:pPr>
              <w:rPr>
                <w:rFonts w:ascii="Arial" w:hAnsi="Arial" w:cs="Arial"/>
                <w:sz w:val="18"/>
                <w:szCs w:val="18"/>
              </w:rPr>
            </w:pPr>
            <w:r w:rsidRPr="00C967D3">
              <w:rPr>
                <w:rFonts w:ascii="Arial" w:hAnsi="Arial" w:cs="Arial"/>
                <w:sz w:val="18"/>
                <w:szCs w:val="18"/>
              </w:rPr>
              <w:t xml:space="preserve">$746,423 </w:t>
            </w:r>
          </w:p>
        </w:tc>
        <w:tc>
          <w:tcPr>
            <w:tcW w:w="1615" w:type="dxa"/>
          </w:tcPr>
          <w:p w14:paraId="79CAF1DD" w14:textId="361DE743" w:rsidR="00B5603D" w:rsidRPr="00022F0A" w:rsidRDefault="00B5603D" w:rsidP="00B5603D">
            <w:pPr>
              <w:rPr>
                <w:rFonts w:ascii="Arial" w:hAnsi="Arial" w:cs="Arial"/>
                <w:sz w:val="18"/>
                <w:szCs w:val="18"/>
              </w:rPr>
            </w:pPr>
            <w:r w:rsidRPr="00C967D3">
              <w:rPr>
                <w:rFonts w:ascii="Arial" w:hAnsi="Arial" w:cs="Arial"/>
                <w:sz w:val="18"/>
                <w:szCs w:val="18"/>
              </w:rPr>
              <w:t xml:space="preserve">$5,935,217 </w:t>
            </w:r>
          </w:p>
        </w:tc>
      </w:tr>
      <w:tr w:rsidR="00B5603D" w14:paraId="75E8979E" w14:textId="77777777" w:rsidTr="00C91E7A">
        <w:trPr>
          <w:trHeight w:val="20"/>
        </w:trPr>
        <w:tc>
          <w:tcPr>
            <w:tcW w:w="1885" w:type="dxa"/>
          </w:tcPr>
          <w:p w14:paraId="181F9A92" w14:textId="343DC55D" w:rsidR="00B5603D" w:rsidRPr="00022F0A" w:rsidRDefault="00B5603D" w:rsidP="00B5603D">
            <w:pPr>
              <w:rPr>
                <w:rFonts w:ascii="Arial" w:hAnsi="Arial" w:cs="Arial"/>
                <w:sz w:val="18"/>
                <w:szCs w:val="18"/>
              </w:rPr>
            </w:pPr>
            <w:r w:rsidRPr="00C967D3">
              <w:rPr>
                <w:rFonts w:ascii="Arial" w:hAnsi="Arial" w:cs="Arial"/>
                <w:sz w:val="18"/>
                <w:szCs w:val="18"/>
              </w:rPr>
              <w:t>New Jersey</w:t>
            </w:r>
          </w:p>
        </w:tc>
        <w:tc>
          <w:tcPr>
            <w:tcW w:w="1440" w:type="dxa"/>
          </w:tcPr>
          <w:p w14:paraId="0F799C19" w14:textId="40C95A53" w:rsidR="00B5603D" w:rsidRPr="00022F0A" w:rsidRDefault="00B5603D" w:rsidP="00B5603D">
            <w:pPr>
              <w:rPr>
                <w:rFonts w:ascii="Arial" w:hAnsi="Arial" w:cs="Arial"/>
                <w:sz w:val="18"/>
                <w:szCs w:val="18"/>
              </w:rPr>
            </w:pPr>
            <w:r w:rsidRPr="00C967D3">
              <w:rPr>
                <w:rFonts w:ascii="Arial" w:hAnsi="Arial" w:cs="Arial"/>
                <w:sz w:val="18"/>
                <w:szCs w:val="18"/>
              </w:rPr>
              <w:t xml:space="preserve">$10,041,037 </w:t>
            </w:r>
          </w:p>
        </w:tc>
        <w:tc>
          <w:tcPr>
            <w:tcW w:w="1530" w:type="dxa"/>
          </w:tcPr>
          <w:p w14:paraId="47662261" w14:textId="079AFE51" w:rsidR="00B5603D" w:rsidRPr="00022F0A" w:rsidRDefault="00B5603D" w:rsidP="00B5603D">
            <w:pPr>
              <w:rPr>
                <w:rFonts w:ascii="Arial" w:hAnsi="Arial" w:cs="Arial"/>
                <w:sz w:val="18"/>
                <w:szCs w:val="18"/>
              </w:rPr>
            </w:pPr>
            <w:r w:rsidRPr="00C967D3">
              <w:rPr>
                <w:rFonts w:ascii="Arial" w:hAnsi="Arial" w:cs="Arial"/>
                <w:sz w:val="18"/>
                <w:szCs w:val="18"/>
              </w:rPr>
              <w:t xml:space="preserve">$12,068,583 </w:t>
            </w:r>
          </w:p>
        </w:tc>
        <w:tc>
          <w:tcPr>
            <w:tcW w:w="1440" w:type="dxa"/>
          </w:tcPr>
          <w:p w14:paraId="3441BF07" w14:textId="601B2CEF" w:rsidR="00B5603D" w:rsidRPr="00022F0A" w:rsidRDefault="00B5603D" w:rsidP="00B5603D">
            <w:pPr>
              <w:rPr>
                <w:rFonts w:ascii="Arial" w:hAnsi="Arial" w:cs="Arial"/>
                <w:sz w:val="18"/>
                <w:szCs w:val="18"/>
              </w:rPr>
            </w:pPr>
            <w:r w:rsidRPr="00C967D3">
              <w:rPr>
                <w:rFonts w:ascii="Arial" w:hAnsi="Arial" w:cs="Arial"/>
                <w:sz w:val="18"/>
                <w:szCs w:val="18"/>
              </w:rPr>
              <w:t xml:space="preserve">$6,053,936 </w:t>
            </w:r>
          </w:p>
        </w:tc>
        <w:tc>
          <w:tcPr>
            <w:tcW w:w="1440" w:type="dxa"/>
          </w:tcPr>
          <w:p w14:paraId="594A3693" w14:textId="0D97BFEB" w:rsidR="00B5603D" w:rsidRPr="00022F0A" w:rsidRDefault="00B5603D" w:rsidP="00B5603D">
            <w:pPr>
              <w:rPr>
                <w:rFonts w:ascii="Arial" w:hAnsi="Arial" w:cs="Arial"/>
                <w:sz w:val="18"/>
                <w:szCs w:val="18"/>
              </w:rPr>
            </w:pPr>
            <w:r w:rsidRPr="00C967D3">
              <w:rPr>
                <w:rFonts w:ascii="Arial" w:hAnsi="Arial" w:cs="Arial"/>
                <w:sz w:val="18"/>
                <w:szCs w:val="18"/>
              </w:rPr>
              <w:t xml:space="preserve">$575,762 </w:t>
            </w:r>
          </w:p>
        </w:tc>
        <w:tc>
          <w:tcPr>
            <w:tcW w:w="1440" w:type="dxa"/>
          </w:tcPr>
          <w:p w14:paraId="0F1C86BD" w14:textId="11AA4DDA" w:rsidR="00B5603D" w:rsidRPr="00022F0A" w:rsidRDefault="00B5603D" w:rsidP="00B5603D">
            <w:pPr>
              <w:rPr>
                <w:rFonts w:ascii="Arial" w:hAnsi="Arial" w:cs="Arial"/>
                <w:sz w:val="18"/>
                <w:szCs w:val="18"/>
              </w:rPr>
            </w:pPr>
            <w:r w:rsidRPr="00C967D3">
              <w:rPr>
                <w:rFonts w:ascii="Arial" w:hAnsi="Arial" w:cs="Arial"/>
                <w:sz w:val="18"/>
                <w:szCs w:val="18"/>
              </w:rPr>
              <w:t xml:space="preserve">$4,076,037 </w:t>
            </w:r>
          </w:p>
        </w:tc>
        <w:tc>
          <w:tcPr>
            <w:tcW w:w="1615" w:type="dxa"/>
          </w:tcPr>
          <w:p w14:paraId="5469B243" w14:textId="4D794F81" w:rsidR="00B5603D" w:rsidRPr="00022F0A" w:rsidRDefault="00B5603D" w:rsidP="00B5603D">
            <w:pPr>
              <w:rPr>
                <w:rFonts w:ascii="Arial" w:hAnsi="Arial" w:cs="Arial"/>
                <w:sz w:val="18"/>
                <w:szCs w:val="18"/>
              </w:rPr>
            </w:pPr>
            <w:r w:rsidRPr="00C967D3">
              <w:rPr>
                <w:rFonts w:ascii="Arial" w:hAnsi="Arial" w:cs="Arial"/>
                <w:sz w:val="18"/>
                <w:szCs w:val="18"/>
              </w:rPr>
              <w:t xml:space="preserve">$32,815,355 </w:t>
            </w:r>
          </w:p>
        </w:tc>
      </w:tr>
      <w:tr w:rsidR="00B5603D" w14:paraId="13605CCA" w14:textId="77777777" w:rsidTr="00C91E7A">
        <w:trPr>
          <w:trHeight w:val="20"/>
        </w:trPr>
        <w:tc>
          <w:tcPr>
            <w:tcW w:w="1885" w:type="dxa"/>
          </w:tcPr>
          <w:p w14:paraId="770D7C16" w14:textId="41EBE141" w:rsidR="00B5603D" w:rsidRPr="00022F0A" w:rsidRDefault="00B5603D" w:rsidP="00B5603D">
            <w:pPr>
              <w:rPr>
                <w:rFonts w:ascii="Arial" w:hAnsi="Arial" w:cs="Arial"/>
                <w:sz w:val="18"/>
                <w:szCs w:val="18"/>
              </w:rPr>
            </w:pPr>
            <w:r w:rsidRPr="00C967D3">
              <w:rPr>
                <w:rFonts w:ascii="Arial" w:hAnsi="Arial" w:cs="Arial"/>
                <w:sz w:val="18"/>
                <w:szCs w:val="18"/>
              </w:rPr>
              <w:t>New Mexico</w:t>
            </w:r>
          </w:p>
        </w:tc>
        <w:tc>
          <w:tcPr>
            <w:tcW w:w="1440" w:type="dxa"/>
          </w:tcPr>
          <w:p w14:paraId="5B5E4337" w14:textId="112D48D7" w:rsidR="00B5603D" w:rsidRPr="00022F0A" w:rsidRDefault="00B5603D" w:rsidP="00B5603D">
            <w:pPr>
              <w:rPr>
                <w:rFonts w:ascii="Arial" w:hAnsi="Arial" w:cs="Arial"/>
                <w:sz w:val="18"/>
                <w:szCs w:val="18"/>
              </w:rPr>
            </w:pPr>
            <w:r w:rsidRPr="00C967D3">
              <w:rPr>
                <w:rFonts w:ascii="Arial" w:hAnsi="Arial" w:cs="Arial"/>
                <w:sz w:val="18"/>
                <w:szCs w:val="18"/>
              </w:rPr>
              <w:t xml:space="preserve">$2,065,826 </w:t>
            </w:r>
          </w:p>
        </w:tc>
        <w:tc>
          <w:tcPr>
            <w:tcW w:w="1530" w:type="dxa"/>
          </w:tcPr>
          <w:p w14:paraId="4A456C1F" w14:textId="11502BDC" w:rsidR="00B5603D" w:rsidRPr="00022F0A" w:rsidRDefault="00B5603D" w:rsidP="00B5603D">
            <w:pPr>
              <w:rPr>
                <w:rFonts w:ascii="Arial" w:hAnsi="Arial" w:cs="Arial"/>
                <w:sz w:val="18"/>
                <w:szCs w:val="18"/>
              </w:rPr>
            </w:pPr>
            <w:r w:rsidRPr="00C967D3">
              <w:rPr>
                <w:rFonts w:ascii="Arial" w:hAnsi="Arial" w:cs="Arial"/>
                <w:sz w:val="18"/>
                <w:szCs w:val="18"/>
              </w:rPr>
              <w:t xml:space="preserve">$2,828,401 </w:t>
            </w:r>
          </w:p>
        </w:tc>
        <w:tc>
          <w:tcPr>
            <w:tcW w:w="1440" w:type="dxa"/>
          </w:tcPr>
          <w:p w14:paraId="6451C49D" w14:textId="4BAF62E6" w:rsidR="00B5603D" w:rsidRPr="00022F0A" w:rsidRDefault="00B5603D" w:rsidP="00B5603D">
            <w:pPr>
              <w:rPr>
                <w:rFonts w:ascii="Arial" w:hAnsi="Arial" w:cs="Arial"/>
                <w:sz w:val="18"/>
                <w:szCs w:val="18"/>
              </w:rPr>
            </w:pPr>
            <w:r w:rsidRPr="00C967D3">
              <w:rPr>
                <w:rFonts w:ascii="Arial" w:hAnsi="Arial" w:cs="Arial"/>
                <w:sz w:val="18"/>
                <w:szCs w:val="18"/>
              </w:rPr>
              <w:t xml:space="preserve">$1,459,839 </w:t>
            </w:r>
          </w:p>
        </w:tc>
        <w:tc>
          <w:tcPr>
            <w:tcW w:w="1440" w:type="dxa"/>
          </w:tcPr>
          <w:p w14:paraId="2FF0B5B2" w14:textId="2271F270" w:rsidR="00B5603D" w:rsidRPr="00022F0A" w:rsidRDefault="00B5603D" w:rsidP="00B5603D">
            <w:pPr>
              <w:rPr>
                <w:rFonts w:ascii="Arial" w:hAnsi="Arial" w:cs="Arial"/>
                <w:sz w:val="18"/>
                <w:szCs w:val="18"/>
              </w:rPr>
            </w:pPr>
            <w:r w:rsidRPr="00C967D3">
              <w:rPr>
                <w:rFonts w:ascii="Arial" w:hAnsi="Arial" w:cs="Arial"/>
                <w:sz w:val="18"/>
                <w:szCs w:val="18"/>
              </w:rPr>
              <w:t xml:space="preserve">$118,125 </w:t>
            </w:r>
          </w:p>
        </w:tc>
        <w:tc>
          <w:tcPr>
            <w:tcW w:w="1440" w:type="dxa"/>
          </w:tcPr>
          <w:p w14:paraId="40772E67" w14:textId="086E8736" w:rsidR="00B5603D" w:rsidRPr="00022F0A" w:rsidRDefault="00B5603D" w:rsidP="00B5603D">
            <w:pPr>
              <w:rPr>
                <w:rFonts w:ascii="Arial" w:hAnsi="Arial" w:cs="Arial"/>
                <w:sz w:val="18"/>
                <w:szCs w:val="18"/>
              </w:rPr>
            </w:pPr>
            <w:r w:rsidRPr="00C967D3">
              <w:rPr>
                <w:rFonts w:ascii="Arial" w:hAnsi="Arial" w:cs="Arial"/>
                <w:sz w:val="18"/>
                <w:szCs w:val="18"/>
              </w:rPr>
              <w:t xml:space="preserve">$956,216 </w:t>
            </w:r>
          </w:p>
        </w:tc>
        <w:tc>
          <w:tcPr>
            <w:tcW w:w="1615" w:type="dxa"/>
          </w:tcPr>
          <w:p w14:paraId="373BFCDC" w14:textId="1345D1E6" w:rsidR="00B5603D" w:rsidRPr="00022F0A" w:rsidRDefault="00B5603D" w:rsidP="00B5603D">
            <w:pPr>
              <w:rPr>
                <w:rFonts w:ascii="Arial" w:hAnsi="Arial" w:cs="Arial"/>
                <w:sz w:val="18"/>
                <w:szCs w:val="18"/>
              </w:rPr>
            </w:pPr>
            <w:r w:rsidRPr="00C967D3">
              <w:rPr>
                <w:rFonts w:ascii="Arial" w:hAnsi="Arial" w:cs="Arial"/>
                <w:sz w:val="18"/>
                <w:szCs w:val="18"/>
              </w:rPr>
              <w:t xml:space="preserve">$7,428,407 </w:t>
            </w:r>
          </w:p>
        </w:tc>
      </w:tr>
      <w:tr w:rsidR="00B5603D" w14:paraId="65D598B0" w14:textId="77777777" w:rsidTr="00C91E7A">
        <w:trPr>
          <w:trHeight w:val="20"/>
        </w:trPr>
        <w:tc>
          <w:tcPr>
            <w:tcW w:w="1885" w:type="dxa"/>
          </w:tcPr>
          <w:p w14:paraId="72D47531" w14:textId="78922FA1" w:rsidR="00B5603D" w:rsidRPr="00022F0A" w:rsidRDefault="00B5603D" w:rsidP="00B5603D">
            <w:pPr>
              <w:rPr>
                <w:rFonts w:ascii="Arial" w:hAnsi="Arial" w:cs="Arial"/>
                <w:sz w:val="18"/>
                <w:szCs w:val="18"/>
              </w:rPr>
            </w:pPr>
            <w:r w:rsidRPr="00C967D3">
              <w:rPr>
                <w:rFonts w:ascii="Arial" w:hAnsi="Arial" w:cs="Arial"/>
                <w:sz w:val="18"/>
                <w:szCs w:val="18"/>
              </w:rPr>
              <w:t>New York</w:t>
            </w:r>
          </w:p>
        </w:tc>
        <w:tc>
          <w:tcPr>
            <w:tcW w:w="1440" w:type="dxa"/>
          </w:tcPr>
          <w:p w14:paraId="5BA0C166" w14:textId="1B3A33D8" w:rsidR="00B5603D" w:rsidRPr="00022F0A" w:rsidRDefault="00B5603D" w:rsidP="00B5603D">
            <w:pPr>
              <w:rPr>
                <w:rFonts w:ascii="Arial" w:hAnsi="Arial" w:cs="Arial"/>
                <w:sz w:val="18"/>
                <w:szCs w:val="18"/>
              </w:rPr>
            </w:pPr>
            <w:r w:rsidRPr="00C967D3">
              <w:rPr>
                <w:rFonts w:ascii="Arial" w:hAnsi="Arial" w:cs="Arial"/>
                <w:sz w:val="18"/>
                <w:szCs w:val="18"/>
              </w:rPr>
              <w:t xml:space="preserve">$23,758,307 </w:t>
            </w:r>
          </w:p>
        </w:tc>
        <w:tc>
          <w:tcPr>
            <w:tcW w:w="1530" w:type="dxa"/>
          </w:tcPr>
          <w:p w14:paraId="412855C6" w14:textId="22E39ECA" w:rsidR="00B5603D" w:rsidRPr="00022F0A" w:rsidRDefault="00B5603D" w:rsidP="00B5603D">
            <w:pPr>
              <w:rPr>
                <w:rFonts w:ascii="Arial" w:hAnsi="Arial" w:cs="Arial"/>
                <w:sz w:val="18"/>
                <w:szCs w:val="18"/>
              </w:rPr>
            </w:pPr>
            <w:r w:rsidRPr="00C967D3">
              <w:rPr>
                <w:rFonts w:ascii="Arial" w:hAnsi="Arial" w:cs="Arial"/>
                <w:sz w:val="18"/>
                <w:szCs w:val="18"/>
              </w:rPr>
              <w:t xml:space="preserve">$28,674,216 </w:t>
            </w:r>
          </w:p>
        </w:tc>
        <w:tc>
          <w:tcPr>
            <w:tcW w:w="1440" w:type="dxa"/>
          </w:tcPr>
          <w:p w14:paraId="436F601A" w14:textId="114F8380" w:rsidR="00B5603D" w:rsidRPr="00022F0A" w:rsidRDefault="00B5603D" w:rsidP="00B5603D">
            <w:pPr>
              <w:rPr>
                <w:rFonts w:ascii="Arial" w:hAnsi="Arial" w:cs="Arial"/>
                <w:sz w:val="18"/>
                <w:szCs w:val="18"/>
              </w:rPr>
            </w:pPr>
            <w:r w:rsidRPr="00C967D3">
              <w:rPr>
                <w:rFonts w:ascii="Arial" w:hAnsi="Arial" w:cs="Arial"/>
                <w:sz w:val="18"/>
                <w:szCs w:val="18"/>
              </w:rPr>
              <w:t xml:space="preserve">$13,344,159 </w:t>
            </w:r>
          </w:p>
        </w:tc>
        <w:tc>
          <w:tcPr>
            <w:tcW w:w="1440" w:type="dxa"/>
          </w:tcPr>
          <w:p w14:paraId="22C690C0" w14:textId="3274905B" w:rsidR="00B5603D" w:rsidRPr="00022F0A" w:rsidRDefault="00B5603D" w:rsidP="00B5603D">
            <w:pPr>
              <w:rPr>
                <w:rFonts w:ascii="Arial" w:hAnsi="Arial" w:cs="Arial"/>
                <w:sz w:val="18"/>
                <w:szCs w:val="18"/>
              </w:rPr>
            </w:pPr>
            <w:r w:rsidRPr="00C967D3">
              <w:rPr>
                <w:rFonts w:ascii="Arial" w:hAnsi="Arial" w:cs="Arial"/>
                <w:sz w:val="18"/>
                <w:szCs w:val="18"/>
              </w:rPr>
              <w:t xml:space="preserve">$1,276,434 </w:t>
            </w:r>
          </w:p>
        </w:tc>
        <w:tc>
          <w:tcPr>
            <w:tcW w:w="1440" w:type="dxa"/>
          </w:tcPr>
          <w:p w14:paraId="36ABDE48" w14:textId="3CD2B825" w:rsidR="00B5603D" w:rsidRPr="00022F0A" w:rsidRDefault="00B5603D" w:rsidP="00B5603D">
            <w:pPr>
              <w:rPr>
                <w:rFonts w:ascii="Arial" w:hAnsi="Arial" w:cs="Arial"/>
                <w:sz w:val="18"/>
                <w:szCs w:val="18"/>
              </w:rPr>
            </w:pPr>
            <w:r w:rsidRPr="00C967D3">
              <w:rPr>
                <w:rFonts w:ascii="Arial" w:hAnsi="Arial" w:cs="Arial"/>
                <w:sz w:val="18"/>
                <w:szCs w:val="18"/>
              </w:rPr>
              <w:t xml:space="preserve">$8,972,729 </w:t>
            </w:r>
          </w:p>
        </w:tc>
        <w:tc>
          <w:tcPr>
            <w:tcW w:w="1615" w:type="dxa"/>
          </w:tcPr>
          <w:p w14:paraId="7A7B4366" w14:textId="7AEF290C" w:rsidR="00B5603D" w:rsidRPr="00022F0A" w:rsidRDefault="00B5603D" w:rsidP="00B5603D">
            <w:pPr>
              <w:rPr>
                <w:rFonts w:ascii="Arial" w:hAnsi="Arial" w:cs="Arial"/>
                <w:sz w:val="18"/>
                <w:szCs w:val="18"/>
              </w:rPr>
            </w:pPr>
            <w:r w:rsidRPr="00C967D3">
              <w:rPr>
                <w:rFonts w:ascii="Arial" w:hAnsi="Arial" w:cs="Arial"/>
                <w:sz w:val="18"/>
                <w:szCs w:val="18"/>
              </w:rPr>
              <w:t xml:space="preserve">$76,025,845 </w:t>
            </w:r>
          </w:p>
        </w:tc>
      </w:tr>
      <w:tr w:rsidR="00B5603D" w14:paraId="554D5816" w14:textId="77777777" w:rsidTr="00C91E7A">
        <w:trPr>
          <w:trHeight w:val="20"/>
        </w:trPr>
        <w:tc>
          <w:tcPr>
            <w:tcW w:w="1885" w:type="dxa"/>
          </w:tcPr>
          <w:p w14:paraId="4E4F82DC" w14:textId="4406A7BF" w:rsidR="00B5603D" w:rsidRPr="00022F0A" w:rsidRDefault="00B5603D" w:rsidP="00B5603D">
            <w:pPr>
              <w:rPr>
                <w:rFonts w:ascii="Arial" w:hAnsi="Arial" w:cs="Arial"/>
                <w:sz w:val="18"/>
                <w:szCs w:val="18"/>
              </w:rPr>
            </w:pPr>
            <w:r w:rsidRPr="00C967D3">
              <w:rPr>
                <w:rFonts w:ascii="Arial" w:hAnsi="Arial" w:cs="Arial"/>
                <w:sz w:val="18"/>
                <w:szCs w:val="18"/>
              </w:rPr>
              <w:t>North Carolina</w:t>
            </w:r>
          </w:p>
        </w:tc>
        <w:tc>
          <w:tcPr>
            <w:tcW w:w="1440" w:type="dxa"/>
          </w:tcPr>
          <w:p w14:paraId="5B5C137A" w14:textId="4E5E23ED" w:rsidR="00B5603D" w:rsidRPr="00022F0A" w:rsidRDefault="00B5603D" w:rsidP="00B5603D">
            <w:pPr>
              <w:rPr>
                <w:rFonts w:ascii="Arial" w:hAnsi="Arial" w:cs="Arial"/>
                <w:sz w:val="18"/>
                <w:szCs w:val="18"/>
              </w:rPr>
            </w:pPr>
            <w:r w:rsidRPr="00C967D3">
              <w:rPr>
                <w:rFonts w:ascii="Arial" w:hAnsi="Arial" w:cs="Arial"/>
                <w:sz w:val="18"/>
                <w:szCs w:val="18"/>
              </w:rPr>
              <w:t xml:space="preserve">$9,661,736 </w:t>
            </w:r>
          </w:p>
        </w:tc>
        <w:tc>
          <w:tcPr>
            <w:tcW w:w="1530" w:type="dxa"/>
          </w:tcPr>
          <w:p w14:paraId="76641C30" w14:textId="0C951743" w:rsidR="00B5603D" w:rsidRPr="00022F0A" w:rsidRDefault="00B5603D" w:rsidP="00B5603D">
            <w:pPr>
              <w:rPr>
                <w:rFonts w:ascii="Arial" w:hAnsi="Arial" w:cs="Arial"/>
                <w:sz w:val="18"/>
                <w:szCs w:val="18"/>
              </w:rPr>
            </w:pPr>
            <w:r w:rsidRPr="00C967D3">
              <w:rPr>
                <w:rFonts w:ascii="Arial" w:hAnsi="Arial" w:cs="Arial"/>
                <w:sz w:val="18"/>
                <w:szCs w:val="18"/>
              </w:rPr>
              <w:t xml:space="preserve">$13,228,258 </w:t>
            </w:r>
          </w:p>
        </w:tc>
        <w:tc>
          <w:tcPr>
            <w:tcW w:w="1440" w:type="dxa"/>
          </w:tcPr>
          <w:p w14:paraId="799A5AB7" w14:textId="4EAA28DA" w:rsidR="00B5603D" w:rsidRPr="00022F0A" w:rsidRDefault="00B5603D" w:rsidP="00B5603D">
            <w:pPr>
              <w:rPr>
                <w:rFonts w:ascii="Arial" w:hAnsi="Arial" w:cs="Arial"/>
                <w:sz w:val="18"/>
                <w:szCs w:val="18"/>
              </w:rPr>
            </w:pPr>
            <w:r w:rsidRPr="00C967D3">
              <w:rPr>
                <w:rFonts w:ascii="Arial" w:hAnsi="Arial" w:cs="Arial"/>
                <w:sz w:val="18"/>
                <w:szCs w:val="18"/>
              </w:rPr>
              <w:t xml:space="preserve">$6,827,574 </w:t>
            </w:r>
          </w:p>
        </w:tc>
        <w:tc>
          <w:tcPr>
            <w:tcW w:w="1440" w:type="dxa"/>
          </w:tcPr>
          <w:p w14:paraId="3197134B" w14:textId="70EDFFEB" w:rsidR="00B5603D" w:rsidRPr="00022F0A" w:rsidRDefault="00B5603D" w:rsidP="00B5603D">
            <w:pPr>
              <w:rPr>
                <w:rFonts w:ascii="Arial" w:hAnsi="Arial" w:cs="Arial"/>
                <w:sz w:val="18"/>
                <w:szCs w:val="18"/>
              </w:rPr>
            </w:pPr>
            <w:r w:rsidRPr="00C967D3">
              <w:rPr>
                <w:rFonts w:ascii="Arial" w:hAnsi="Arial" w:cs="Arial"/>
                <w:sz w:val="18"/>
                <w:szCs w:val="18"/>
              </w:rPr>
              <w:t xml:space="preserve">$545,679 </w:t>
            </w:r>
          </w:p>
        </w:tc>
        <w:tc>
          <w:tcPr>
            <w:tcW w:w="1440" w:type="dxa"/>
          </w:tcPr>
          <w:p w14:paraId="0BCC04FB" w14:textId="757FDA92" w:rsidR="00B5603D" w:rsidRPr="00022F0A" w:rsidRDefault="00B5603D" w:rsidP="00B5603D">
            <w:pPr>
              <w:rPr>
                <w:rFonts w:ascii="Arial" w:hAnsi="Arial" w:cs="Arial"/>
                <w:sz w:val="18"/>
                <w:szCs w:val="18"/>
              </w:rPr>
            </w:pPr>
            <w:r w:rsidRPr="00C967D3">
              <w:rPr>
                <w:rFonts w:ascii="Arial" w:hAnsi="Arial" w:cs="Arial"/>
                <w:sz w:val="18"/>
                <w:szCs w:val="18"/>
              </w:rPr>
              <w:t xml:space="preserve">$4,459,693 </w:t>
            </w:r>
          </w:p>
        </w:tc>
        <w:tc>
          <w:tcPr>
            <w:tcW w:w="1615" w:type="dxa"/>
          </w:tcPr>
          <w:p w14:paraId="2CE7D7C4" w14:textId="44F10B26" w:rsidR="00B5603D" w:rsidRPr="00022F0A" w:rsidRDefault="00B5603D" w:rsidP="00B5603D">
            <w:pPr>
              <w:rPr>
                <w:rFonts w:ascii="Arial" w:hAnsi="Arial" w:cs="Arial"/>
                <w:sz w:val="18"/>
                <w:szCs w:val="18"/>
              </w:rPr>
            </w:pPr>
            <w:r w:rsidRPr="00C967D3">
              <w:rPr>
                <w:rFonts w:ascii="Arial" w:hAnsi="Arial" w:cs="Arial"/>
                <w:sz w:val="18"/>
                <w:szCs w:val="18"/>
              </w:rPr>
              <w:t xml:space="preserve">$34,722,940 </w:t>
            </w:r>
          </w:p>
        </w:tc>
      </w:tr>
      <w:tr w:rsidR="00B5603D" w14:paraId="0301606E" w14:textId="77777777" w:rsidTr="00C91E7A">
        <w:trPr>
          <w:trHeight w:val="20"/>
        </w:trPr>
        <w:tc>
          <w:tcPr>
            <w:tcW w:w="1885" w:type="dxa"/>
          </w:tcPr>
          <w:p w14:paraId="133934B0" w14:textId="6E45913C" w:rsidR="00B5603D" w:rsidRPr="00022F0A" w:rsidRDefault="00B5603D" w:rsidP="00B5603D">
            <w:pPr>
              <w:rPr>
                <w:rFonts w:ascii="Arial" w:hAnsi="Arial" w:cs="Arial"/>
                <w:sz w:val="18"/>
                <w:szCs w:val="18"/>
              </w:rPr>
            </w:pPr>
            <w:r w:rsidRPr="00C967D3">
              <w:rPr>
                <w:rFonts w:ascii="Arial" w:hAnsi="Arial" w:cs="Arial"/>
                <w:sz w:val="18"/>
                <w:szCs w:val="18"/>
              </w:rPr>
              <w:t>North Dakota</w:t>
            </w:r>
          </w:p>
        </w:tc>
        <w:tc>
          <w:tcPr>
            <w:tcW w:w="1440" w:type="dxa"/>
          </w:tcPr>
          <w:p w14:paraId="14A6FE9C" w14:textId="7DE1A23B" w:rsidR="00B5603D" w:rsidRPr="00022F0A" w:rsidRDefault="00B5603D" w:rsidP="00B5603D">
            <w:pPr>
              <w:rPr>
                <w:rFonts w:ascii="Arial" w:hAnsi="Arial" w:cs="Arial"/>
                <w:sz w:val="18"/>
                <w:szCs w:val="18"/>
              </w:rPr>
            </w:pPr>
            <w:r w:rsidRPr="00C967D3">
              <w:rPr>
                <w:rFonts w:ascii="Arial" w:hAnsi="Arial" w:cs="Arial"/>
                <w:sz w:val="18"/>
                <w:szCs w:val="18"/>
              </w:rPr>
              <w:t xml:space="preserve">$1,736,115 </w:t>
            </w:r>
          </w:p>
        </w:tc>
        <w:tc>
          <w:tcPr>
            <w:tcW w:w="1530" w:type="dxa"/>
          </w:tcPr>
          <w:p w14:paraId="658262C3" w14:textId="54199FF4" w:rsidR="00B5603D" w:rsidRPr="00022F0A" w:rsidRDefault="00B5603D" w:rsidP="00B5603D">
            <w:pPr>
              <w:rPr>
                <w:rFonts w:ascii="Arial" w:hAnsi="Arial" w:cs="Arial"/>
                <w:sz w:val="18"/>
                <w:szCs w:val="18"/>
              </w:rPr>
            </w:pPr>
            <w:r w:rsidRPr="00C967D3">
              <w:rPr>
                <w:rFonts w:ascii="Arial" w:hAnsi="Arial" w:cs="Arial"/>
                <w:sz w:val="18"/>
                <w:szCs w:val="18"/>
              </w:rPr>
              <w:t xml:space="preserve">$2,229,088 </w:t>
            </w:r>
          </w:p>
        </w:tc>
        <w:tc>
          <w:tcPr>
            <w:tcW w:w="1440" w:type="dxa"/>
          </w:tcPr>
          <w:p w14:paraId="5613C69A" w14:textId="761A2A7B" w:rsidR="00B5603D" w:rsidRPr="00022F0A" w:rsidRDefault="00B5603D" w:rsidP="00B5603D">
            <w:pPr>
              <w:rPr>
                <w:rFonts w:ascii="Arial" w:hAnsi="Arial" w:cs="Arial"/>
                <w:sz w:val="18"/>
                <w:szCs w:val="18"/>
              </w:rPr>
            </w:pPr>
            <w:r w:rsidRPr="00C967D3">
              <w:rPr>
                <w:rFonts w:ascii="Arial" w:hAnsi="Arial" w:cs="Arial"/>
                <w:sz w:val="18"/>
                <w:szCs w:val="18"/>
              </w:rPr>
              <w:t xml:space="preserve">$1,125,270 </w:t>
            </w:r>
          </w:p>
        </w:tc>
        <w:tc>
          <w:tcPr>
            <w:tcW w:w="1440" w:type="dxa"/>
          </w:tcPr>
          <w:p w14:paraId="4FB6F423" w14:textId="64DC9E87" w:rsidR="00B5603D" w:rsidRPr="00022F0A" w:rsidRDefault="00B5603D" w:rsidP="00B5603D">
            <w:pPr>
              <w:rPr>
                <w:rFonts w:ascii="Arial" w:hAnsi="Arial" w:cs="Arial"/>
                <w:sz w:val="18"/>
                <w:szCs w:val="18"/>
              </w:rPr>
            </w:pPr>
            <w:r w:rsidRPr="00C967D3">
              <w:rPr>
                <w:rFonts w:ascii="Arial" w:hAnsi="Arial" w:cs="Arial"/>
                <w:sz w:val="18"/>
                <w:szCs w:val="18"/>
              </w:rPr>
              <w:t xml:space="preserve">$98,321 </w:t>
            </w:r>
          </w:p>
        </w:tc>
        <w:tc>
          <w:tcPr>
            <w:tcW w:w="1440" w:type="dxa"/>
          </w:tcPr>
          <w:p w14:paraId="38C0B5A9" w14:textId="7EBA85F8" w:rsidR="00B5603D" w:rsidRPr="00022F0A" w:rsidRDefault="00B5603D" w:rsidP="00B5603D">
            <w:pPr>
              <w:rPr>
                <w:rFonts w:ascii="Arial" w:hAnsi="Arial" w:cs="Arial"/>
                <w:sz w:val="18"/>
                <w:szCs w:val="18"/>
              </w:rPr>
            </w:pPr>
            <w:r w:rsidRPr="00C967D3">
              <w:rPr>
                <w:rFonts w:ascii="Arial" w:hAnsi="Arial" w:cs="Arial"/>
                <w:sz w:val="18"/>
                <w:szCs w:val="18"/>
              </w:rPr>
              <w:t xml:space="preserve">$746,423 </w:t>
            </w:r>
          </w:p>
        </w:tc>
        <w:tc>
          <w:tcPr>
            <w:tcW w:w="1615" w:type="dxa"/>
          </w:tcPr>
          <w:p w14:paraId="5405F128" w14:textId="54B26EA2" w:rsidR="00B5603D" w:rsidRPr="00022F0A" w:rsidRDefault="00B5603D" w:rsidP="00B5603D">
            <w:pPr>
              <w:rPr>
                <w:rFonts w:ascii="Arial" w:hAnsi="Arial" w:cs="Arial"/>
                <w:sz w:val="18"/>
                <w:szCs w:val="18"/>
              </w:rPr>
            </w:pPr>
            <w:r w:rsidRPr="00C967D3">
              <w:rPr>
                <w:rFonts w:ascii="Arial" w:hAnsi="Arial" w:cs="Arial"/>
                <w:sz w:val="18"/>
                <w:szCs w:val="18"/>
              </w:rPr>
              <w:t xml:space="preserve">$5,935,217 </w:t>
            </w:r>
          </w:p>
        </w:tc>
      </w:tr>
      <w:tr w:rsidR="00B5603D" w14:paraId="4929AACA" w14:textId="77777777" w:rsidTr="00C91E7A">
        <w:trPr>
          <w:trHeight w:val="20"/>
        </w:trPr>
        <w:tc>
          <w:tcPr>
            <w:tcW w:w="1885" w:type="dxa"/>
          </w:tcPr>
          <w:p w14:paraId="66DD07B8" w14:textId="5C4B1A49" w:rsidR="00B5603D" w:rsidRPr="00022F0A" w:rsidRDefault="00B5603D" w:rsidP="00B5603D">
            <w:pPr>
              <w:rPr>
                <w:rFonts w:ascii="Arial" w:hAnsi="Arial" w:cs="Arial"/>
                <w:sz w:val="18"/>
                <w:szCs w:val="18"/>
              </w:rPr>
            </w:pPr>
            <w:r w:rsidRPr="00C967D3">
              <w:rPr>
                <w:rFonts w:ascii="Arial" w:hAnsi="Arial" w:cs="Arial"/>
                <w:sz w:val="18"/>
                <w:szCs w:val="18"/>
              </w:rPr>
              <w:t>Ohio</w:t>
            </w:r>
          </w:p>
        </w:tc>
        <w:tc>
          <w:tcPr>
            <w:tcW w:w="1440" w:type="dxa"/>
          </w:tcPr>
          <w:p w14:paraId="487DFAAF" w14:textId="483C4FC4" w:rsidR="00B5603D" w:rsidRPr="00022F0A" w:rsidRDefault="00B5603D" w:rsidP="00B5603D">
            <w:pPr>
              <w:rPr>
                <w:rFonts w:ascii="Arial" w:hAnsi="Arial" w:cs="Arial"/>
                <w:sz w:val="18"/>
                <w:szCs w:val="18"/>
              </w:rPr>
            </w:pPr>
            <w:r w:rsidRPr="00C967D3">
              <w:rPr>
                <w:rFonts w:ascii="Arial" w:hAnsi="Arial" w:cs="Arial"/>
                <w:sz w:val="18"/>
                <w:szCs w:val="18"/>
              </w:rPr>
              <w:t xml:space="preserve">$13,518,024 </w:t>
            </w:r>
          </w:p>
        </w:tc>
        <w:tc>
          <w:tcPr>
            <w:tcW w:w="1530" w:type="dxa"/>
          </w:tcPr>
          <w:p w14:paraId="2406D814" w14:textId="4CCCE599" w:rsidR="00B5603D" w:rsidRPr="00022F0A" w:rsidRDefault="00B5603D" w:rsidP="00B5603D">
            <w:pPr>
              <w:rPr>
                <w:rFonts w:ascii="Arial" w:hAnsi="Arial" w:cs="Arial"/>
                <w:sz w:val="18"/>
                <w:szCs w:val="18"/>
              </w:rPr>
            </w:pPr>
            <w:r w:rsidRPr="00C967D3">
              <w:rPr>
                <w:rFonts w:ascii="Arial" w:hAnsi="Arial" w:cs="Arial"/>
                <w:sz w:val="18"/>
                <w:szCs w:val="18"/>
              </w:rPr>
              <w:t xml:space="preserve">$16,229,847 </w:t>
            </w:r>
          </w:p>
        </w:tc>
        <w:tc>
          <w:tcPr>
            <w:tcW w:w="1440" w:type="dxa"/>
          </w:tcPr>
          <w:p w14:paraId="359C3C33" w14:textId="6B90FECA" w:rsidR="00B5603D" w:rsidRPr="00022F0A" w:rsidRDefault="00B5603D" w:rsidP="00B5603D">
            <w:pPr>
              <w:rPr>
                <w:rFonts w:ascii="Arial" w:hAnsi="Arial" w:cs="Arial"/>
                <w:sz w:val="18"/>
                <w:szCs w:val="18"/>
              </w:rPr>
            </w:pPr>
            <w:r w:rsidRPr="00C967D3">
              <w:rPr>
                <w:rFonts w:ascii="Arial" w:hAnsi="Arial" w:cs="Arial"/>
                <w:sz w:val="18"/>
                <w:szCs w:val="18"/>
              </w:rPr>
              <w:t xml:space="preserve">$8,349,511 </w:t>
            </w:r>
          </w:p>
        </w:tc>
        <w:tc>
          <w:tcPr>
            <w:tcW w:w="1440" w:type="dxa"/>
          </w:tcPr>
          <w:p w14:paraId="45BE4E90" w14:textId="348B6DEA" w:rsidR="00B5603D" w:rsidRPr="00022F0A" w:rsidRDefault="00B5603D" w:rsidP="00B5603D">
            <w:pPr>
              <w:rPr>
                <w:rFonts w:ascii="Arial" w:hAnsi="Arial" w:cs="Arial"/>
                <w:sz w:val="18"/>
                <w:szCs w:val="18"/>
              </w:rPr>
            </w:pPr>
            <w:r w:rsidRPr="00C967D3">
              <w:rPr>
                <w:rFonts w:ascii="Arial" w:hAnsi="Arial" w:cs="Arial"/>
                <w:sz w:val="18"/>
                <w:szCs w:val="18"/>
              </w:rPr>
              <w:t xml:space="preserve">$775,056 </w:t>
            </w:r>
          </w:p>
        </w:tc>
        <w:tc>
          <w:tcPr>
            <w:tcW w:w="1440" w:type="dxa"/>
          </w:tcPr>
          <w:p w14:paraId="30D8C294" w14:textId="64047E73" w:rsidR="00B5603D" w:rsidRPr="00022F0A" w:rsidRDefault="00B5603D" w:rsidP="00B5603D">
            <w:pPr>
              <w:rPr>
                <w:rFonts w:ascii="Arial" w:hAnsi="Arial" w:cs="Arial"/>
                <w:sz w:val="18"/>
                <w:szCs w:val="18"/>
              </w:rPr>
            </w:pPr>
            <w:r w:rsidRPr="00C967D3">
              <w:rPr>
                <w:rFonts w:ascii="Arial" w:hAnsi="Arial" w:cs="Arial"/>
                <w:sz w:val="18"/>
                <w:szCs w:val="18"/>
              </w:rPr>
              <w:t xml:space="preserve">$5,525,464 </w:t>
            </w:r>
          </w:p>
        </w:tc>
        <w:tc>
          <w:tcPr>
            <w:tcW w:w="1615" w:type="dxa"/>
          </w:tcPr>
          <w:p w14:paraId="06AD808F" w14:textId="1B73F6D1" w:rsidR="00B5603D" w:rsidRPr="00022F0A" w:rsidRDefault="00B5603D" w:rsidP="00B5603D">
            <w:pPr>
              <w:rPr>
                <w:rFonts w:ascii="Arial" w:hAnsi="Arial" w:cs="Arial"/>
                <w:sz w:val="18"/>
                <w:szCs w:val="18"/>
              </w:rPr>
            </w:pPr>
            <w:r w:rsidRPr="00C967D3">
              <w:rPr>
                <w:rFonts w:ascii="Arial" w:hAnsi="Arial" w:cs="Arial"/>
                <w:sz w:val="18"/>
                <w:szCs w:val="18"/>
              </w:rPr>
              <w:t xml:space="preserve">$44,397,902 </w:t>
            </w:r>
          </w:p>
        </w:tc>
      </w:tr>
      <w:tr w:rsidR="00B5603D" w14:paraId="4F4F4E12" w14:textId="77777777" w:rsidTr="00C91E7A">
        <w:trPr>
          <w:trHeight w:val="20"/>
        </w:trPr>
        <w:tc>
          <w:tcPr>
            <w:tcW w:w="1885" w:type="dxa"/>
          </w:tcPr>
          <w:p w14:paraId="5E89F41A" w14:textId="4AD07F20" w:rsidR="00B5603D" w:rsidRPr="00022F0A" w:rsidRDefault="00B5603D" w:rsidP="00B5603D">
            <w:pPr>
              <w:rPr>
                <w:rFonts w:ascii="Arial" w:hAnsi="Arial" w:cs="Arial"/>
                <w:sz w:val="18"/>
                <w:szCs w:val="18"/>
              </w:rPr>
            </w:pPr>
            <w:r w:rsidRPr="00C967D3">
              <w:rPr>
                <w:rFonts w:ascii="Arial" w:hAnsi="Arial" w:cs="Arial"/>
                <w:sz w:val="18"/>
                <w:szCs w:val="18"/>
              </w:rPr>
              <w:t>Oklahoma</w:t>
            </w:r>
          </w:p>
        </w:tc>
        <w:tc>
          <w:tcPr>
            <w:tcW w:w="1440" w:type="dxa"/>
          </w:tcPr>
          <w:p w14:paraId="6D6678C9" w14:textId="3BA9C83D" w:rsidR="00B5603D" w:rsidRPr="00022F0A" w:rsidRDefault="00B5603D" w:rsidP="00B5603D">
            <w:pPr>
              <w:rPr>
                <w:rFonts w:ascii="Arial" w:hAnsi="Arial" w:cs="Arial"/>
                <w:sz w:val="18"/>
                <w:szCs w:val="18"/>
              </w:rPr>
            </w:pPr>
            <w:r w:rsidRPr="00C967D3">
              <w:rPr>
                <w:rFonts w:ascii="Arial" w:hAnsi="Arial" w:cs="Arial"/>
                <w:sz w:val="18"/>
                <w:szCs w:val="18"/>
              </w:rPr>
              <w:t xml:space="preserve">$4,185,770 </w:t>
            </w:r>
          </w:p>
        </w:tc>
        <w:tc>
          <w:tcPr>
            <w:tcW w:w="1530" w:type="dxa"/>
          </w:tcPr>
          <w:p w14:paraId="0F34B414" w14:textId="7B73AF49" w:rsidR="00B5603D" w:rsidRPr="00022F0A" w:rsidRDefault="00B5603D" w:rsidP="00B5603D">
            <w:pPr>
              <w:rPr>
                <w:rFonts w:ascii="Arial" w:hAnsi="Arial" w:cs="Arial"/>
                <w:sz w:val="18"/>
                <w:szCs w:val="18"/>
              </w:rPr>
            </w:pPr>
            <w:r w:rsidRPr="00C967D3">
              <w:rPr>
                <w:rFonts w:ascii="Arial" w:hAnsi="Arial" w:cs="Arial"/>
                <w:sz w:val="18"/>
                <w:szCs w:val="18"/>
              </w:rPr>
              <w:t xml:space="preserve">$5,029,929 </w:t>
            </w:r>
          </w:p>
        </w:tc>
        <w:tc>
          <w:tcPr>
            <w:tcW w:w="1440" w:type="dxa"/>
          </w:tcPr>
          <w:p w14:paraId="73ED1CE2" w14:textId="20188FA3" w:rsidR="00B5603D" w:rsidRPr="00022F0A" w:rsidRDefault="00B5603D" w:rsidP="00B5603D">
            <w:pPr>
              <w:rPr>
                <w:rFonts w:ascii="Arial" w:hAnsi="Arial" w:cs="Arial"/>
                <w:sz w:val="18"/>
                <w:szCs w:val="18"/>
              </w:rPr>
            </w:pPr>
            <w:r w:rsidRPr="00C967D3">
              <w:rPr>
                <w:rFonts w:ascii="Arial" w:hAnsi="Arial" w:cs="Arial"/>
                <w:sz w:val="18"/>
                <w:szCs w:val="18"/>
              </w:rPr>
              <w:t xml:space="preserve">$2,590,327 </w:t>
            </w:r>
          </w:p>
        </w:tc>
        <w:tc>
          <w:tcPr>
            <w:tcW w:w="1440" w:type="dxa"/>
          </w:tcPr>
          <w:p w14:paraId="6A79FE17" w14:textId="694B2D77" w:rsidR="00B5603D" w:rsidRPr="00022F0A" w:rsidRDefault="00B5603D" w:rsidP="00B5603D">
            <w:pPr>
              <w:rPr>
                <w:rFonts w:ascii="Arial" w:hAnsi="Arial" w:cs="Arial"/>
                <w:sz w:val="18"/>
                <w:szCs w:val="18"/>
              </w:rPr>
            </w:pPr>
            <w:r w:rsidRPr="00C967D3">
              <w:rPr>
                <w:rFonts w:ascii="Arial" w:hAnsi="Arial" w:cs="Arial"/>
                <w:sz w:val="18"/>
                <w:szCs w:val="18"/>
              </w:rPr>
              <w:t xml:space="preserve">$238,697 </w:t>
            </w:r>
          </w:p>
        </w:tc>
        <w:tc>
          <w:tcPr>
            <w:tcW w:w="1440" w:type="dxa"/>
          </w:tcPr>
          <w:p w14:paraId="65159916" w14:textId="041C127D" w:rsidR="00B5603D" w:rsidRPr="00022F0A" w:rsidRDefault="00B5603D" w:rsidP="00B5603D">
            <w:pPr>
              <w:rPr>
                <w:rFonts w:ascii="Arial" w:hAnsi="Arial" w:cs="Arial"/>
                <w:sz w:val="18"/>
                <w:szCs w:val="18"/>
              </w:rPr>
            </w:pPr>
            <w:r w:rsidRPr="00C967D3">
              <w:rPr>
                <w:rFonts w:ascii="Arial" w:hAnsi="Arial" w:cs="Arial"/>
                <w:sz w:val="18"/>
                <w:szCs w:val="18"/>
              </w:rPr>
              <w:t xml:space="preserve">$1,737,501 </w:t>
            </w:r>
          </w:p>
        </w:tc>
        <w:tc>
          <w:tcPr>
            <w:tcW w:w="1615" w:type="dxa"/>
          </w:tcPr>
          <w:p w14:paraId="089ECDF1" w14:textId="43FDFA3C" w:rsidR="00B5603D" w:rsidRPr="00022F0A" w:rsidRDefault="00B5603D" w:rsidP="00B5603D">
            <w:pPr>
              <w:rPr>
                <w:rFonts w:ascii="Arial" w:hAnsi="Arial" w:cs="Arial"/>
                <w:sz w:val="18"/>
                <w:szCs w:val="18"/>
              </w:rPr>
            </w:pPr>
            <w:r w:rsidRPr="00C967D3">
              <w:rPr>
                <w:rFonts w:ascii="Arial" w:hAnsi="Arial" w:cs="Arial"/>
                <w:sz w:val="18"/>
                <w:szCs w:val="18"/>
              </w:rPr>
              <w:t xml:space="preserve">$13,782,224 </w:t>
            </w:r>
          </w:p>
        </w:tc>
      </w:tr>
      <w:tr w:rsidR="00B5603D" w14:paraId="6E65B3E8" w14:textId="77777777" w:rsidTr="00C91E7A">
        <w:trPr>
          <w:trHeight w:val="20"/>
        </w:trPr>
        <w:tc>
          <w:tcPr>
            <w:tcW w:w="1885" w:type="dxa"/>
          </w:tcPr>
          <w:p w14:paraId="3072F93C" w14:textId="0175ABD0" w:rsidR="00B5603D" w:rsidRPr="00022F0A" w:rsidRDefault="00B5603D" w:rsidP="00B5603D">
            <w:pPr>
              <w:rPr>
                <w:rFonts w:ascii="Arial" w:hAnsi="Arial" w:cs="Arial"/>
                <w:sz w:val="18"/>
                <w:szCs w:val="18"/>
              </w:rPr>
            </w:pPr>
            <w:r w:rsidRPr="00C967D3">
              <w:rPr>
                <w:rFonts w:ascii="Arial" w:hAnsi="Arial" w:cs="Arial"/>
                <w:sz w:val="18"/>
                <w:szCs w:val="18"/>
              </w:rPr>
              <w:t>Oregon</w:t>
            </w:r>
          </w:p>
        </w:tc>
        <w:tc>
          <w:tcPr>
            <w:tcW w:w="1440" w:type="dxa"/>
          </w:tcPr>
          <w:p w14:paraId="45D02D77" w14:textId="1A4D0024" w:rsidR="00B5603D" w:rsidRPr="00022F0A" w:rsidRDefault="00B5603D" w:rsidP="00B5603D">
            <w:pPr>
              <w:rPr>
                <w:rFonts w:ascii="Arial" w:hAnsi="Arial" w:cs="Arial"/>
                <w:sz w:val="18"/>
                <w:szCs w:val="18"/>
              </w:rPr>
            </w:pPr>
            <w:r w:rsidRPr="00C967D3">
              <w:rPr>
                <w:rFonts w:ascii="Arial" w:hAnsi="Arial" w:cs="Arial"/>
                <w:sz w:val="18"/>
                <w:szCs w:val="18"/>
              </w:rPr>
              <w:t xml:space="preserve">$4,253,413 </w:t>
            </w:r>
          </w:p>
        </w:tc>
        <w:tc>
          <w:tcPr>
            <w:tcW w:w="1530" w:type="dxa"/>
          </w:tcPr>
          <w:p w14:paraId="5E6D10AF" w14:textId="170B13B0" w:rsidR="00B5603D" w:rsidRPr="00022F0A" w:rsidRDefault="00B5603D" w:rsidP="00B5603D">
            <w:pPr>
              <w:rPr>
                <w:rFonts w:ascii="Arial" w:hAnsi="Arial" w:cs="Arial"/>
                <w:sz w:val="18"/>
                <w:szCs w:val="18"/>
              </w:rPr>
            </w:pPr>
            <w:r w:rsidRPr="00C967D3">
              <w:rPr>
                <w:rFonts w:ascii="Arial" w:hAnsi="Arial" w:cs="Arial"/>
                <w:sz w:val="18"/>
                <w:szCs w:val="18"/>
              </w:rPr>
              <w:t xml:space="preserve">$5,823,512 </w:t>
            </w:r>
          </w:p>
        </w:tc>
        <w:tc>
          <w:tcPr>
            <w:tcW w:w="1440" w:type="dxa"/>
          </w:tcPr>
          <w:p w14:paraId="1925FD57" w14:textId="1EFF052B" w:rsidR="00B5603D" w:rsidRPr="00022F0A" w:rsidRDefault="00B5603D" w:rsidP="00B5603D">
            <w:pPr>
              <w:rPr>
                <w:rFonts w:ascii="Arial" w:hAnsi="Arial" w:cs="Arial"/>
                <w:sz w:val="18"/>
                <w:szCs w:val="18"/>
              </w:rPr>
            </w:pPr>
            <w:r w:rsidRPr="00C967D3">
              <w:rPr>
                <w:rFonts w:ascii="Arial" w:hAnsi="Arial" w:cs="Arial"/>
                <w:sz w:val="18"/>
                <w:szCs w:val="18"/>
              </w:rPr>
              <w:t xml:space="preserve">$3,005,722 </w:t>
            </w:r>
          </w:p>
        </w:tc>
        <w:tc>
          <w:tcPr>
            <w:tcW w:w="1440" w:type="dxa"/>
          </w:tcPr>
          <w:p w14:paraId="6174BE6E" w14:textId="3876039F" w:rsidR="00B5603D" w:rsidRPr="00022F0A" w:rsidRDefault="00B5603D" w:rsidP="00B5603D">
            <w:pPr>
              <w:rPr>
                <w:rFonts w:ascii="Arial" w:hAnsi="Arial" w:cs="Arial"/>
                <w:sz w:val="18"/>
                <w:szCs w:val="18"/>
              </w:rPr>
            </w:pPr>
            <w:r w:rsidRPr="00C967D3">
              <w:rPr>
                <w:rFonts w:ascii="Arial" w:hAnsi="Arial" w:cs="Arial"/>
                <w:sz w:val="18"/>
                <w:szCs w:val="18"/>
              </w:rPr>
              <w:t xml:space="preserve">$240,226 </w:t>
            </w:r>
          </w:p>
        </w:tc>
        <w:tc>
          <w:tcPr>
            <w:tcW w:w="1440" w:type="dxa"/>
          </w:tcPr>
          <w:p w14:paraId="56BA7B45" w14:textId="2275C76A" w:rsidR="00B5603D" w:rsidRPr="00022F0A" w:rsidRDefault="00B5603D" w:rsidP="00B5603D">
            <w:pPr>
              <w:rPr>
                <w:rFonts w:ascii="Arial" w:hAnsi="Arial" w:cs="Arial"/>
                <w:sz w:val="18"/>
                <w:szCs w:val="18"/>
              </w:rPr>
            </w:pPr>
            <w:r w:rsidRPr="00C967D3">
              <w:rPr>
                <w:rFonts w:ascii="Arial" w:hAnsi="Arial" w:cs="Arial"/>
                <w:sz w:val="18"/>
                <w:szCs w:val="18"/>
              </w:rPr>
              <w:t xml:space="preserve">$1,925,376 </w:t>
            </w:r>
          </w:p>
        </w:tc>
        <w:tc>
          <w:tcPr>
            <w:tcW w:w="1615" w:type="dxa"/>
          </w:tcPr>
          <w:p w14:paraId="4B17E2D4" w14:textId="1B6FE4CF" w:rsidR="00B5603D" w:rsidRPr="00022F0A" w:rsidRDefault="00B5603D" w:rsidP="00B5603D">
            <w:pPr>
              <w:rPr>
                <w:rFonts w:ascii="Arial" w:hAnsi="Arial" w:cs="Arial"/>
                <w:sz w:val="18"/>
                <w:szCs w:val="18"/>
              </w:rPr>
            </w:pPr>
            <w:r w:rsidRPr="00C967D3">
              <w:rPr>
                <w:rFonts w:ascii="Arial" w:hAnsi="Arial" w:cs="Arial"/>
                <w:sz w:val="18"/>
                <w:szCs w:val="18"/>
              </w:rPr>
              <w:t xml:space="preserve">$15,248,249 </w:t>
            </w:r>
          </w:p>
        </w:tc>
      </w:tr>
      <w:tr w:rsidR="00B5603D" w14:paraId="312C8FA6" w14:textId="77777777" w:rsidTr="00C91E7A">
        <w:trPr>
          <w:trHeight w:val="20"/>
        </w:trPr>
        <w:tc>
          <w:tcPr>
            <w:tcW w:w="1885" w:type="dxa"/>
          </w:tcPr>
          <w:p w14:paraId="4EB3C3C4" w14:textId="2EA98EA0" w:rsidR="00B5603D" w:rsidRPr="00022F0A" w:rsidRDefault="00B5603D" w:rsidP="00B5603D">
            <w:pPr>
              <w:rPr>
                <w:rFonts w:ascii="Arial" w:hAnsi="Arial" w:cs="Arial"/>
                <w:sz w:val="18"/>
                <w:szCs w:val="18"/>
              </w:rPr>
            </w:pPr>
            <w:r w:rsidRPr="00C967D3">
              <w:rPr>
                <w:rFonts w:ascii="Arial" w:hAnsi="Arial" w:cs="Arial"/>
                <w:sz w:val="18"/>
                <w:szCs w:val="18"/>
              </w:rPr>
              <w:t>Pennsylvania</w:t>
            </w:r>
          </w:p>
        </w:tc>
        <w:tc>
          <w:tcPr>
            <w:tcW w:w="1440" w:type="dxa"/>
          </w:tcPr>
          <w:p w14:paraId="616A130A" w14:textId="39D15728" w:rsidR="00B5603D" w:rsidRPr="00022F0A" w:rsidRDefault="00B5603D" w:rsidP="00B5603D">
            <w:pPr>
              <w:rPr>
                <w:rFonts w:ascii="Arial" w:hAnsi="Arial" w:cs="Arial"/>
                <w:sz w:val="18"/>
                <w:szCs w:val="18"/>
              </w:rPr>
            </w:pPr>
            <w:r w:rsidRPr="00C967D3">
              <w:rPr>
                <w:rFonts w:ascii="Arial" w:hAnsi="Arial" w:cs="Arial"/>
                <w:sz w:val="18"/>
                <w:szCs w:val="18"/>
              </w:rPr>
              <w:t xml:space="preserve">$17,493,327 </w:t>
            </w:r>
          </w:p>
        </w:tc>
        <w:tc>
          <w:tcPr>
            <w:tcW w:w="1530" w:type="dxa"/>
          </w:tcPr>
          <w:p w14:paraId="3D69427F" w14:textId="2F097ADD" w:rsidR="00B5603D" w:rsidRPr="00022F0A" w:rsidRDefault="00B5603D" w:rsidP="00B5603D">
            <w:pPr>
              <w:rPr>
                <w:rFonts w:ascii="Arial" w:hAnsi="Arial" w:cs="Arial"/>
                <w:sz w:val="18"/>
                <w:szCs w:val="18"/>
              </w:rPr>
            </w:pPr>
            <w:r w:rsidRPr="00C967D3">
              <w:rPr>
                <w:rFonts w:ascii="Arial" w:hAnsi="Arial" w:cs="Arial"/>
                <w:sz w:val="18"/>
                <w:szCs w:val="18"/>
              </w:rPr>
              <w:t xml:space="preserve">$21,066,919 </w:t>
            </w:r>
          </w:p>
        </w:tc>
        <w:tc>
          <w:tcPr>
            <w:tcW w:w="1440" w:type="dxa"/>
          </w:tcPr>
          <w:p w14:paraId="0A28D024" w14:textId="19BB4841" w:rsidR="00B5603D" w:rsidRPr="00022F0A" w:rsidRDefault="00B5603D" w:rsidP="00B5603D">
            <w:pPr>
              <w:rPr>
                <w:rFonts w:ascii="Arial" w:hAnsi="Arial" w:cs="Arial"/>
                <w:sz w:val="18"/>
                <w:szCs w:val="18"/>
              </w:rPr>
            </w:pPr>
            <w:r w:rsidRPr="00C967D3">
              <w:rPr>
                <w:rFonts w:ascii="Arial" w:hAnsi="Arial" w:cs="Arial"/>
                <w:sz w:val="18"/>
                <w:szCs w:val="18"/>
              </w:rPr>
              <w:t xml:space="preserve">$9,742,844 </w:t>
            </w:r>
          </w:p>
        </w:tc>
        <w:tc>
          <w:tcPr>
            <w:tcW w:w="1440" w:type="dxa"/>
          </w:tcPr>
          <w:p w14:paraId="5AC5ABED" w14:textId="40CFA288" w:rsidR="00B5603D" w:rsidRPr="00022F0A" w:rsidRDefault="00B5603D" w:rsidP="00B5603D">
            <w:pPr>
              <w:rPr>
                <w:rFonts w:ascii="Arial" w:hAnsi="Arial" w:cs="Arial"/>
                <w:sz w:val="18"/>
                <w:szCs w:val="18"/>
              </w:rPr>
            </w:pPr>
            <w:r w:rsidRPr="00C967D3">
              <w:rPr>
                <w:rFonts w:ascii="Arial" w:hAnsi="Arial" w:cs="Arial"/>
                <w:sz w:val="18"/>
                <w:szCs w:val="18"/>
              </w:rPr>
              <w:t xml:space="preserve">$944,437 </w:t>
            </w:r>
          </w:p>
        </w:tc>
        <w:tc>
          <w:tcPr>
            <w:tcW w:w="1440" w:type="dxa"/>
          </w:tcPr>
          <w:p w14:paraId="6C617B70" w14:textId="789B08BB" w:rsidR="00B5603D" w:rsidRPr="00022F0A" w:rsidRDefault="00B5603D" w:rsidP="00B5603D">
            <w:pPr>
              <w:rPr>
                <w:rFonts w:ascii="Arial" w:hAnsi="Arial" w:cs="Arial"/>
                <w:sz w:val="18"/>
                <w:szCs w:val="18"/>
              </w:rPr>
            </w:pPr>
            <w:r w:rsidRPr="00C967D3">
              <w:rPr>
                <w:rFonts w:ascii="Arial" w:hAnsi="Arial" w:cs="Arial"/>
                <w:sz w:val="18"/>
                <w:szCs w:val="18"/>
              </w:rPr>
              <w:t xml:space="preserve">$6,680,302 </w:t>
            </w:r>
          </w:p>
        </w:tc>
        <w:tc>
          <w:tcPr>
            <w:tcW w:w="1615" w:type="dxa"/>
          </w:tcPr>
          <w:p w14:paraId="72C95771" w14:textId="6EAAD927" w:rsidR="00B5603D" w:rsidRPr="00022F0A" w:rsidRDefault="00B5603D" w:rsidP="00B5603D">
            <w:pPr>
              <w:rPr>
                <w:rFonts w:ascii="Arial" w:hAnsi="Arial" w:cs="Arial"/>
                <w:sz w:val="18"/>
                <w:szCs w:val="18"/>
              </w:rPr>
            </w:pPr>
            <w:r w:rsidRPr="00C967D3">
              <w:rPr>
                <w:rFonts w:ascii="Arial" w:hAnsi="Arial" w:cs="Arial"/>
                <w:sz w:val="18"/>
                <w:szCs w:val="18"/>
              </w:rPr>
              <w:t xml:space="preserve">$55,927,829 </w:t>
            </w:r>
          </w:p>
        </w:tc>
      </w:tr>
      <w:tr w:rsidR="00B5603D" w14:paraId="04839D6A" w14:textId="77777777" w:rsidTr="00C91E7A">
        <w:trPr>
          <w:trHeight w:val="20"/>
        </w:trPr>
        <w:tc>
          <w:tcPr>
            <w:tcW w:w="1885" w:type="dxa"/>
          </w:tcPr>
          <w:p w14:paraId="158FA80D" w14:textId="2B59AAAD" w:rsidR="00B5603D" w:rsidRPr="00022F0A" w:rsidRDefault="00B5603D" w:rsidP="00B5603D">
            <w:pPr>
              <w:rPr>
                <w:rFonts w:ascii="Arial" w:hAnsi="Arial" w:cs="Arial"/>
                <w:sz w:val="18"/>
                <w:szCs w:val="18"/>
              </w:rPr>
            </w:pPr>
            <w:r w:rsidRPr="00C967D3">
              <w:rPr>
                <w:rFonts w:ascii="Arial" w:hAnsi="Arial" w:cs="Arial"/>
                <w:sz w:val="18"/>
                <w:szCs w:val="18"/>
              </w:rPr>
              <w:t>Rhode Island</w:t>
            </w:r>
          </w:p>
        </w:tc>
        <w:tc>
          <w:tcPr>
            <w:tcW w:w="1440" w:type="dxa"/>
          </w:tcPr>
          <w:p w14:paraId="432EBEE8" w14:textId="29F56BEA" w:rsidR="00B5603D" w:rsidRPr="00022F0A" w:rsidRDefault="00B5603D" w:rsidP="00B5603D">
            <w:pPr>
              <w:rPr>
                <w:rFonts w:ascii="Arial" w:hAnsi="Arial" w:cs="Arial"/>
                <w:sz w:val="18"/>
                <w:szCs w:val="18"/>
              </w:rPr>
            </w:pPr>
            <w:r w:rsidRPr="00C967D3">
              <w:rPr>
                <w:rFonts w:ascii="Arial" w:hAnsi="Arial" w:cs="Arial"/>
                <w:sz w:val="18"/>
                <w:szCs w:val="18"/>
              </w:rPr>
              <w:t xml:space="preserve">$1,736,115 </w:t>
            </w:r>
          </w:p>
        </w:tc>
        <w:tc>
          <w:tcPr>
            <w:tcW w:w="1530" w:type="dxa"/>
          </w:tcPr>
          <w:p w14:paraId="735EAF5B" w14:textId="4739CB45" w:rsidR="00B5603D" w:rsidRPr="00022F0A" w:rsidRDefault="00B5603D" w:rsidP="00B5603D">
            <w:pPr>
              <w:rPr>
                <w:rFonts w:ascii="Arial" w:hAnsi="Arial" w:cs="Arial"/>
                <w:sz w:val="18"/>
                <w:szCs w:val="18"/>
              </w:rPr>
            </w:pPr>
            <w:r w:rsidRPr="00C967D3">
              <w:rPr>
                <w:rFonts w:ascii="Arial" w:hAnsi="Arial" w:cs="Arial"/>
                <w:sz w:val="18"/>
                <w:szCs w:val="18"/>
              </w:rPr>
              <w:t xml:space="preserve">$2,229,088 </w:t>
            </w:r>
          </w:p>
        </w:tc>
        <w:tc>
          <w:tcPr>
            <w:tcW w:w="1440" w:type="dxa"/>
          </w:tcPr>
          <w:p w14:paraId="127A378A" w14:textId="0F37F90D" w:rsidR="00B5603D" w:rsidRPr="00022F0A" w:rsidRDefault="00B5603D" w:rsidP="00B5603D">
            <w:pPr>
              <w:rPr>
                <w:rFonts w:ascii="Arial" w:hAnsi="Arial" w:cs="Arial"/>
                <w:sz w:val="18"/>
                <w:szCs w:val="18"/>
              </w:rPr>
            </w:pPr>
            <w:r w:rsidRPr="00C967D3">
              <w:rPr>
                <w:rFonts w:ascii="Arial" w:hAnsi="Arial" w:cs="Arial"/>
                <w:sz w:val="18"/>
                <w:szCs w:val="18"/>
              </w:rPr>
              <w:t xml:space="preserve">$1,125,270 </w:t>
            </w:r>
          </w:p>
        </w:tc>
        <w:tc>
          <w:tcPr>
            <w:tcW w:w="1440" w:type="dxa"/>
          </w:tcPr>
          <w:p w14:paraId="75B157CF" w14:textId="715A192C" w:rsidR="00B5603D" w:rsidRPr="00022F0A" w:rsidRDefault="00B5603D" w:rsidP="00B5603D">
            <w:pPr>
              <w:rPr>
                <w:rFonts w:ascii="Arial" w:hAnsi="Arial" w:cs="Arial"/>
                <w:sz w:val="18"/>
                <w:szCs w:val="18"/>
              </w:rPr>
            </w:pPr>
            <w:r w:rsidRPr="00C967D3">
              <w:rPr>
                <w:rFonts w:ascii="Arial" w:hAnsi="Arial" w:cs="Arial"/>
                <w:sz w:val="18"/>
                <w:szCs w:val="18"/>
              </w:rPr>
              <w:t xml:space="preserve">$98,321 </w:t>
            </w:r>
          </w:p>
        </w:tc>
        <w:tc>
          <w:tcPr>
            <w:tcW w:w="1440" w:type="dxa"/>
          </w:tcPr>
          <w:p w14:paraId="2F82A69F" w14:textId="2884A8B1" w:rsidR="00B5603D" w:rsidRPr="00022F0A" w:rsidRDefault="00B5603D" w:rsidP="00B5603D">
            <w:pPr>
              <w:rPr>
                <w:rFonts w:ascii="Arial" w:hAnsi="Arial" w:cs="Arial"/>
                <w:sz w:val="18"/>
                <w:szCs w:val="18"/>
              </w:rPr>
            </w:pPr>
            <w:r w:rsidRPr="00C967D3">
              <w:rPr>
                <w:rFonts w:ascii="Arial" w:hAnsi="Arial" w:cs="Arial"/>
                <w:sz w:val="18"/>
                <w:szCs w:val="18"/>
              </w:rPr>
              <w:t xml:space="preserve">$746,423 </w:t>
            </w:r>
          </w:p>
        </w:tc>
        <w:tc>
          <w:tcPr>
            <w:tcW w:w="1615" w:type="dxa"/>
          </w:tcPr>
          <w:p w14:paraId="423EF681" w14:textId="044863F3" w:rsidR="00B5603D" w:rsidRPr="00022F0A" w:rsidRDefault="00B5603D" w:rsidP="00B5603D">
            <w:pPr>
              <w:rPr>
                <w:rFonts w:ascii="Arial" w:hAnsi="Arial" w:cs="Arial"/>
                <w:sz w:val="18"/>
                <w:szCs w:val="18"/>
              </w:rPr>
            </w:pPr>
            <w:r w:rsidRPr="00C967D3">
              <w:rPr>
                <w:rFonts w:ascii="Arial" w:hAnsi="Arial" w:cs="Arial"/>
                <w:sz w:val="18"/>
                <w:szCs w:val="18"/>
              </w:rPr>
              <w:t xml:space="preserve">$5,935,217 </w:t>
            </w:r>
          </w:p>
        </w:tc>
      </w:tr>
      <w:tr w:rsidR="00B5603D" w14:paraId="3996EEF3" w14:textId="77777777" w:rsidTr="00C91E7A">
        <w:trPr>
          <w:trHeight w:val="20"/>
        </w:trPr>
        <w:tc>
          <w:tcPr>
            <w:tcW w:w="1885" w:type="dxa"/>
          </w:tcPr>
          <w:p w14:paraId="483AAA39" w14:textId="682F05FD" w:rsidR="00B5603D" w:rsidRPr="00022F0A" w:rsidRDefault="00B5603D" w:rsidP="00B5603D">
            <w:pPr>
              <w:rPr>
                <w:rFonts w:ascii="Arial" w:hAnsi="Arial" w:cs="Arial"/>
                <w:sz w:val="18"/>
                <w:szCs w:val="18"/>
              </w:rPr>
            </w:pPr>
            <w:r w:rsidRPr="00C967D3">
              <w:rPr>
                <w:rFonts w:ascii="Arial" w:hAnsi="Arial" w:cs="Arial"/>
                <w:sz w:val="18"/>
                <w:szCs w:val="18"/>
              </w:rPr>
              <w:t>South Carolina</w:t>
            </w:r>
          </w:p>
        </w:tc>
        <w:tc>
          <w:tcPr>
            <w:tcW w:w="1440" w:type="dxa"/>
          </w:tcPr>
          <w:p w14:paraId="0DA127D3" w14:textId="6F05BB43" w:rsidR="00B5603D" w:rsidRPr="00022F0A" w:rsidRDefault="00B5603D" w:rsidP="00B5603D">
            <w:pPr>
              <w:rPr>
                <w:rFonts w:ascii="Arial" w:hAnsi="Arial" w:cs="Arial"/>
                <w:sz w:val="18"/>
                <w:szCs w:val="18"/>
              </w:rPr>
            </w:pPr>
            <w:r w:rsidRPr="00C967D3">
              <w:rPr>
                <w:rFonts w:ascii="Arial" w:hAnsi="Arial" w:cs="Arial"/>
                <w:sz w:val="18"/>
                <w:szCs w:val="18"/>
              </w:rPr>
              <w:t xml:space="preserve">$5,049,895 </w:t>
            </w:r>
          </w:p>
        </w:tc>
        <w:tc>
          <w:tcPr>
            <w:tcW w:w="1530" w:type="dxa"/>
          </w:tcPr>
          <w:p w14:paraId="7A817854" w14:textId="49EDD8F3" w:rsidR="00B5603D" w:rsidRPr="00022F0A" w:rsidRDefault="00B5603D" w:rsidP="00B5603D">
            <w:pPr>
              <w:rPr>
                <w:rFonts w:ascii="Arial" w:hAnsi="Arial" w:cs="Arial"/>
                <w:sz w:val="18"/>
                <w:szCs w:val="18"/>
              </w:rPr>
            </w:pPr>
            <w:r w:rsidRPr="00C967D3">
              <w:rPr>
                <w:rFonts w:ascii="Arial" w:hAnsi="Arial" w:cs="Arial"/>
                <w:sz w:val="18"/>
                <w:szCs w:val="18"/>
              </w:rPr>
              <w:t xml:space="preserve">$6,914,007 </w:t>
            </w:r>
          </w:p>
        </w:tc>
        <w:tc>
          <w:tcPr>
            <w:tcW w:w="1440" w:type="dxa"/>
          </w:tcPr>
          <w:p w14:paraId="53F234F0" w14:textId="44A8B36D" w:rsidR="00B5603D" w:rsidRPr="00022F0A" w:rsidRDefault="00B5603D" w:rsidP="00B5603D">
            <w:pPr>
              <w:rPr>
                <w:rFonts w:ascii="Arial" w:hAnsi="Arial" w:cs="Arial"/>
                <w:sz w:val="18"/>
                <w:szCs w:val="18"/>
              </w:rPr>
            </w:pPr>
            <w:r w:rsidRPr="00C967D3">
              <w:rPr>
                <w:rFonts w:ascii="Arial" w:hAnsi="Arial" w:cs="Arial"/>
                <w:sz w:val="18"/>
                <w:szCs w:val="18"/>
              </w:rPr>
              <w:t xml:space="preserve">$3,568,565 </w:t>
            </w:r>
          </w:p>
        </w:tc>
        <w:tc>
          <w:tcPr>
            <w:tcW w:w="1440" w:type="dxa"/>
          </w:tcPr>
          <w:p w14:paraId="0DE5AFEF" w14:textId="16F82B93" w:rsidR="00B5603D" w:rsidRPr="00022F0A" w:rsidRDefault="00B5603D" w:rsidP="00B5603D">
            <w:pPr>
              <w:rPr>
                <w:rFonts w:ascii="Arial" w:hAnsi="Arial" w:cs="Arial"/>
                <w:sz w:val="18"/>
                <w:szCs w:val="18"/>
              </w:rPr>
            </w:pPr>
            <w:r w:rsidRPr="00C967D3">
              <w:rPr>
                <w:rFonts w:ascii="Arial" w:hAnsi="Arial" w:cs="Arial"/>
                <w:sz w:val="18"/>
                <w:szCs w:val="18"/>
              </w:rPr>
              <w:t xml:space="preserve">$285,210 </w:t>
            </w:r>
          </w:p>
        </w:tc>
        <w:tc>
          <w:tcPr>
            <w:tcW w:w="1440" w:type="dxa"/>
          </w:tcPr>
          <w:p w14:paraId="3F9B2802" w14:textId="49AC6B1C" w:rsidR="00B5603D" w:rsidRPr="00022F0A" w:rsidRDefault="00B5603D" w:rsidP="00B5603D">
            <w:pPr>
              <w:rPr>
                <w:rFonts w:ascii="Arial" w:hAnsi="Arial" w:cs="Arial"/>
                <w:sz w:val="18"/>
                <w:szCs w:val="18"/>
              </w:rPr>
            </w:pPr>
            <w:r w:rsidRPr="00C967D3">
              <w:rPr>
                <w:rFonts w:ascii="Arial" w:hAnsi="Arial" w:cs="Arial"/>
                <w:sz w:val="18"/>
                <w:szCs w:val="18"/>
              </w:rPr>
              <w:t xml:space="preserve">$2,298,360 </w:t>
            </w:r>
          </w:p>
        </w:tc>
        <w:tc>
          <w:tcPr>
            <w:tcW w:w="1615" w:type="dxa"/>
          </w:tcPr>
          <w:p w14:paraId="3E5AB9CE" w14:textId="769600AA" w:rsidR="00B5603D" w:rsidRPr="00022F0A" w:rsidRDefault="00B5603D" w:rsidP="00B5603D">
            <w:pPr>
              <w:rPr>
                <w:rFonts w:ascii="Arial" w:hAnsi="Arial" w:cs="Arial"/>
                <w:sz w:val="18"/>
                <w:szCs w:val="18"/>
              </w:rPr>
            </w:pPr>
            <w:r w:rsidRPr="00C967D3">
              <w:rPr>
                <w:rFonts w:ascii="Arial" w:hAnsi="Arial" w:cs="Arial"/>
                <w:sz w:val="18"/>
                <w:szCs w:val="18"/>
              </w:rPr>
              <w:t xml:space="preserve">$18,116,037 </w:t>
            </w:r>
          </w:p>
        </w:tc>
      </w:tr>
      <w:tr w:rsidR="00B5603D" w14:paraId="36212D00" w14:textId="77777777" w:rsidTr="00C91E7A">
        <w:trPr>
          <w:trHeight w:val="20"/>
        </w:trPr>
        <w:tc>
          <w:tcPr>
            <w:tcW w:w="1885" w:type="dxa"/>
          </w:tcPr>
          <w:p w14:paraId="6E59B552" w14:textId="73A45E62" w:rsidR="00B5603D" w:rsidRPr="00022F0A" w:rsidRDefault="00B5603D" w:rsidP="00B5603D">
            <w:pPr>
              <w:rPr>
                <w:rFonts w:ascii="Arial" w:hAnsi="Arial" w:cs="Arial"/>
                <w:sz w:val="18"/>
                <w:szCs w:val="18"/>
              </w:rPr>
            </w:pPr>
            <w:r w:rsidRPr="00C967D3">
              <w:rPr>
                <w:rFonts w:ascii="Arial" w:hAnsi="Arial" w:cs="Arial"/>
                <w:sz w:val="18"/>
                <w:szCs w:val="18"/>
              </w:rPr>
              <w:t>South Dakota</w:t>
            </w:r>
          </w:p>
        </w:tc>
        <w:tc>
          <w:tcPr>
            <w:tcW w:w="1440" w:type="dxa"/>
          </w:tcPr>
          <w:p w14:paraId="028DEADA" w14:textId="03C5D3B6" w:rsidR="00B5603D" w:rsidRPr="00022F0A" w:rsidRDefault="00B5603D" w:rsidP="00B5603D">
            <w:pPr>
              <w:rPr>
                <w:rFonts w:ascii="Arial" w:hAnsi="Arial" w:cs="Arial"/>
                <w:sz w:val="18"/>
                <w:szCs w:val="18"/>
              </w:rPr>
            </w:pPr>
            <w:r w:rsidRPr="00C967D3">
              <w:rPr>
                <w:rFonts w:ascii="Arial" w:hAnsi="Arial" w:cs="Arial"/>
                <w:sz w:val="18"/>
                <w:szCs w:val="18"/>
              </w:rPr>
              <w:t xml:space="preserve">$1,736,115 </w:t>
            </w:r>
          </w:p>
        </w:tc>
        <w:tc>
          <w:tcPr>
            <w:tcW w:w="1530" w:type="dxa"/>
          </w:tcPr>
          <w:p w14:paraId="19775B94" w14:textId="57579534" w:rsidR="00B5603D" w:rsidRPr="00022F0A" w:rsidRDefault="00B5603D" w:rsidP="00B5603D">
            <w:pPr>
              <w:rPr>
                <w:rFonts w:ascii="Arial" w:hAnsi="Arial" w:cs="Arial"/>
                <w:sz w:val="18"/>
                <w:szCs w:val="18"/>
              </w:rPr>
            </w:pPr>
            <w:r w:rsidRPr="00C967D3">
              <w:rPr>
                <w:rFonts w:ascii="Arial" w:hAnsi="Arial" w:cs="Arial"/>
                <w:sz w:val="18"/>
                <w:szCs w:val="18"/>
              </w:rPr>
              <w:t xml:space="preserve">$2,229,088 </w:t>
            </w:r>
          </w:p>
        </w:tc>
        <w:tc>
          <w:tcPr>
            <w:tcW w:w="1440" w:type="dxa"/>
          </w:tcPr>
          <w:p w14:paraId="130100F5" w14:textId="5603CC8C" w:rsidR="00B5603D" w:rsidRPr="00022F0A" w:rsidRDefault="00B5603D" w:rsidP="00B5603D">
            <w:pPr>
              <w:rPr>
                <w:rFonts w:ascii="Arial" w:hAnsi="Arial" w:cs="Arial"/>
                <w:sz w:val="18"/>
                <w:szCs w:val="18"/>
              </w:rPr>
            </w:pPr>
            <w:r w:rsidRPr="00C967D3">
              <w:rPr>
                <w:rFonts w:ascii="Arial" w:hAnsi="Arial" w:cs="Arial"/>
                <w:sz w:val="18"/>
                <w:szCs w:val="18"/>
              </w:rPr>
              <w:t xml:space="preserve">$1,125,270 </w:t>
            </w:r>
          </w:p>
        </w:tc>
        <w:tc>
          <w:tcPr>
            <w:tcW w:w="1440" w:type="dxa"/>
          </w:tcPr>
          <w:p w14:paraId="288E665C" w14:textId="6ACAFCD6" w:rsidR="00B5603D" w:rsidRPr="00022F0A" w:rsidRDefault="00B5603D" w:rsidP="00B5603D">
            <w:pPr>
              <w:rPr>
                <w:rFonts w:ascii="Arial" w:hAnsi="Arial" w:cs="Arial"/>
                <w:sz w:val="18"/>
                <w:szCs w:val="18"/>
              </w:rPr>
            </w:pPr>
            <w:r w:rsidRPr="00C967D3">
              <w:rPr>
                <w:rFonts w:ascii="Arial" w:hAnsi="Arial" w:cs="Arial"/>
                <w:sz w:val="18"/>
                <w:szCs w:val="18"/>
              </w:rPr>
              <w:t xml:space="preserve">$98,321 </w:t>
            </w:r>
          </w:p>
        </w:tc>
        <w:tc>
          <w:tcPr>
            <w:tcW w:w="1440" w:type="dxa"/>
          </w:tcPr>
          <w:p w14:paraId="79F9A977" w14:textId="08527FC1" w:rsidR="00B5603D" w:rsidRPr="00022F0A" w:rsidRDefault="00B5603D" w:rsidP="00B5603D">
            <w:pPr>
              <w:rPr>
                <w:rFonts w:ascii="Arial" w:hAnsi="Arial" w:cs="Arial"/>
                <w:sz w:val="18"/>
                <w:szCs w:val="18"/>
              </w:rPr>
            </w:pPr>
            <w:r w:rsidRPr="00C967D3">
              <w:rPr>
                <w:rFonts w:ascii="Arial" w:hAnsi="Arial" w:cs="Arial"/>
                <w:sz w:val="18"/>
                <w:szCs w:val="18"/>
              </w:rPr>
              <w:t xml:space="preserve">$746,423 </w:t>
            </w:r>
          </w:p>
        </w:tc>
        <w:tc>
          <w:tcPr>
            <w:tcW w:w="1615" w:type="dxa"/>
          </w:tcPr>
          <w:p w14:paraId="79E73675" w14:textId="5FFBB2B4" w:rsidR="00B5603D" w:rsidRPr="00022F0A" w:rsidRDefault="00B5603D" w:rsidP="00B5603D">
            <w:pPr>
              <w:rPr>
                <w:rFonts w:ascii="Arial" w:hAnsi="Arial" w:cs="Arial"/>
                <w:sz w:val="18"/>
                <w:szCs w:val="18"/>
              </w:rPr>
            </w:pPr>
            <w:r w:rsidRPr="00C967D3">
              <w:rPr>
                <w:rFonts w:ascii="Arial" w:hAnsi="Arial" w:cs="Arial"/>
                <w:sz w:val="18"/>
                <w:szCs w:val="18"/>
              </w:rPr>
              <w:t xml:space="preserve">$5,935,217 </w:t>
            </w:r>
          </w:p>
        </w:tc>
      </w:tr>
      <w:tr w:rsidR="00B5603D" w14:paraId="1CBCB46A" w14:textId="77777777" w:rsidTr="00C91E7A">
        <w:trPr>
          <w:trHeight w:val="20"/>
        </w:trPr>
        <w:tc>
          <w:tcPr>
            <w:tcW w:w="1885" w:type="dxa"/>
          </w:tcPr>
          <w:p w14:paraId="31C834A3" w14:textId="560387F2" w:rsidR="00B5603D" w:rsidRPr="00022F0A" w:rsidRDefault="00B5603D" w:rsidP="00B5603D">
            <w:pPr>
              <w:rPr>
                <w:rFonts w:ascii="Arial" w:hAnsi="Arial" w:cs="Arial"/>
                <w:sz w:val="18"/>
                <w:szCs w:val="18"/>
              </w:rPr>
            </w:pPr>
            <w:r w:rsidRPr="00C967D3">
              <w:rPr>
                <w:rFonts w:ascii="Arial" w:hAnsi="Arial" w:cs="Arial"/>
                <w:sz w:val="18"/>
                <w:szCs w:val="18"/>
              </w:rPr>
              <w:t>Tennessee</w:t>
            </w:r>
          </w:p>
        </w:tc>
        <w:tc>
          <w:tcPr>
            <w:tcW w:w="1440" w:type="dxa"/>
          </w:tcPr>
          <w:p w14:paraId="689830AC" w14:textId="60831F9C" w:rsidR="00B5603D" w:rsidRPr="00022F0A" w:rsidRDefault="00B5603D" w:rsidP="00B5603D">
            <w:pPr>
              <w:rPr>
                <w:rFonts w:ascii="Arial" w:hAnsi="Arial" w:cs="Arial"/>
                <w:sz w:val="18"/>
                <w:szCs w:val="18"/>
              </w:rPr>
            </w:pPr>
            <w:r w:rsidRPr="00C967D3">
              <w:rPr>
                <w:rFonts w:ascii="Arial" w:hAnsi="Arial" w:cs="Arial"/>
                <w:sz w:val="18"/>
                <w:szCs w:val="18"/>
              </w:rPr>
              <w:t xml:space="preserve">$6,614,031 </w:t>
            </w:r>
          </w:p>
        </w:tc>
        <w:tc>
          <w:tcPr>
            <w:tcW w:w="1530" w:type="dxa"/>
          </w:tcPr>
          <w:p w14:paraId="3190200F" w14:textId="21609591" w:rsidR="00B5603D" w:rsidRPr="00022F0A" w:rsidRDefault="00B5603D" w:rsidP="00B5603D">
            <w:pPr>
              <w:rPr>
                <w:rFonts w:ascii="Arial" w:hAnsi="Arial" w:cs="Arial"/>
                <w:sz w:val="18"/>
                <w:szCs w:val="18"/>
              </w:rPr>
            </w:pPr>
            <w:r w:rsidRPr="00C967D3">
              <w:rPr>
                <w:rFonts w:ascii="Arial" w:hAnsi="Arial" w:cs="Arial"/>
                <w:sz w:val="18"/>
                <w:szCs w:val="18"/>
              </w:rPr>
              <w:t xml:space="preserve">$8,879,923 </w:t>
            </w:r>
          </w:p>
        </w:tc>
        <w:tc>
          <w:tcPr>
            <w:tcW w:w="1440" w:type="dxa"/>
          </w:tcPr>
          <w:p w14:paraId="012AB6AB" w14:textId="115692C0" w:rsidR="00B5603D" w:rsidRPr="00022F0A" w:rsidRDefault="00B5603D" w:rsidP="00B5603D">
            <w:pPr>
              <w:rPr>
                <w:rFonts w:ascii="Arial" w:hAnsi="Arial" w:cs="Arial"/>
                <w:sz w:val="18"/>
                <w:szCs w:val="18"/>
              </w:rPr>
            </w:pPr>
            <w:r w:rsidRPr="00C967D3">
              <w:rPr>
                <w:rFonts w:ascii="Arial" w:hAnsi="Arial" w:cs="Arial"/>
                <w:sz w:val="18"/>
                <w:szCs w:val="18"/>
              </w:rPr>
              <w:t xml:space="preserve">$4,583,244 </w:t>
            </w:r>
          </w:p>
        </w:tc>
        <w:tc>
          <w:tcPr>
            <w:tcW w:w="1440" w:type="dxa"/>
          </w:tcPr>
          <w:p w14:paraId="5EAE8214" w14:textId="414896A2" w:rsidR="00B5603D" w:rsidRPr="00022F0A" w:rsidRDefault="00B5603D" w:rsidP="00B5603D">
            <w:pPr>
              <w:rPr>
                <w:rFonts w:ascii="Arial" w:hAnsi="Arial" w:cs="Arial"/>
                <w:sz w:val="18"/>
                <w:szCs w:val="18"/>
              </w:rPr>
            </w:pPr>
            <w:r w:rsidRPr="00C967D3">
              <w:rPr>
                <w:rFonts w:ascii="Arial" w:hAnsi="Arial" w:cs="Arial"/>
                <w:sz w:val="18"/>
                <w:szCs w:val="18"/>
              </w:rPr>
              <w:t xml:space="preserve">$386,485 </w:t>
            </w:r>
          </w:p>
        </w:tc>
        <w:tc>
          <w:tcPr>
            <w:tcW w:w="1440" w:type="dxa"/>
          </w:tcPr>
          <w:p w14:paraId="67C12FCD" w14:textId="18C79840" w:rsidR="00B5603D" w:rsidRPr="00022F0A" w:rsidRDefault="00B5603D" w:rsidP="00B5603D">
            <w:pPr>
              <w:rPr>
                <w:rFonts w:ascii="Arial" w:hAnsi="Arial" w:cs="Arial"/>
                <w:sz w:val="18"/>
                <w:szCs w:val="18"/>
              </w:rPr>
            </w:pPr>
            <w:r w:rsidRPr="00C967D3">
              <w:rPr>
                <w:rFonts w:ascii="Arial" w:hAnsi="Arial" w:cs="Arial"/>
                <w:sz w:val="18"/>
                <w:szCs w:val="18"/>
              </w:rPr>
              <w:t xml:space="preserve">$2,986,246 </w:t>
            </w:r>
          </w:p>
        </w:tc>
        <w:tc>
          <w:tcPr>
            <w:tcW w:w="1615" w:type="dxa"/>
          </w:tcPr>
          <w:p w14:paraId="7953BE69" w14:textId="3C288918" w:rsidR="00B5603D" w:rsidRPr="00022F0A" w:rsidRDefault="00B5603D" w:rsidP="00B5603D">
            <w:pPr>
              <w:rPr>
                <w:rFonts w:ascii="Arial" w:hAnsi="Arial" w:cs="Arial"/>
                <w:sz w:val="18"/>
                <w:szCs w:val="18"/>
              </w:rPr>
            </w:pPr>
            <w:r w:rsidRPr="00C967D3">
              <w:rPr>
                <w:rFonts w:ascii="Arial" w:hAnsi="Arial" w:cs="Arial"/>
                <w:sz w:val="18"/>
                <w:szCs w:val="18"/>
              </w:rPr>
              <w:t xml:space="preserve">$23,449,929 </w:t>
            </w:r>
          </w:p>
        </w:tc>
      </w:tr>
      <w:tr w:rsidR="00B5603D" w14:paraId="343DCCED" w14:textId="77777777" w:rsidTr="00C91E7A">
        <w:trPr>
          <w:trHeight w:val="20"/>
        </w:trPr>
        <w:tc>
          <w:tcPr>
            <w:tcW w:w="1885" w:type="dxa"/>
          </w:tcPr>
          <w:p w14:paraId="0E61FA23" w14:textId="7A20403F" w:rsidR="00B5603D" w:rsidRPr="00022F0A" w:rsidRDefault="00B5603D" w:rsidP="00B5603D">
            <w:pPr>
              <w:rPr>
                <w:rFonts w:ascii="Arial" w:hAnsi="Arial" w:cs="Arial"/>
                <w:sz w:val="18"/>
                <w:szCs w:val="18"/>
              </w:rPr>
            </w:pPr>
            <w:r w:rsidRPr="00C967D3">
              <w:rPr>
                <w:rFonts w:ascii="Arial" w:hAnsi="Arial" w:cs="Arial"/>
                <w:sz w:val="18"/>
                <w:szCs w:val="18"/>
              </w:rPr>
              <w:t>Texas</w:t>
            </w:r>
          </w:p>
        </w:tc>
        <w:tc>
          <w:tcPr>
            <w:tcW w:w="1440" w:type="dxa"/>
          </w:tcPr>
          <w:p w14:paraId="5FC5C9F5" w14:textId="424DAB9F" w:rsidR="00B5603D" w:rsidRPr="00022F0A" w:rsidRDefault="00B5603D" w:rsidP="00B5603D">
            <w:pPr>
              <w:rPr>
                <w:rFonts w:ascii="Arial" w:hAnsi="Arial" w:cs="Arial"/>
                <w:sz w:val="18"/>
                <w:szCs w:val="18"/>
              </w:rPr>
            </w:pPr>
            <w:r w:rsidRPr="00C967D3">
              <w:rPr>
                <w:rFonts w:ascii="Arial" w:hAnsi="Arial" w:cs="Arial"/>
                <w:sz w:val="18"/>
                <w:szCs w:val="18"/>
              </w:rPr>
              <w:t xml:space="preserve">$21,079,481 </w:t>
            </w:r>
          </w:p>
        </w:tc>
        <w:tc>
          <w:tcPr>
            <w:tcW w:w="1530" w:type="dxa"/>
          </w:tcPr>
          <w:p w14:paraId="41E1B384" w14:textId="38BDBA9E" w:rsidR="00B5603D" w:rsidRPr="00022F0A" w:rsidRDefault="00B5603D" w:rsidP="00B5603D">
            <w:pPr>
              <w:rPr>
                <w:rFonts w:ascii="Arial" w:hAnsi="Arial" w:cs="Arial"/>
                <w:sz w:val="18"/>
                <w:szCs w:val="18"/>
              </w:rPr>
            </w:pPr>
            <w:r w:rsidRPr="00C967D3">
              <w:rPr>
                <w:rFonts w:ascii="Arial" w:hAnsi="Arial" w:cs="Arial"/>
                <w:sz w:val="18"/>
                <w:szCs w:val="18"/>
              </w:rPr>
              <w:t xml:space="preserve">$28,860,736 </w:t>
            </w:r>
          </w:p>
        </w:tc>
        <w:tc>
          <w:tcPr>
            <w:tcW w:w="1440" w:type="dxa"/>
          </w:tcPr>
          <w:p w14:paraId="0AB09DEE" w14:textId="61AD20A7" w:rsidR="00B5603D" w:rsidRPr="00022F0A" w:rsidRDefault="00B5603D" w:rsidP="00B5603D">
            <w:pPr>
              <w:rPr>
                <w:rFonts w:ascii="Arial" w:hAnsi="Arial" w:cs="Arial"/>
                <w:sz w:val="18"/>
                <w:szCs w:val="18"/>
              </w:rPr>
            </w:pPr>
            <w:r w:rsidRPr="00C967D3">
              <w:rPr>
                <w:rFonts w:ascii="Arial" w:hAnsi="Arial" w:cs="Arial"/>
                <w:sz w:val="18"/>
                <w:szCs w:val="18"/>
              </w:rPr>
              <w:t xml:space="preserve">$14,896,051 </w:t>
            </w:r>
          </w:p>
        </w:tc>
        <w:tc>
          <w:tcPr>
            <w:tcW w:w="1440" w:type="dxa"/>
          </w:tcPr>
          <w:p w14:paraId="34A7782C" w14:textId="49CA9E07" w:rsidR="00B5603D" w:rsidRPr="00022F0A" w:rsidRDefault="00B5603D" w:rsidP="00B5603D">
            <w:pPr>
              <w:rPr>
                <w:rFonts w:ascii="Arial" w:hAnsi="Arial" w:cs="Arial"/>
                <w:sz w:val="18"/>
                <w:szCs w:val="18"/>
              </w:rPr>
            </w:pPr>
            <w:r w:rsidRPr="00C967D3">
              <w:rPr>
                <w:rFonts w:ascii="Arial" w:hAnsi="Arial" w:cs="Arial"/>
                <w:sz w:val="18"/>
                <w:szCs w:val="18"/>
              </w:rPr>
              <w:t xml:space="preserve">$1,190,534 </w:t>
            </w:r>
          </w:p>
        </w:tc>
        <w:tc>
          <w:tcPr>
            <w:tcW w:w="1440" w:type="dxa"/>
          </w:tcPr>
          <w:p w14:paraId="17B9F91E" w14:textId="7D1D59F1" w:rsidR="00B5603D" w:rsidRPr="00022F0A" w:rsidRDefault="00B5603D" w:rsidP="00B5603D">
            <w:pPr>
              <w:rPr>
                <w:rFonts w:ascii="Arial" w:hAnsi="Arial" w:cs="Arial"/>
                <w:sz w:val="18"/>
                <w:szCs w:val="18"/>
              </w:rPr>
            </w:pPr>
            <w:r w:rsidRPr="00C967D3">
              <w:rPr>
                <w:rFonts w:ascii="Arial" w:hAnsi="Arial" w:cs="Arial"/>
                <w:sz w:val="18"/>
                <w:szCs w:val="18"/>
              </w:rPr>
              <w:t xml:space="preserve">$9,437,277 </w:t>
            </w:r>
          </w:p>
        </w:tc>
        <w:tc>
          <w:tcPr>
            <w:tcW w:w="1615" w:type="dxa"/>
          </w:tcPr>
          <w:p w14:paraId="5496B22A" w14:textId="6A1065DD" w:rsidR="00B5603D" w:rsidRPr="00022F0A" w:rsidRDefault="00B5603D" w:rsidP="00B5603D">
            <w:pPr>
              <w:rPr>
                <w:rFonts w:ascii="Arial" w:hAnsi="Arial" w:cs="Arial"/>
                <w:sz w:val="18"/>
                <w:szCs w:val="18"/>
              </w:rPr>
            </w:pPr>
            <w:r w:rsidRPr="00C967D3">
              <w:rPr>
                <w:rFonts w:ascii="Arial" w:hAnsi="Arial" w:cs="Arial"/>
                <w:sz w:val="18"/>
                <w:szCs w:val="18"/>
              </w:rPr>
              <w:t xml:space="preserve">$75,464,079 </w:t>
            </w:r>
          </w:p>
        </w:tc>
      </w:tr>
      <w:tr w:rsidR="00B5603D" w14:paraId="3A72EA61" w14:textId="77777777" w:rsidTr="00C91E7A">
        <w:trPr>
          <w:trHeight w:val="20"/>
        </w:trPr>
        <w:tc>
          <w:tcPr>
            <w:tcW w:w="1885" w:type="dxa"/>
          </w:tcPr>
          <w:p w14:paraId="41EB6781" w14:textId="1220BE1B" w:rsidR="00B5603D" w:rsidRPr="00022F0A" w:rsidRDefault="00B5603D" w:rsidP="00B5603D">
            <w:pPr>
              <w:rPr>
                <w:rFonts w:ascii="Arial" w:hAnsi="Arial" w:cs="Arial"/>
                <w:sz w:val="18"/>
                <w:szCs w:val="18"/>
              </w:rPr>
            </w:pPr>
            <w:r w:rsidRPr="00C967D3">
              <w:rPr>
                <w:rFonts w:ascii="Arial" w:hAnsi="Arial" w:cs="Arial"/>
                <w:sz w:val="18"/>
                <w:szCs w:val="18"/>
              </w:rPr>
              <w:t>Utah</w:t>
            </w:r>
          </w:p>
        </w:tc>
        <w:tc>
          <w:tcPr>
            <w:tcW w:w="1440" w:type="dxa"/>
          </w:tcPr>
          <w:p w14:paraId="7EEE9DAC" w14:textId="0D29DE17" w:rsidR="00B5603D" w:rsidRPr="00022F0A" w:rsidRDefault="00B5603D" w:rsidP="00B5603D">
            <w:pPr>
              <w:rPr>
                <w:rFonts w:ascii="Arial" w:hAnsi="Arial" w:cs="Arial"/>
                <w:sz w:val="18"/>
                <w:szCs w:val="18"/>
              </w:rPr>
            </w:pPr>
            <w:r w:rsidRPr="00C967D3">
              <w:rPr>
                <w:rFonts w:ascii="Arial" w:hAnsi="Arial" w:cs="Arial"/>
                <w:sz w:val="18"/>
                <w:szCs w:val="18"/>
              </w:rPr>
              <w:t xml:space="preserve">$2,002,579 </w:t>
            </w:r>
          </w:p>
        </w:tc>
        <w:tc>
          <w:tcPr>
            <w:tcW w:w="1530" w:type="dxa"/>
          </w:tcPr>
          <w:p w14:paraId="2323B936" w14:textId="1A39C863" w:rsidR="00B5603D" w:rsidRPr="00022F0A" w:rsidRDefault="00B5603D" w:rsidP="00B5603D">
            <w:pPr>
              <w:rPr>
                <w:rFonts w:ascii="Arial" w:hAnsi="Arial" w:cs="Arial"/>
                <w:sz w:val="18"/>
                <w:szCs w:val="18"/>
              </w:rPr>
            </w:pPr>
            <w:r w:rsidRPr="00C967D3">
              <w:rPr>
                <w:rFonts w:ascii="Arial" w:hAnsi="Arial" w:cs="Arial"/>
                <w:sz w:val="18"/>
                <w:szCs w:val="18"/>
              </w:rPr>
              <w:t xml:space="preserve">$2,741,809 </w:t>
            </w:r>
          </w:p>
        </w:tc>
        <w:tc>
          <w:tcPr>
            <w:tcW w:w="1440" w:type="dxa"/>
          </w:tcPr>
          <w:p w14:paraId="2C850B7C" w14:textId="35C94200" w:rsidR="00B5603D" w:rsidRPr="00022F0A" w:rsidRDefault="00B5603D" w:rsidP="00B5603D">
            <w:pPr>
              <w:rPr>
                <w:rFonts w:ascii="Arial" w:hAnsi="Arial" w:cs="Arial"/>
                <w:sz w:val="18"/>
                <w:szCs w:val="18"/>
              </w:rPr>
            </w:pPr>
            <w:r w:rsidRPr="00C967D3">
              <w:rPr>
                <w:rFonts w:ascii="Arial" w:hAnsi="Arial" w:cs="Arial"/>
                <w:sz w:val="18"/>
                <w:szCs w:val="18"/>
              </w:rPr>
              <w:t xml:space="preserve">$1,415,145 </w:t>
            </w:r>
          </w:p>
        </w:tc>
        <w:tc>
          <w:tcPr>
            <w:tcW w:w="1440" w:type="dxa"/>
          </w:tcPr>
          <w:p w14:paraId="071656BD" w14:textId="04F5D125" w:rsidR="00B5603D" w:rsidRPr="00022F0A" w:rsidRDefault="00B5603D" w:rsidP="00B5603D">
            <w:pPr>
              <w:rPr>
                <w:rFonts w:ascii="Arial" w:hAnsi="Arial" w:cs="Arial"/>
                <w:sz w:val="18"/>
                <w:szCs w:val="18"/>
              </w:rPr>
            </w:pPr>
            <w:r w:rsidRPr="00C967D3">
              <w:rPr>
                <w:rFonts w:ascii="Arial" w:hAnsi="Arial" w:cs="Arial"/>
                <w:sz w:val="18"/>
                <w:szCs w:val="18"/>
              </w:rPr>
              <w:t xml:space="preserve">$113,103 </w:t>
            </w:r>
          </w:p>
        </w:tc>
        <w:tc>
          <w:tcPr>
            <w:tcW w:w="1440" w:type="dxa"/>
          </w:tcPr>
          <w:p w14:paraId="7F0A3718" w14:textId="6565356E" w:rsidR="00B5603D" w:rsidRPr="00022F0A" w:rsidRDefault="00B5603D" w:rsidP="00B5603D">
            <w:pPr>
              <w:rPr>
                <w:rFonts w:ascii="Arial" w:hAnsi="Arial" w:cs="Arial"/>
                <w:sz w:val="18"/>
                <w:szCs w:val="18"/>
              </w:rPr>
            </w:pPr>
            <w:r w:rsidRPr="00C967D3">
              <w:rPr>
                <w:rFonts w:ascii="Arial" w:hAnsi="Arial" w:cs="Arial"/>
                <w:sz w:val="18"/>
                <w:szCs w:val="18"/>
              </w:rPr>
              <w:t xml:space="preserve">$906,192 </w:t>
            </w:r>
          </w:p>
        </w:tc>
        <w:tc>
          <w:tcPr>
            <w:tcW w:w="1615" w:type="dxa"/>
          </w:tcPr>
          <w:p w14:paraId="45F09AE4" w14:textId="76BFB79E" w:rsidR="00B5603D" w:rsidRPr="00022F0A" w:rsidRDefault="00B5603D" w:rsidP="00B5603D">
            <w:pPr>
              <w:rPr>
                <w:rFonts w:ascii="Arial" w:hAnsi="Arial" w:cs="Arial"/>
                <w:sz w:val="18"/>
                <w:szCs w:val="18"/>
              </w:rPr>
            </w:pPr>
            <w:r w:rsidRPr="00C967D3">
              <w:rPr>
                <w:rFonts w:ascii="Arial" w:hAnsi="Arial" w:cs="Arial"/>
                <w:sz w:val="18"/>
                <w:szCs w:val="18"/>
              </w:rPr>
              <w:t xml:space="preserve">$7,178,828 </w:t>
            </w:r>
          </w:p>
        </w:tc>
      </w:tr>
      <w:tr w:rsidR="00B5603D" w14:paraId="2AA0754E" w14:textId="77777777" w:rsidTr="00C91E7A">
        <w:trPr>
          <w:trHeight w:val="20"/>
        </w:trPr>
        <w:tc>
          <w:tcPr>
            <w:tcW w:w="1885" w:type="dxa"/>
          </w:tcPr>
          <w:p w14:paraId="65966500" w14:textId="33F40F80" w:rsidR="00B5603D" w:rsidRPr="00022F0A" w:rsidRDefault="00B5603D" w:rsidP="00B5603D">
            <w:pPr>
              <w:rPr>
                <w:rFonts w:ascii="Arial" w:hAnsi="Arial" w:cs="Arial"/>
                <w:sz w:val="18"/>
                <w:szCs w:val="18"/>
              </w:rPr>
            </w:pPr>
            <w:r w:rsidRPr="00C967D3">
              <w:rPr>
                <w:rFonts w:ascii="Arial" w:hAnsi="Arial" w:cs="Arial"/>
                <w:sz w:val="18"/>
                <w:szCs w:val="18"/>
              </w:rPr>
              <w:t>Vermont</w:t>
            </w:r>
          </w:p>
        </w:tc>
        <w:tc>
          <w:tcPr>
            <w:tcW w:w="1440" w:type="dxa"/>
          </w:tcPr>
          <w:p w14:paraId="55ADA211" w14:textId="350378F1" w:rsidR="00B5603D" w:rsidRPr="00022F0A" w:rsidRDefault="00B5603D" w:rsidP="00B5603D">
            <w:pPr>
              <w:rPr>
                <w:rFonts w:ascii="Arial" w:hAnsi="Arial" w:cs="Arial"/>
                <w:sz w:val="18"/>
                <w:szCs w:val="18"/>
              </w:rPr>
            </w:pPr>
            <w:r w:rsidRPr="00C967D3">
              <w:rPr>
                <w:rFonts w:ascii="Arial" w:hAnsi="Arial" w:cs="Arial"/>
                <w:sz w:val="18"/>
                <w:szCs w:val="18"/>
              </w:rPr>
              <w:t xml:space="preserve">$1,736,115 </w:t>
            </w:r>
          </w:p>
        </w:tc>
        <w:tc>
          <w:tcPr>
            <w:tcW w:w="1530" w:type="dxa"/>
          </w:tcPr>
          <w:p w14:paraId="012F43B1" w14:textId="61438E6A" w:rsidR="00B5603D" w:rsidRPr="00022F0A" w:rsidRDefault="00B5603D" w:rsidP="00B5603D">
            <w:pPr>
              <w:rPr>
                <w:rFonts w:ascii="Arial" w:hAnsi="Arial" w:cs="Arial"/>
                <w:sz w:val="18"/>
                <w:szCs w:val="18"/>
              </w:rPr>
            </w:pPr>
            <w:r w:rsidRPr="00C967D3">
              <w:rPr>
                <w:rFonts w:ascii="Arial" w:hAnsi="Arial" w:cs="Arial"/>
                <w:sz w:val="18"/>
                <w:szCs w:val="18"/>
              </w:rPr>
              <w:t xml:space="preserve">$2,229,088 </w:t>
            </w:r>
          </w:p>
        </w:tc>
        <w:tc>
          <w:tcPr>
            <w:tcW w:w="1440" w:type="dxa"/>
          </w:tcPr>
          <w:p w14:paraId="0D4484CB" w14:textId="77BB62AE" w:rsidR="00B5603D" w:rsidRPr="00022F0A" w:rsidRDefault="00B5603D" w:rsidP="00B5603D">
            <w:pPr>
              <w:rPr>
                <w:rFonts w:ascii="Arial" w:hAnsi="Arial" w:cs="Arial"/>
                <w:sz w:val="18"/>
                <w:szCs w:val="18"/>
              </w:rPr>
            </w:pPr>
            <w:r w:rsidRPr="00C967D3">
              <w:rPr>
                <w:rFonts w:ascii="Arial" w:hAnsi="Arial" w:cs="Arial"/>
                <w:sz w:val="18"/>
                <w:szCs w:val="18"/>
              </w:rPr>
              <w:t xml:space="preserve">$1,125,270 </w:t>
            </w:r>
          </w:p>
        </w:tc>
        <w:tc>
          <w:tcPr>
            <w:tcW w:w="1440" w:type="dxa"/>
          </w:tcPr>
          <w:p w14:paraId="18A708A9" w14:textId="6AC595CF" w:rsidR="00B5603D" w:rsidRPr="00022F0A" w:rsidRDefault="00B5603D" w:rsidP="00B5603D">
            <w:pPr>
              <w:rPr>
                <w:rFonts w:ascii="Arial" w:hAnsi="Arial" w:cs="Arial"/>
                <w:sz w:val="18"/>
                <w:szCs w:val="18"/>
              </w:rPr>
            </w:pPr>
            <w:r w:rsidRPr="00C967D3">
              <w:rPr>
                <w:rFonts w:ascii="Arial" w:hAnsi="Arial" w:cs="Arial"/>
                <w:sz w:val="18"/>
                <w:szCs w:val="18"/>
              </w:rPr>
              <w:t xml:space="preserve">$98,321 </w:t>
            </w:r>
          </w:p>
        </w:tc>
        <w:tc>
          <w:tcPr>
            <w:tcW w:w="1440" w:type="dxa"/>
          </w:tcPr>
          <w:p w14:paraId="5B04011D" w14:textId="391115EB" w:rsidR="00B5603D" w:rsidRPr="00022F0A" w:rsidRDefault="00B5603D" w:rsidP="00B5603D">
            <w:pPr>
              <w:rPr>
                <w:rFonts w:ascii="Arial" w:hAnsi="Arial" w:cs="Arial"/>
                <w:sz w:val="18"/>
                <w:szCs w:val="18"/>
              </w:rPr>
            </w:pPr>
            <w:r w:rsidRPr="00C967D3">
              <w:rPr>
                <w:rFonts w:ascii="Arial" w:hAnsi="Arial" w:cs="Arial"/>
                <w:sz w:val="18"/>
                <w:szCs w:val="18"/>
              </w:rPr>
              <w:t xml:space="preserve">$746,423 </w:t>
            </w:r>
          </w:p>
        </w:tc>
        <w:tc>
          <w:tcPr>
            <w:tcW w:w="1615" w:type="dxa"/>
          </w:tcPr>
          <w:p w14:paraId="43ABA331" w14:textId="5F82AB9D" w:rsidR="00B5603D" w:rsidRPr="00022F0A" w:rsidRDefault="00B5603D" w:rsidP="00B5603D">
            <w:pPr>
              <w:rPr>
                <w:rFonts w:ascii="Arial" w:hAnsi="Arial" w:cs="Arial"/>
                <w:sz w:val="18"/>
                <w:szCs w:val="18"/>
              </w:rPr>
            </w:pPr>
            <w:r w:rsidRPr="00C967D3">
              <w:rPr>
                <w:rFonts w:ascii="Arial" w:hAnsi="Arial" w:cs="Arial"/>
                <w:sz w:val="18"/>
                <w:szCs w:val="18"/>
              </w:rPr>
              <w:t xml:space="preserve">$5,935,217 </w:t>
            </w:r>
          </w:p>
        </w:tc>
      </w:tr>
      <w:tr w:rsidR="00B5603D" w14:paraId="678EA779" w14:textId="77777777" w:rsidTr="00C91E7A">
        <w:trPr>
          <w:trHeight w:val="20"/>
        </w:trPr>
        <w:tc>
          <w:tcPr>
            <w:tcW w:w="1885" w:type="dxa"/>
          </w:tcPr>
          <w:p w14:paraId="68C0F764" w14:textId="32FE9EAC" w:rsidR="00B5603D" w:rsidRPr="00022F0A" w:rsidRDefault="00B5603D" w:rsidP="00B5603D">
            <w:pPr>
              <w:rPr>
                <w:rFonts w:ascii="Arial" w:hAnsi="Arial" w:cs="Arial"/>
                <w:sz w:val="18"/>
                <w:szCs w:val="18"/>
              </w:rPr>
            </w:pPr>
            <w:r w:rsidRPr="00C967D3">
              <w:rPr>
                <w:rFonts w:ascii="Arial" w:hAnsi="Arial" w:cs="Arial"/>
                <w:sz w:val="18"/>
                <w:szCs w:val="18"/>
              </w:rPr>
              <w:t>Virginia</w:t>
            </w:r>
          </w:p>
        </w:tc>
        <w:tc>
          <w:tcPr>
            <w:tcW w:w="1440" w:type="dxa"/>
          </w:tcPr>
          <w:p w14:paraId="4DDFB129" w14:textId="6D19F0E4" w:rsidR="00B5603D" w:rsidRPr="00022F0A" w:rsidRDefault="00B5603D" w:rsidP="00B5603D">
            <w:pPr>
              <w:rPr>
                <w:rFonts w:ascii="Arial" w:hAnsi="Arial" w:cs="Arial"/>
                <w:sz w:val="18"/>
                <w:szCs w:val="18"/>
              </w:rPr>
            </w:pPr>
            <w:r w:rsidRPr="00C967D3">
              <w:rPr>
                <w:rFonts w:ascii="Arial" w:hAnsi="Arial" w:cs="Arial"/>
                <w:sz w:val="18"/>
                <w:szCs w:val="18"/>
              </w:rPr>
              <w:t xml:space="preserve">$7,694,882 </w:t>
            </w:r>
          </w:p>
        </w:tc>
        <w:tc>
          <w:tcPr>
            <w:tcW w:w="1530" w:type="dxa"/>
          </w:tcPr>
          <w:p w14:paraId="199C5913" w14:textId="173B54D0" w:rsidR="00B5603D" w:rsidRPr="00022F0A" w:rsidRDefault="00B5603D" w:rsidP="00B5603D">
            <w:pPr>
              <w:rPr>
                <w:rFonts w:ascii="Arial" w:hAnsi="Arial" w:cs="Arial"/>
                <w:sz w:val="18"/>
                <w:szCs w:val="18"/>
              </w:rPr>
            </w:pPr>
            <w:r w:rsidRPr="00C967D3">
              <w:rPr>
                <w:rFonts w:ascii="Arial" w:hAnsi="Arial" w:cs="Arial"/>
                <w:sz w:val="18"/>
                <w:szCs w:val="18"/>
              </w:rPr>
              <w:t xml:space="preserve">$10,481,870 </w:t>
            </w:r>
          </w:p>
        </w:tc>
        <w:tc>
          <w:tcPr>
            <w:tcW w:w="1440" w:type="dxa"/>
          </w:tcPr>
          <w:p w14:paraId="1E11E5F3" w14:textId="5A317E50" w:rsidR="00B5603D" w:rsidRPr="00022F0A" w:rsidRDefault="00B5603D" w:rsidP="00B5603D">
            <w:pPr>
              <w:rPr>
                <w:rFonts w:ascii="Arial" w:hAnsi="Arial" w:cs="Arial"/>
                <w:sz w:val="18"/>
                <w:szCs w:val="18"/>
              </w:rPr>
            </w:pPr>
            <w:r w:rsidRPr="00C967D3">
              <w:rPr>
                <w:rFonts w:ascii="Arial" w:hAnsi="Arial" w:cs="Arial"/>
                <w:sz w:val="18"/>
                <w:szCs w:val="18"/>
              </w:rPr>
              <w:t xml:space="preserve">$5,410,065 </w:t>
            </w:r>
          </w:p>
        </w:tc>
        <w:tc>
          <w:tcPr>
            <w:tcW w:w="1440" w:type="dxa"/>
          </w:tcPr>
          <w:p w14:paraId="2FAF7006" w14:textId="37C7993B" w:rsidR="00B5603D" w:rsidRPr="00022F0A" w:rsidRDefault="00B5603D" w:rsidP="00B5603D">
            <w:pPr>
              <w:rPr>
                <w:rFonts w:ascii="Arial" w:hAnsi="Arial" w:cs="Arial"/>
                <w:sz w:val="18"/>
                <w:szCs w:val="18"/>
              </w:rPr>
            </w:pPr>
            <w:r w:rsidRPr="00C967D3">
              <w:rPr>
                <w:rFonts w:ascii="Arial" w:hAnsi="Arial" w:cs="Arial"/>
                <w:sz w:val="18"/>
                <w:szCs w:val="18"/>
              </w:rPr>
              <w:t xml:space="preserve">$449,644 </w:t>
            </w:r>
          </w:p>
        </w:tc>
        <w:tc>
          <w:tcPr>
            <w:tcW w:w="1440" w:type="dxa"/>
          </w:tcPr>
          <w:p w14:paraId="78695A5C" w14:textId="7F4E41EC" w:rsidR="00B5603D" w:rsidRPr="00022F0A" w:rsidRDefault="00B5603D" w:rsidP="00B5603D">
            <w:pPr>
              <w:rPr>
                <w:rFonts w:ascii="Arial" w:hAnsi="Arial" w:cs="Arial"/>
                <w:sz w:val="18"/>
                <w:szCs w:val="18"/>
              </w:rPr>
            </w:pPr>
            <w:r w:rsidRPr="00C967D3">
              <w:rPr>
                <w:rFonts w:ascii="Arial" w:hAnsi="Arial" w:cs="Arial"/>
                <w:sz w:val="18"/>
                <w:szCs w:val="18"/>
              </w:rPr>
              <w:t xml:space="preserve">$3,488,747 </w:t>
            </w:r>
          </w:p>
        </w:tc>
        <w:tc>
          <w:tcPr>
            <w:tcW w:w="1615" w:type="dxa"/>
          </w:tcPr>
          <w:p w14:paraId="7CBC86DC" w14:textId="78440499" w:rsidR="00B5603D" w:rsidRPr="00022F0A" w:rsidRDefault="00B5603D" w:rsidP="00B5603D">
            <w:pPr>
              <w:rPr>
                <w:rFonts w:ascii="Arial" w:hAnsi="Arial" w:cs="Arial"/>
                <w:sz w:val="18"/>
                <w:szCs w:val="18"/>
              </w:rPr>
            </w:pPr>
            <w:r w:rsidRPr="00C967D3">
              <w:rPr>
                <w:rFonts w:ascii="Arial" w:hAnsi="Arial" w:cs="Arial"/>
                <w:sz w:val="18"/>
                <w:szCs w:val="18"/>
              </w:rPr>
              <w:t xml:space="preserve">$27,525,208 </w:t>
            </w:r>
          </w:p>
        </w:tc>
      </w:tr>
      <w:tr w:rsidR="00B5603D" w14:paraId="0DA413E9" w14:textId="77777777" w:rsidTr="00C91E7A">
        <w:trPr>
          <w:trHeight w:val="20"/>
        </w:trPr>
        <w:tc>
          <w:tcPr>
            <w:tcW w:w="1885" w:type="dxa"/>
          </w:tcPr>
          <w:p w14:paraId="66BBA90B" w14:textId="64716A2D" w:rsidR="00B5603D" w:rsidRPr="00022F0A" w:rsidRDefault="00B5603D" w:rsidP="00B5603D">
            <w:pPr>
              <w:rPr>
                <w:rFonts w:ascii="Arial" w:hAnsi="Arial" w:cs="Arial"/>
                <w:sz w:val="18"/>
                <w:szCs w:val="18"/>
              </w:rPr>
            </w:pPr>
            <w:r w:rsidRPr="00C967D3">
              <w:rPr>
                <w:rFonts w:ascii="Arial" w:hAnsi="Arial" w:cs="Arial"/>
                <w:sz w:val="18"/>
                <w:szCs w:val="18"/>
              </w:rPr>
              <w:t>Washington</w:t>
            </w:r>
          </w:p>
        </w:tc>
        <w:tc>
          <w:tcPr>
            <w:tcW w:w="1440" w:type="dxa"/>
          </w:tcPr>
          <w:p w14:paraId="4850EDE7" w14:textId="6E031F48" w:rsidR="00B5603D" w:rsidRPr="00022F0A" w:rsidRDefault="00B5603D" w:rsidP="00B5603D">
            <w:pPr>
              <w:rPr>
                <w:rFonts w:ascii="Arial" w:hAnsi="Arial" w:cs="Arial"/>
                <w:sz w:val="18"/>
                <w:szCs w:val="18"/>
              </w:rPr>
            </w:pPr>
            <w:r w:rsidRPr="00C967D3">
              <w:rPr>
                <w:rFonts w:ascii="Arial" w:hAnsi="Arial" w:cs="Arial"/>
                <w:sz w:val="18"/>
                <w:szCs w:val="18"/>
              </w:rPr>
              <w:t xml:space="preserve">$6,749,725 </w:t>
            </w:r>
          </w:p>
        </w:tc>
        <w:tc>
          <w:tcPr>
            <w:tcW w:w="1530" w:type="dxa"/>
          </w:tcPr>
          <w:p w14:paraId="63C387C4" w14:textId="08D3EC52" w:rsidR="00B5603D" w:rsidRPr="00022F0A" w:rsidRDefault="00B5603D" w:rsidP="00B5603D">
            <w:pPr>
              <w:rPr>
                <w:rFonts w:ascii="Arial" w:hAnsi="Arial" w:cs="Arial"/>
                <w:sz w:val="18"/>
                <w:szCs w:val="18"/>
              </w:rPr>
            </w:pPr>
            <w:r w:rsidRPr="00C967D3">
              <w:rPr>
                <w:rFonts w:ascii="Arial" w:hAnsi="Arial" w:cs="Arial"/>
                <w:sz w:val="18"/>
                <w:szCs w:val="18"/>
              </w:rPr>
              <w:t xml:space="preserve">$9,241,311 </w:t>
            </w:r>
          </w:p>
        </w:tc>
        <w:tc>
          <w:tcPr>
            <w:tcW w:w="1440" w:type="dxa"/>
          </w:tcPr>
          <w:p w14:paraId="5F3C43AA" w14:textId="451DAD47" w:rsidR="00B5603D" w:rsidRPr="00022F0A" w:rsidRDefault="00B5603D" w:rsidP="00B5603D">
            <w:pPr>
              <w:rPr>
                <w:rFonts w:ascii="Arial" w:hAnsi="Arial" w:cs="Arial"/>
                <w:sz w:val="18"/>
                <w:szCs w:val="18"/>
              </w:rPr>
            </w:pPr>
            <w:r w:rsidRPr="00C967D3">
              <w:rPr>
                <w:rFonts w:ascii="Arial" w:hAnsi="Arial" w:cs="Arial"/>
                <w:sz w:val="18"/>
                <w:szCs w:val="18"/>
              </w:rPr>
              <w:t xml:space="preserve">$4,769,769 </w:t>
            </w:r>
          </w:p>
        </w:tc>
        <w:tc>
          <w:tcPr>
            <w:tcW w:w="1440" w:type="dxa"/>
          </w:tcPr>
          <w:p w14:paraId="25FCCC51" w14:textId="1E8D4C12" w:rsidR="00B5603D" w:rsidRPr="00022F0A" w:rsidRDefault="00B5603D" w:rsidP="00B5603D">
            <w:pPr>
              <w:rPr>
                <w:rFonts w:ascii="Arial" w:hAnsi="Arial" w:cs="Arial"/>
                <w:sz w:val="18"/>
                <w:szCs w:val="18"/>
              </w:rPr>
            </w:pPr>
            <w:r w:rsidRPr="00C967D3">
              <w:rPr>
                <w:rFonts w:ascii="Arial" w:hAnsi="Arial" w:cs="Arial"/>
                <w:sz w:val="18"/>
                <w:szCs w:val="18"/>
              </w:rPr>
              <w:t xml:space="preserve">$381,213 </w:t>
            </w:r>
          </w:p>
        </w:tc>
        <w:tc>
          <w:tcPr>
            <w:tcW w:w="1440" w:type="dxa"/>
          </w:tcPr>
          <w:p w14:paraId="6E37070E" w14:textId="2DAC08C3" w:rsidR="00B5603D" w:rsidRPr="00022F0A" w:rsidRDefault="00B5603D" w:rsidP="00B5603D">
            <w:pPr>
              <w:rPr>
                <w:rFonts w:ascii="Arial" w:hAnsi="Arial" w:cs="Arial"/>
                <w:sz w:val="18"/>
                <w:szCs w:val="18"/>
              </w:rPr>
            </w:pPr>
            <w:r w:rsidRPr="00C967D3">
              <w:rPr>
                <w:rFonts w:ascii="Arial" w:hAnsi="Arial" w:cs="Arial"/>
                <w:sz w:val="18"/>
                <w:szCs w:val="18"/>
              </w:rPr>
              <w:t xml:space="preserve">$3,005,315 </w:t>
            </w:r>
          </w:p>
        </w:tc>
        <w:tc>
          <w:tcPr>
            <w:tcW w:w="1615" w:type="dxa"/>
          </w:tcPr>
          <w:p w14:paraId="501696CD" w14:textId="3BD8D97C" w:rsidR="00B5603D" w:rsidRPr="00022F0A" w:rsidRDefault="00B5603D" w:rsidP="00B5603D">
            <w:pPr>
              <w:rPr>
                <w:rFonts w:ascii="Arial" w:hAnsi="Arial" w:cs="Arial"/>
                <w:sz w:val="18"/>
                <w:szCs w:val="18"/>
              </w:rPr>
            </w:pPr>
            <w:r w:rsidRPr="00C967D3">
              <w:rPr>
                <w:rFonts w:ascii="Arial" w:hAnsi="Arial" w:cs="Arial"/>
                <w:sz w:val="18"/>
                <w:szCs w:val="18"/>
              </w:rPr>
              <w:t xml:space="preserve">$24,147,333 </w:t>
            </w:r>
          </w:p>
        </w:tc>
      </w:tr>
      <w:tr w:rsidR="00B5603D" w14:paraId="5D3A7CE7" w14:textId="77777777" w:rsidTr="00C91E7A">
        <w:trPr>
          <w:trHeight w:val="20"/>
        </w:trPr>
        <w:tc>
          <w:tcPr>
            <w:tcW w:w="1885" w:type="dxa"/>
          </w:tcPr>
          <w:p w14:paraId="6A9C9886" w14:textId="091C502E" w:rsidR="00B5603D" w:rsidRPr="00022F0A" w:rsidRDefault="00B5603D" w:rsidP="00B5603D">
            <w:pPr>
              <w:rPr>
                <w:rFonts w:ascii="Arial" w:hAnsi="Arial" w:cs="Arial"/>
                <w:sz w:val="18"/>
                <w:szCs w:val="18"/>
              </w:rPr>
            </w:pPr>
            <w:r w:rsidRPr="00C967D3">
              <w:rPr>
                <w:rFonts w:ascii="Arial" w:hAnsi="Arial" w:cs="Arial"/>
                <w:sz w:val="18"/>
                <w:szCs w:val="18"/>
              </w:rPr>
              <w:t>West Virginia</w:t>
            </w:r>
          </w:p>
        </w:tc>
        <w:tc>
          <w:tcPr>
            <w:tcW w:w="1440" w:type="dxa"/>
          </w:tcPr>
          <w:p w14:paraId="14944671" w14:textId="1E3C97EE" w:rsidR="00B5603D" w:rsidRPr="00022F0A" w:rsidRDefault="00B5603D" w:rsidP="00B5603D">
            <w:pPr>
              <w:rPr>
                <w:rFonts w:ascii="Arial" w:hAnsi="Arial" w:cs="Arial"/>
                <w:sz w:val="18"/>
                <w:szCs w:val="18"/>
              </w:rPr>
            </w:pPr>
            <w:r w:rsidRPr="00C967D3">
              <w:rPr>
                <w:rFonts w:ascii="Arial" w:hAnsi="Arial" w:cs="Arial"/>
                <w:sz w:val="18"/>
                <w:szCs w:val="18"/>
              </w:rPr>
              <w:t xml:space="preserve">$2,713,561 </w:t>
            </w:r>
          </w:p>
        </w:tc>
        <w:tc>
          <w:tcPr>
            <w:tcW w:w="1530" w:type="dxa"/>
          </w:tcPr>
          <w:p w14:paraId="175F16E6" w14:textId="159D472D" w:rsidR="00B5603D" w:rsidRPr="00022F0A" w:rsidRDefault="00B5603D" w:rsidP="00B5603D">
            <w:pPr>
              <w:rPr>
                <w:rFonts w:ascii="Arial" w:hAnsi="Arial" w:cs="Arial"/>
                <w:sz w:val="18"/>
                <w:szCs w:val="18"/>
              </w:rPr>
            </w:pPr>
            <w:r w:rsidRPr="00C967D3">
              <w:rPr>
                <w:rFonts w:ascii="Arial" w:hAnsi="Arial" w:cs="Arial"/>
                <w:sz w:val="18"/>
                <w:szCs w:val="18"/>
              </w:rPr>
              <w:t xml:space="preserve">$3,272,888 </w:t>
            </w:r>
          </w:p>
        </w:tc>
        <w:tc>
          <w:tcPr>
            <w:tcW w:w="1440" w:type="dxa"/>
          </w:tcPr>
          <w:p w14:paraId="35FE31B9" w14:textId="4DC04849" w:rsidR="00B5603D" w:rsidRPr="00022F0A" w:rsidRDefault="00B5603D" w:rsidP="00B5603D">
            <w:pPr>
              <w:rPr>
                <w:rFonts w:ascii="Arial" w:hAnsi="Arial" w:cs="Arial"/>
                <w:sz w:val="18"/>
                <w:szCs w:val="18"/>
              </w:rPr>
            </w:pPr>
            <w:r w:rsidRPr="00C967D3">
              <w:rPr>
                <w:rFonts w:ascii="Arial" w:hAnsi="Arial" w:cs="Arial"/>
                <w:sz w:val="18"/>
                <w:szCs w:val="18"/>
              </w:rPr>
              <w:t xml:space="preserve">$1,512,100 </w:t>
            </w:r>
          </w:p>
        </w:tc>
        <w:tc>
          <w:tcPr>
            <w:tcW w:w="1440" w:type="dxa"/>
          </w:tcPr>
          <w:p w14:paraId="73C65A93" w14:textId="64A20889" w:rsidR="00B5603D" w:rsidRPr="00022F0A" w:rsidRDefault="00B5603D" w:rsidP="00B5603D">
            <w:pPr>
              <w:rPr>
                <w:rFonts w:ascii="Arial" w:hAnsi="Arial" w:cs="Arial"/>
                <w:sz w:val="18"/>
                <w:szCs w:val="18"/>
              </w:rPr>
            </w:pPr>
            <w:r w:rsidRPr="00C967D3">
              <w:rPr>
                <w:rFonts w:ascii="Arial" w:hAnsi="Arial" w:cs="Arial"/>
                <w:sz w:val="18"/>
                <w:szCs w:val="18"/>
              </w:rPr>
              <w:t xml:space="preserve">$141,994 </w:t>
            </w:r>
          </w:p>
        </w:tc>
        <w:tc>
          <w:tcPr>
            <w:tcW w:w="1440" w:type="dxa"/>
          </w:tcPr>
          <w:p w14:paraId="1B8DA779" w14:textId="372E5ED0" w:rsidR="00B5603D" w:rsidRPr="00022F0A" w:rsidRDefault="00B5603D" w:rsidP="00B5603D">
            <w:pPr>
              <w:rPr>
                <w:rFonts w:ascii="Arial" w:hAnsi="Arial" w:cs="Arial"/>
                <w:sz w:val="18"/>
                <w:szCs w:val="18"/>
              </w:rPr>
            </w:pPr>
            <w:r w:rsidRPr="00C967D3">
              <w:rPr>
                <w:rFonts w:ascii="Arial" w:hAnsi="Arial" w:cs="Arial"/>
                <w:sz w:val="18"/>
                <w:szCs w:val="18"/>
              </w:rPr>
              <w:t xml:space="preserve">$990,988 </w:t>
            </w:r>
          </w:p>
        </w:tc>
        <w:tc>
          <w:tcPr>
            <w:tcW w:w="1615" w:type="dxa"/>
          </w:tcPr>
          <w:p w14:paraId="245EA05B" w14:textId="08F832C0" w:rsidR="00B5603D" w:rsidRPr="00022F0A" w:rsidRDefault="00B5603D" w:rsidP="00B5603D">
            <w:pPr>
              <w:rPr>
                <w:rFonts w:ascii="Arial" w:hAnsi="Arial" w:cs="Arial"/>
                <w:sz w:val="18"/>
                <w:szCs w:val="18"/>
              </w:rPr>
            </w:pPr>
            <w:r w:rsidRPr="00C967D3">
              <w:rPr>
                <w:rFonts w:ascii="Arial" w:hAnsi="Arial" w:cs="Arial"/>
                <w:sz w:val="18"/>
                <w:szCs w:val="18"/>
              </w:rPr>
              <w:t xml:space="preserve">$8,631,531 </w:t>
            </w:r>
          </w:p>
        </w:tc>
      </w:tr>
      <w:tr w:rsidR="00B5603D" w14:paraId="1BF63F3C" w14:textId="77777777" w:rsidTr="00C91E7A">
        <w:trPr>
          <w:trHeight w:val="20"/>
        </w:trPr>
        <w:tc>
          <w:tcPr>
            <w:tcW w:w="1885" w:type="dxa"/>
          </w:tcPr>
          <w:p w14:paraId="5A1BF08A" w14:textId="50E4AF65" w:rsidR="00B5603D" w:rsidRPr="00022F0A" w:rsidRDefault="00B5603D" w:rsidP="00B5603D">
            <w:pPr>
              <w:rPr>
                <w:rFonts w:ascii="Arial" w:hAnsi="Arial" w:cs="Arial"/>
                <w:sz w:val="18"/>
                <w:szCs w:val="18"/>
              </w:rPr>
            </w:pPr>
            <w:r w:rsidRPr="00C967D3">
              <w:rPr>
                <w:rFonts w:ascii="Arial" w:hAnsi="Arial" w:cs="Arial"/>
                <w:sz w:val="18"/>
                <w:szCs w:val="18"/>
              </w:rPr>
              <w:t>Wisconsin</w:t>
            </w:r>
          </w:p>
        </w:tc>
        <w:tc>
          <w:tcPr>
            <w:tcW w:w="1440" w:type="dxa"/>
          </w:tcPr>
          <w:p w14:paraId="7CE7B44C" w14:textId="7029A448" w:rsidR="00B5603D" w:rsidRPr="00022F0A" w:rsidRDefault="00B5603D" w:rsidP="00B5603D">
            <w:pPr>
              <w:rPr>
                <w:rFonts w:ascii="Arial" w:hAnsi="Arial" w:cs="Arial"/>
                <w:sz w:val="18"/>
                <w:szCs w:val="18"/>
              </w:rPr>
            </w:pPr>
            <w:r w:rsidRPr="00C967D3">
              <w:rPr>
                <w:rFonts w:ascii="Arial" w:hAnsi="Arial" w:cs="Arial"/>
                <w:sz w:val="18"/>
                <w:szCs w:val="18"/>
              </w:rPr>
              <w:t xml:space="preserve">$6,252,199 </w:t>
            </w:r>
          </w:p>
        </w:tc>
        <w:tc>
          <w:tcPr>
            <w:tcW w:w="1530" w:type="dxa"/>
          </w:tcPr>
          <w:p w14:paraId="5FFCC377" w14:textId="08906242" w:rsidR="00B5603D" w:rsidRPr="00022F0A" w:rsidRDefault="00B5603D" w:rsidP="00B5603D">
            <w:pPr>
              <w:rPr>
                <w:rFonts w:ascii="Arial" w:hAnsi="Arial" w:cs="Arial"/>
                <w:sz w:val="18"/>
                <w:szCs w:val="18"/>
              </w:rPr>
            </w:pPr>
            <w:r w:rsidRPr="00C967D3">
              <w:rPr>
                <w:rFonts w:ascii="Arial" w:hAnsi="Arial" w:cs="Arial"/>
                <w:sz w:val="18"/>
                <w:szCs w:val="18"/>
              </w:rPr>
              <w:t xml:space="preserve">$7,958,356 </w:t>
            </w:r>
          </w:p>
        </w:tc>
        <w:tc>
          <w:tcPr>
            <w:tcW w:w="1440" w:type="dxa"/>
          </w:tcPr>
          <w:p w14:paraId="7EE38FCF" w14:textId="26163A72" w:rsidR="00B5603D" w:rsidRPr="00022F0A" w:rsidRDefault="00B5603D" w:rsidP="00B5603D">
            <w:pPr>
              <w:rPr>
                <w:rFonts w:ascii="Arial" w:hAnsi="Arial" w:cs="Arial"/>
                <w:sz w:val="18"/>
                <w:szCs w:val="18"/>
              </w:rPr>
            </w:pPr>
            <w:r w:rsidRPr="00C967D3">
              <w:rPr>
                <w:rFonts w:ascii="Arial" w:hAnsi="Arial" w:cs="Arial"/>
                <w:sz w:val="18"/>
                <w:szCs w:val="18"/>
              </w:rPr>
              <w:t xml:space="preserve">$4,107,590 </w:t>
            </w:r>
          </w:p>
        </w:tc>
        <w:tc>
          <w:tcPr>
            <w:tcW w:w="1440" w:type="dxa"/>
          </w:tcPr>
          <w:p w14:paraId="7B10E165" w14:textId="3DCCF14B" w:rsidR="00B5603D" w:rsidRPr="00022F0A" w:rsidRDefault="00B5603D" w:rsidP="00B5603D">
            <w:pPr>
              <w:rPr>
                <w:rFonts w:ascii="Arial" w:hAnsi="Arial" w:cs="Arial"/>
                <w:sz w:val="18"/>
                <w:szCs w:val="18"/>
              </w:rPr>
            </w:pPr>
            <w:r w:rsidRPr="00C967D3">
              <w:rPr>
                <w:rFonts w:ascii="Arial" w:hAnsi="Arial" w:cs="Arial"/>
                <w:sz w:val="18"/>
                <w:szCs w:val="18"/>
              </w:rPr>
              <w:t xml:space="preserve">$362,965 </w:t>
            </w:r>
          </w:p>
        </w:tc>
        <w:tc>
          <w:tcPr>
            <w:tcW w:w="1440" w:type="dxa"/>
          </w:tcPr>
          <w:p w14:paraId="51A3E0CB" w14:textId="7A51A7D4" w:rsidR="00B5603D" w:rsidRPr="00022F0A" w:rsidRDefault="00B5603D" w:rsidP="00B5603D">
            <w:pPr>
              <w:rPr>
                <w:rFonts w:ascii="Arial" w:hAnsi="Arial" w:cs="Arial"/>
                <w:sz w:val="18"/>
                <w:szCs w:val="18"/>
              </w:rPr>
            </w:pPr>
            <w:r w:rsidRPr="00C967D3">
              <w:rPr>
                <w:rFonts w:ascii="Arial" w:hAnsi="Arial" w:cs="Arial"/>
                <w:sz w:val="18"/>
                <w:szCs w:val="18"/>
              </w:rPr>
              <w:t xml:space="preserve">$2,721,498 </w:t>
            </w:r>
          </w:p>
        </w:tc>
        <w:tc>
          <w:tcPr>
            <w:tcW w:w="1615" w:type="dxa"/>
          </w:tcPr>
          <w:p w14:paraId="16F3A464" w14:textId="29A06B33" w:rsidR="00B5603D" w:rsidRPr="00022F0A" w:rsidRDefault="00B5603D" w:rsidP="00B5603D">
            <w:pPr>
              <w:rPr>
                <w:rFonts w:ascii="Arial" w:hAnsi="Arial" w:cs="Arial"/>
                <w:sz w:val="18"/>
                <w:szCs w:val="18"/>
              </w:rPr>
            </w:pPr>
            <w:r w:rsidRPr="00C967D3">
              <w:rPr>
                <w:rFonts w:ascii="Arial" w:hAnsi="Arial" w:cs="Arial"/>
                <w:sz w:val="18"/>
                <w:szCs w:val="18"/>
              </w:rPr>
              <w:t xml:space="preserve">$21,402,608 </w:t>
            </w:r>
          </w:p>
        </w:tc>
      </w:tr>
      <w:tr w:rsidR="00A45382" w14:paraId="68BA843A" w14:textId="77777777" w:rsidTr="00C91E7A">
        <w:trPr>
          <w:trHeight w:val="20"/>
        </w:trPr>
        <w:tc>
          <w:tcPr>
            <w:tcW w:w="1885" w:type="dxa"/>
          </w:tcPr>
          <w:p w14:paraId="4AEC2637" w14:textId="193C95B0" w:rsidR="00A45382" w:rsidRPr="003710C8" w:rsidRDefault="00A45382" w:rsidP="00A45382">
            <w:pPr>
              <w:rPr>
                <w:rFonts w:ascii="Arial" w:hAnsi="Arial" w:cs="Arial"/>
                <w:sz w:val="18"/>
                <w:szCs w:val="18"/>
              </w:rPr>
            </w:pPr>
            <w:r w:rsidRPr="00C967D3">
              <w:rPr>
                <w:rFonts w:ascii="Arial" w:hAnsi="Arial" w:cs="Arial"/>
                <w:sz w:val="18"/>
                <w:szCs w:val="18"/>
              </w:rPr>
              <w:t>Wyoming</w:t>
            </w:r>
          </w:p>
        </w:tc>
        <w:tc>
          <w:tcPr>
            <w:tcW w:w="1440" w:type="dxa"/>
          </w:tcPr>
          <w:p w14:paraId="6082FA6C" w14:textId="4447426D" w:rsidR="00A45382" w:rsidRPr="003710C8" w:rsidRDefault="00A45382" w:rsidP="00A45382">
            <w:pPr>
              <w:rPr>
                <w:rFonts w:ascii="Arial" w:hAnsi="Arial" w:cs="Arial"/>
                <w:sz w:val="18"/>
                <w:szCs w:val="18"/>
              </w:rPr>
            </w:pPr>
            <w:r w:rsidRPr="00C967D3">
              <w:rPr>
                <w:rFonts w:ascii="Arial" w:hAnsi="Arial" w:cs="Arial"/>
                <w:sz w:val="18"/>
                <w:szCs w:val="18"/>
              </w:rPr>
              <w:t xml:space="preserve">$1,736,115 </w:t>
            </w:r>
          </w:p>
        </w:tc>
        <w:tc>
          <w:tcPr>
            <w:tcW w:w="1530" w:type="dxa"/>
          </w:tcPr>
          <w:p w14:paraId="1BCDF766" w14:textId="7CCC1FFE" w:rsidR="00A45382" w:rsidRPr="003710C8" w:rsidRDefault="00A45382" w:rsidP="00A45382">
            <w:pPr>
              <w:rPr>
                <w:rFonts w:ascii="Arial" w:hAnsi="Arial" w:cs="Arial"/>
                <w:sz w:val="18"/>
                <w:szCs w:val="18"/>
              </w:rPr>
            </w:pPr>
            <w:r w:rsidRPr="00C967D3">
              <w:rPr>
                <w:rFonts w:ascii="Arial" w:hAnsi="Arial" w:cs="Arial"/>
                <w:sz w:val="18"/>
                <w:szCs w:val="18"/>
              </w:rPr>
              <w:t xml:space="preserve">$2,229,088 </w:t>
            </w:r>
          </w:p>
        </w:tc>
        <w:tc>
          <w:tcPr>
            <w:tcW w:w="1440" w:type="dxa"/>
          </w:tcPr>
          <w:p w14:paraId="4798C8B0" w14:textId="3DF44FA8" w:rsidR="00A45382" w:rsidRPr="003710C8" w:rsidRDefault="00A45382" w:rsidP="00A45382">
            <w:pPr>
              <w:rPr>
                <w:rFonts w:ascii="Arial" w:hAnsi="Arial" w:cs="Arial"/>
                <w:sz w:val="18"/>
                <w:szCs w:val="18"/>
              </w:rPr>
            </w:pPr>
            <w:r w:rsidRPr="00C967D3">
              <w:rPr>
                <w:rFonts w:ascii="Arial" w:hAnsi="Arial" w:cs="Arial"/>
                <w:sz w:val="18"/>
                <w:szCs w:val="18"/>
              </w:rPr>
              <w:t xml:space="preserve">$1,125,270 </w:t>
            </w:r>
          </w:p>
        </w:tc>
        <w:tc>
          <w:tcPr>
            <w:tcW w:w="1440" w:type="dxa"/>
          </w:tcPr>
          <w:p w14:paraId="4B57F076" w14:textId="60A0A796" w:rsidR="00A45382" w:rsidRPr="003710C8" w:rsidRDefault="00A45382" w:rsidP="00A45382">
            <w:pPr>
              <w:rPr>
                <w:rFonts w:ascii="Arial" w:hAnsi="Arial" w:cs="Arial"/>
                <w:sz w:val="18"/>
                <w:szCs w:val="18"/>
              </w:rPr>
            </w:pPr>
            <w:r w:rsidRPr="00C967D3">
              <w:rPr>
                <w:rFonts w:ascii="Arial" w:hAnsi="Arial" w:cs="Arial"/>
                <w:sz w:val="18"/>
                <w:szCs w:val="18"/>
              </w:rPr>
              <w:t xml:space="preserve">$98,321 </w:t>
            </w:r>
          </w:p>
        </w:tc>
        <w:tc>
          <w:tcPr>
            <w:tcW w:w="1440" w:type="dxa"/>
          </w:tcPr>
          <w:p w14:paraId="07B0C79F" w14:textId="0E4A113E" w:rsidR="00A45382" w:rsidRPr="003710C8" w:rsidRDefault="00A45382" w:rsidP="00A45382">
            <w:pPr>
              <w:rPr>
                <w:rFonts w:ascii="Arial" w:hAnsi="Arial" w:cs="Arial"/>
                <w:sz w:val="18"/>
                <w:szCs w:val="18"/>
              </w:rPr>
            </w:pPr>
            <w:r w:rsidRPr="00C967D3">
              <w:rPr>
                <w:rFonts w:ascii="Arial" w:hAnsi="Arial" w:cs="Arial"/>
                <w:sz w:val="18"/>
                <w:szCs w:val="18"/>
              </w:rPr>
              <w:t xml:space="preserve">$746,423 </w:t>
            </w:r>
          </w:p>
        </w:tc>
        <w:tc>
          <w:tcPr>
            <w:tcW w:w="1615" w:type="dxa"/>
          </w:tcPr>
          <w:p w14:paraId="23E6CFB1" w14:textId="4A8432A4" w:rsidR="00A45382" w:rsidRPr="003710C8" w:rsidRDefault="00A45382" w:rsidP="00A45382">
            <w:pPr>
              <w:rPr>
                <w:rFonts w:ascii="Arial" w:hAnsi="Arial" w:cs="Arial"/>
                <w:sz w:val="18"/>
                <w:szCs w:val="18"/>
              </w:rPr>
            </w:pPr>
            <w:r w:rsidRPr="00C967D3">
              <w:rPr>
                <w:rFonts w:ascii="Arial" w:hAnsi="Arial" w:cs="Arial"/>
                <w:sz w:val="18"/>
                <w:szCs w:val="18"/>
              </w:rPr>
              <w:t xml:space="preserve">$5,935,217 </w:t>
            </w:r>
          </w:p>
        </w:tc>
      </w:tr>
      <w:tr w:rsidR="00A45382" w14:paraId="3AD170C2" w14:textId="77777777" w:rsidTr="00C91E7A">
        <w:trPr>
          <w:trHeight w:val="20"/>
        </w:trPr>
        <w:tc>
          <w:tcPr>
            <w:tcW w:w="1885" w:type="dxa"/>
          </w:tcPr>
          <w:p w14:paraId="4AD50C5F" w14:textId="4C97A37B" w:rsidR="00A45382" w:rsidRPr="003710C8" w:rsidRDefault="00A45382" w:rsidP="00A45382">
            <w:pPr>
              <w:rPr>
                <w:rFonts w:ascii="Arial" w:hAnsi="Arial" w:cs="Arial"/>
                <w:sz w:val="18"/>
                <w:szCs w:val="18"/>
              </w:rPr>
            </w:pPr>
            <w:r w:rsidRPr="00C967D3">
              <w:rPr>
                <w:rFonts w:ascii="Arial" w:hAnsi="Arial" w:cs="Arial"/>
                <w:sz w:val="18"/>
                <w:szCs w:val="18"/>
              </w:rPr>
              <w:t>American Samoa</w:t>
            </w:r>
          </w:p>
        </w:tc>
        <w:tc>
          <w:tcPr>
            <w:tcW w:w="1440" w:type="dxa"/>
          </w:tcPr>
          <w:p w14:paraId="6A487A84" w14:textId="706780B8" w:rsidR="00A45382" w:rsidRPr="003710C8" w:rsidRDefault="00A45382" w:rsidP="00A45382">
            <w:pPr>
              <w:rPr>
                <w:rFonts w:ascii="Arial" w:hAnsi="Arial" w:cs="Arial"/>
                <w:sz w:val="18"/>
                <w:szCs w:val="18"/>
              </w:rPr>
            </w:pPr>
            <w:r w:rsidRPr="00C967D3">
              <w:rPr>
                <w:rFonts w:ascii="Arial" w:hAnsi="Arial" w:cs="Arial"/>
                <w:sz w:val="18"/>
                <w:szCs w:val="18"/>
              </w:rPr>
              <w:t xml:space="preserve">$462,103 </w:t>
            </w:r>
          </w:p>
        </w:tc>
        <w:tc>
          <w:tcPr>
            <w:tcW w:w="1530" w:type="dxa"/>
          </w:tcPr>
          <w:p w14:paraId="799115BB" w14:textId="4DC20748" w:rsidR="00A45382" w:rsidRPr="003710C8" w:rsidRDefault="00A45382" w:rsidP="00A45382">
            <w:pPr>
              <w:rPr>
                <w:rFonts w:ascii="Arial" w:hAnsi="Arial" w:cs="Arial"/>
                <w:sz w:val="18"/>
                <w:szCs w:val="18"/>
              </w:rPr>
            </w:pPr>
            <w:r w:rsidRPr="00C967D3">
              <w:rPr>
                <w:rFonts w:ascii="Arial" w:hAnsi="Arial" w:cs="Arial"/>
                <w:sz w:val="18"/>
                <w:szCs w:val="18"/>
              </w:rPr>
              <w:t xml:space="preserve">$588,895 </w:t>
            </w:r>
          </w:p>
        </w:tc>
        <w:tc>
          <w:tcPr>
            <w:tcW w:w="1440" w:type="dxa"/>
          </w:tcPr>
          <w:p w14:paraId="4DFBA9D5" w14:textId="279E397D" w:rsidR="00A45382" w:rsidRPr="003710C8" w:rsidRDefault="00A45382" w:rsidP="00A45382">
            <w:pPr>
              <w:rPr>
                <w:rFonts w:ascii="Arial" w:hAnsi="Arial" w:cs="Arial"/>
                <w:sz w:val="18"/>
                <w:szCs w:val="18"/>
              </w:rPr>
            </w:pPr>
            <w:r w:rsidRPr="00C967D3">
              <w:rPr>
                <w:rFonts w:ascii="Arial" w:hAnsi="Arial" w:cs="Arial"/>
                <w:sz w:val="18"/>
                <w:szCs w:val="18"/>
              </w:rPr>
              <w:t xml:space="preserve">$140,659 </w:t>
            </w:r>
          </w:p>
        </w:tc>
        <w:tc>
          <w:tcPr>
            <w:tcW w:w="1440" w:type="dxa"/>
          </w:tcPr>
          <w:p w14:paraId="4AAF36CE" w14:textId="7C102C33" w:rsidR="00A45382" w:rsidRPr="003710C8" w:rsidRDefault="00A45382" w:rsidP="00A45382">
            <w:pPr>
              <w:rPr>
                <w:rFonts w:ascii="Arial" w:hAnsi="Arial" w:cs="Arial"/>
                <w:sz w:val="18"/>
                <w:szCs w:val="18"/>
              </w:rPr>
            </w:pPr>
            <w:r w:rsidRPr="00C967D3">
              <w:rPr>
                <w:rFonts w:ascii="Arial" w:hAnsi="Arial" w:cs="Arial"/>
                <w:sz w:val="18"/>
                <w:szCs w:val="18"/>
              </w:rPr>
              <w:t xml:space="preserve">$12,290 </w:t>
            </w:r>
          </w:p>
        </w:tc>
        <w:tc>
          <w:tcPr>
            <w:tcW w:w="1440" w:type="dxa"/>
          </w:tcPr>
          <w:p w14:paraId="3ED6624A" w14:textId="137C9EC9" w:rsidR="00A45382" w:rsidRPr="003710C8" w:rsidRDefault="00A45382" w:rsidP="00A45382">
            <w:pPr>
              <w:rPr>
                <w:rFonts w:ascii="Arial" w:hAnsi="Arial" w:cs="Arial"/>
                <w:sz w:val="18"/>
                <w:szCs w:val="18"/>
              </w:rPr>
            </w:pPr>
            <w:r w:rsidRPr="00C967D3">
              <w:rPr>
                <w:rFonts w:ascii="Arial" w:hAnsi="Arial" w:cs="Arial"/>
                <w:sz w:val="18"/>
                <w:szCs w:val="18"/>
              </w:rPr>
              <w:t xml:space="preserve">$93,303 </w:t>
            </w:r>
          </w:p>
        </w:tc>
        <w:tc>
          <w:tcPr>
            <w:tcW w:w="1615" w:type="dxa"/>
          </w:tcPr>
          <w:p w14:paraId="41858879" w14:textId="2EE43B0B" w:rsidR="00A45382" w:rsidRPr="003710C8" w:rsidRDefault="00A45382" w:rsidP="00A45382">
            <w:pPr>
              <w:rPr>
                <w:rFonts w:ascii="Arial" w:hAnsi="Arial" w:cs="Arial"/>
                <w:sz w:val="18"/>
                <w:szCs w:val="18"/>
              </w:rPr>
            </w:pPr>
            <w:r w:rsidRPr="00C967D3">
              <w:rPr>
                <w:rFonts w:ascii="Arial" w:hAnsi="Arial" w:cs="Arial"/>
                <w:sz w:val="18"/>
                <w:szCs w:val="18"/>
              </w:rPr>
              <w:t xml:space="preserve">$1,297,250 </w:t>
            </w:r>
          </w:p>
        </w:tc>
      </w:tr>
      <w:tr w:rsidR="00A45382" w14:paraId="01B51015" w14:textId="77777777" w:rsidTr="00C91E7A">
        <w:trPr>
          <w:trHeight w:val="20"/>
        </w:trPr>
        <w:tc>
          <w:tcPr>
            <w:tcW w:w="1885" w:type="dxa"/>
          </w:tcPr>
          <w:p w14:paraId="74A1F2BE" w14:textId="04B9ED6A" w:rsidR="00A45382" w:rsidRPr="003710C8" w:rsidRDefault="00A45382" w:rsidP="00A45382">
            <w:pPr>
              <w:rPr>
                <w:rFonts w:ascii="Arial" w:hAnsi="Arial" w:cs="Arial"/>
                <w:sz w:val="18"/>
                <w:szCs w:val="18"/>
              </w:rPr>
            </w:pPr>
            <w:r w:rsidRPr="00C967D3">
              <w:rPr>
                <w:rFonts w:ascii="Arial" w:hAnsi="Arial" w:cs="Arial"/>
                <w:sz w:val="18"/>
                <w:szCs w:val="18"/>
              </w:rPr>
              <w:t>Guam</w:t>
            </w:r>
          </w:p>
        </w:tc>
        <w:tc>
          <w:tcPr>
            <w:tcW w:w="1440" w:type="dxa"/>
          </w:tcPr>
          <w:p w14:paraId="03EA5D89" w14:textId="6BD5BBDE" w:rsidR="00A45382" w:rsidRPr="003710C8" w:rsidRDefault="00A45382" w:rsidP="00A45382">
            <w:pPr>
              <w:rPr>
                <w:rFonts w:ascii="Arial" w:hAnsi="Arial" w:cs="Arial"/>
                <w:sz w:val="18"/>
                <w:szCs w:val="18"/>
              </w:rPr>
            </w:pPr>
            <w:r w:rsidRPr="00C967D3">
              <w:rPr>
                <w:rFonts w:ascii="Arial" w:hAnsi="Arial" w:cs="Arial"/>
                <w:sz w:val="18"/>
                <w:szCs w:val="18"/>
              </w:rPr>
              <w:t xml:space="preserve">$868,057 </w:t>
            </w:r>
          </w:p>
        </w:tc>
        <w:tc>
          <w:tcPr>
            <w:tcW w:w="1530" w:type="dxa"/>
          </w:tcPr>
          <w:p w14:paraId="511303A5" w14:textId="019534FB" w:rsidR="00A45382" w:rsidRPr="003710C8" w:rsidRDefault="00A45382" w:rsidP="00A45382">
            <w:pPr>
              <w:rPr>
                <w:rFonts w:ascii="Arial" w:hAnsi="Arial" w:cs="Arial"/>
                <w:sz w:val="18"/>
                <w:szCs w:val="18"/>
              </w:rPr>
            </w:pPr>
            <w:r w:rsidRPr="00C967D3">
              <w:rPr>
                <w:rFonts w:ascii="Arial" w:hAnsi="Arial" w:cs="Arial"/>
                <w:sz w:val="18"/>
                <w:szCs w:val="18"/>
              </w:rPr>
              <w:t xml:space="preserve">$1,114,544 </w:t>
            </w:r>
          </w:p>
        </w:tc>
        <w:tc>
          <w:tcPr>
            <w:tcW w:w="1440" w:type="dxa"/>
          </w:tcPr>
          <w:p w14:paraId="617FB797" w14:textId="541E2214" w:rsidR="00A45382" w:rsidRPr="003710C8" w:rsidRDefault="00A45382" w:rsidP="00A45382">
            <w:pPr>
              <w:rPr>
                <w:rFonts w:ascii="Arial" w:hAnsi="Arial" w:cs="Arial"/>
                <w:sz w:val="18"/>
                <w:szCs w:val="18"/>
              </w:rPr>
            </w:pPr>
            <w:r w:rsidRPr="00C967D3">
              <w:rPr>
                <w:rFonts w:ascii="Arial" w:hAnsi="Arial" w:cs="Arial"/>
                <w:sz w:val="18"/>
                <w:szCs w:val="18"/>
              </w:rPr>
              <w:t xml:space="preserve">$562,635 </w:t>
            </w:r>
          </w:p>
        </w:tc>
        <w:tc>
          <w:tcPr>
            <w:tcW w:w="1440" w:type="dxa"/>
          </w:tcPr>
          <w:p w14:paraId="7BB31636" w14:textId="230E2924" w:rsidR="00A45382" w:rsidRPr="003710C8" w:rsidRDefault="00A45382" w:rsidP="00A45382">
            <w:pPr>
              <w:rPr>
                <w:rFonts w:ascii="Arial" w:hAnsi="Arial" w:cs="Arial"/>
                <w:sz w:val="18"/>
                <w:szCs w:val="18"/>
              </w:rPr>
            </w:pPr>
            <w:r w:rsidRPr="00C967D3">
              <w:rPr>
                <w:rFonts w:ascii="Arial" w:hAnsi="Arial" w:cs="Arial"/>
                <w:sz w:val="18"/>
                <w:szCs w:val="18"/>
              </w:rPr>
              <w:t xml:space="preserve">$49,161 </w:t>
            </w:r>
          </w:p>
        </w:tc>
        <w:tc>
          <w:tcPr>
            <w:tcW w:w="1440" w:type="dxa"/>
          </w:tcPr>
          <w:p w14:paraId="20680736" w14:textId="714D2124" w:rsidR="00A45382" w:rsidRPr="003710C8" w:rsidRDefault="00A45382" w:rsidP="00A45382">
            <w:pPr>
              <w:rPr>
                <w:rFonts w:ascii="Arial" w:hAnsi="Arial" w:cs="Arial"/>
                <w:sz w:val="18"/>
                <w:szCs w:val="18"/>
              </w:rPr>
            </w:pPr>
            <w:r w:rsidRPr="00C967D3">
              <w:rPr>
                <w:rFonts w:ascii="Arial" w:hAnsi="Arial" w:cs="Arial"/>
                <w:sz w:val="18"/>
                <w:szCs w:val="18"/>
              </w:rPr>
              <w:t xml:space="preserve">$373,212 </w:t>
            </w:r>
          </w:p>
        </w:tc>
        <w:tc>
          <w:tcPr>
            <w:tcW w:w="1615" w:type="dxa"/>
          </w:tcPr>
          <w:p w14:paraId="51E9642E" w14:textId="36FD64D4" w:rsidR="00A45382" w:rsidRPr="003710C8" w:rsidRDefault="00A45382" w:rsidP="00A45382">
            <w:pPr>
              <w:rPr>
                <w:rFonts w:ascii="Arial" w:hAnsi="Arial" w:cs="Arial"/>
                <w:sz w:val="18"/>
                <w:szCs w:val="18"/>
              </w:rPr>
            </w:pPr>
            <w:r w:rsidRPr="00C967D3">
              <w:rPr>
                <w:rFonts w:ascii="Arial" w:hAnsi="Arial" w:cs="Arial"/>
                <w:sz w:val="18"/>
                <w:szCs w:val="18"/>
              </w:rPr>
              <w:t xml:space="preserve">$2,967,609 </w:t>
            </w:r>
          </w:p>
        </w:tc>
      </w:tr>
      <w:tr w:rsidR="00A45382" w14:paraId="1887F5B1" w14:textId="77777777" w:rsidTr="00C91E7A">
        <w:trPr>
          <w:trHeight w:val="20"/>
        </w:trPr>
        <w:tc>
          <w:tcPr>
            <w:tcW w:w="1885" w:type="dxa"/>
          </w:tcPr>
          <w:p w14:paraId="7D40040C" w14:textId="3211F182" w:rsidR="00A45382" w:rsidRPr="003710C8" w:rsidRDefault="00A45382" w:rsidP="00A45382">
            <w:pPr>
              <w:rPr>
                <w:rFonts w:ascii="Arial" w:hAnsi="Arial" w:cs="Arial"/>
                <w:sz w:val="18"/>
                <w:szCs w:val="18"/>
              </w:rPr>
            </w:pPr>
            <w:r w:rsidRPr="00C967D3">
              <w:rPr>
                <w:rFonts w:ascii="Arial" w:hAnsi="Arial" w:cs="Arial"/>
                <w:sz w:val="18"/>
                <w:szCs w:val="18"/>
              </w:rPr>
              <w:t>Northern Mariana Islands</w:t>
            </w:r>
          </w:p>
        </w:tc>
        <w:tc>
          <w:tcPr>
            <w:tcW w:w="1440" w:type="dxa"/>
          </w:tcPr>
          <w:p w14:paraId="1BE82F55" w14:textId="756ACF8E" w:rsidR="00A45382" w:rsidRPr="003710C8" w:rsidRDefault="00A45382" w:rsidP="00A45382">
            <w:pPr>
              <w:rPr>
                <w:rFonts w:ascii="Arial" w:hAnsi="Arial" w:cs="Arial"/>
                <w:sz w:val="18"/>
                <w:szCs w:val="18"/>
              </w:rPr>
            </w:pPr>
            <w:r w:rsidRPr="00C967D3">
              <w:rPr>
                <w:rFonts w:ascii="Arial" w:hAnsi="Arial" w:cs="Arial"/>
                <w:sz w:val="18"/>
                <w:szCs w:val="18"/>
              </w:rPr>
              <w:t xml:space="preserve">$217,014 </w:t>
            </w:r>
          </w:p>
        </w:tc>
        <w:tc>
          <w:tcPr>
            <w:tcW w:w="1530" w:type="dxa"/>
          </w:tcPr>
          <w:p w14:paraId="356C83CE" w14:textId="1DA977CB" w:rsidR="00A45382" w:rsidRPr="003710C8" w:rsidRDefault="00A45382" w:rsidP="00A45382">
            <w:pPr>
              <w:rPr>
                <w:rFonts w:ascii="Arial" w:hAnsi="Arial" w:cs="Arial"/>
                <w:sz w:val="18"/>
                <w:szCs w:val="18"/>
              </w:rPr>
            </w:pPr>
            <w:r w:rsidRPr="00C967D3">
              <w:rPr>
                <w:rFonts w:ascii="Arial" w:hAnsi="Arial" w:cs="Arial"/>
                <w:sz w:val="18"/>
                <w:szCs w:val="18"/>
              </w:rPr>
              <w:t xml:space="preserve">$278,636 </w:t>
            </w:r>
          </w:p>
        </w:tc>
        <w:tc>
          <w:tcPr>
            <w:tcW w:w="1440" w:type="dxa"/>
          </w:tcPr>
          <w:p w14:paraId="1F094AF5" w14:textId="09656E4E" w:rsidR="00A45382" w:rsidRPr="003710C8" w:rsidRDefault="00A45382" w:rsidP="00A45382">
            <w:pPr>
              <w:rPr>
                <w:rFonts w:ascii="Arial" w:hAnsi="Arial" w:cs="Arial"/>
                <w:sz w:val="18"/>
                <w:szCs w:val="18"/>
              </w:rPr>
            </w:pPr>
            <w:r w:rsidRPr="00C967D3">
              <w:rPr>
                <w:rFonts w:ascii="Arial" w:hAnsi="Arial" w:cs="Arial"/>
                <w:sz w:val="18"/>
                <w:szCs w:val="18"/>
              </w:rPr>
              <w:t xml:space="preserve">$140,659 </w:t>
            </w:r>
          </w:p>
        </w:tc>
        <w:tc>
          <w:tcPr>
            <w:tcW w:w="1440" w:type="dxa"/>
          </w:tcPr>
          <w:p w14:paraId="428D59AB" w14:textId="13456BB9" w:rsidR="00A45382" w:rsidRPr="003710C8" w:rsidRDefault="00A45382" w:rsidP="00A45382">
            <w:pPr>
              <w:rPr>
                <w:rFonts w:ascii="Arial" w:hAnsi="Arial" w:cs="Arial"/>
                <w:sz w:val="18"/>
                <w:szCs w:val="18"/>
              </w:rPr>
            </w:pPr>
            <w:r w:rsidRPr="00C967D3">
              <w:rPr>
                <w:rFonts w:ascii="Arial" w:hAnsi="Arial" w:cs="Arial"/>
                <w:sz w:val="18"/>
                <w:szCs w:val="18"/>
              </w:rPr>
              <w:t xml:space="preserve">$12,290 </w:t>
            </w:r>
          </w:p>
        </w:tc>
        <w:tc>
          <w:tcPr>
            <w:tcW w:w="1440" w:type="dxa"/>
          </w:tcPr>
          <w:p w14:paraId="43B5C598" w14:textId="69425353" w:rsidR="00A45382" w:rsidRPr="003710C8" w:rsidRDefault="00A45382" w:rsidP="00A45382">
            <w:pPr>
              <w:rPr>
                <w:rFonts w:ascii="Arial" w:hAnsi="Arial" w:cs="Arial"/>
                <w:sz w:val="18"/>
                <w:szCs w:val="18"/>
              </w:rPr>
            </w:pPr>
            <w:r w:rsidRPr="00C967D3">
              <w:rPr>
                <w:rFonts w:ascii="Arial" w:hAnsi="Arial" w:cs="Arial"/>
                <w:sz w:val="18"/>
                <w:szCs w:val="18"/>
              </w:rPr>
              <w:t xml:space="preserve">$93,303 </w:t>
            </w:r>
          </w:p>
        </w:tc>
        <w:tc>
          <w:tcPr>
            <w:tcW w:w="1615" w:type="dxa"/>
          </w:tcPr>
          <w:p w14:paraId="2F6A3535" w14:textId="30837D0E" w:rsidR="00A45382" w:rsidRPr="003710C8" w:rsidRDefault="00A45382" w:rsidP="00A45382">
            <w:pPr>
              <w:rPr>
                <w:rFonts w:ascii="Arial" w:hAnsi="Arial" w:cs="Arial"/>
                <w:sz w:val="18"/>
                <w:szCs w:val="18"/>
              </w:rPr>
            </w:pPr>
            <w:r w:rsidRPr="00C967D3">
              <w:rPr>
                <w:rFonts w:ascii="Arial" w:hAnsi="Arial" w:cs="Arial"/>
                <w:sz w:val="18"/>
                <w:szCs w:val="18"/>
              </w:rPr>
              <w:t xml:space="preserve">$741,902 </w:t>
            </w:r>
          </w:p>
        </w:tc>
      </w:tr>
      <w:tr w:rsidR="00A45382" w14:paraId="6FC7869B" w14:textId="77777777" w:rsidTr="00C91E7A">
        <w:trPr>
          <w:trHeight w:val="20"/>
        </w:trPr>
        <w:tc>
          <w:tcPr>
            <w:tcW w:w="1885" w:type="dxa"/>
          </w:tcPr>
          <w:p w14:paraId="3BECA3DC" w14:textId="3F615D20" w:rsidR="00A45382" w:rsidRPr="003710C8" w:rsidRDefault="00A45382" w:rsidP="00A45382">
            <w:pPr>
              <w:rPr>
                <w:rFonts w:ascii="Arial" w:hAnsi="Arial" w:cs="Arial"/>
                <w:sz w:val="18"/>
                <w:szCs w:val="18"/>
              </w:rPr>
            </w:pPr>
            <w:r w:rsidRPr="00C967D3">
              <w:rPr>
                <w:rFonts w:ascii="Arial" w:hAnsi="Arial" w:cs="Arial"/>
                <w:sz w:val="18"/>
                <w:szCs w:val="18"/>
              </w:rPr>
              <w:t>Puerto Rico</w:t>
            </w:r>
          </w:p>
        </w:tc>
        <w:tc>
          <w:tcPr>
            <w:tcW w:w="1440" w:type="dxa"/>
          </w:tcPr>
          <w:p w14:paraId="0056FA74" w14:textId="153E62B4" w:rsidR="00A45382" w:rsidRPr="003710C8" w:rsidRDefault="00A45382" w:rsidP="00A45382">
            <w:pPr>
              <w:rPr>
                <w:rFonts w:ascii="Arial" w:hAnsi="Arial" w:cs="Arial"/>
                <w:sz w:val="18"/>
                <w:szCs w:val="18"/>
              </w:rPr>
            </w:pPr>
            <w:r w:rsidRPr="00C967D3">
              <w:rPr>
                <w:rFonts w:ascii="Arial" w:hAnsi="Arial" w:cs="Arial"/>
                <w:sz w:val="18"/>
                <w:szCs w:val="18"/>
              </w:rPr>
              <w:t xml:space="preserve">$4,280,343 </w:t>
            </w:r>
          </w:p>
        </w:tc>
        <w:tc>
          <w:tcPr>
            <w:tcW w:w="1530" w:type="dxa"/>
          </w:tcPr>
          <w:p w14:paraId="23D2EB37" w14:textId="155D5136" w:rsidR="00A45382" w:rsidRPr="003710C8" w:rsidRDefault="00A45382" w:rsidP="00A45382">
            <w:pPr>
              <w:rPr>
                <w:rFonts w:ascii="Arial" w:hAnsi="Arial" w:cs="Arial"/>
                <w:sz w:val="18"/>
                <w:szCs w:val="18"/>
              </w:rPr>
            </w:pPr>
            <w:r w:rsidRPr="00C967D3">
              <w:rPr>
                <w:rFonts w:ascii="Arial" w:hAnsi="Arial" w:cs="Arial"/>
                <w:sz w:val="18"/>
                <w:szCs w:val="18"/>
              </w:rPr>
              <w:t xml:space="preserve">$5,247,083 </w:t>
            </w:r>
          </w:p>
        </w:tc>
        <w:tc>
          <w:tcPr>
            <w:tcW w:w="1440" w:type="dxa"/>
          </w:tcPr>
          <w:p w14:paraId="6D9663DD" w14:textId="38013279" w:rsidR="00A45382" w:rsidRPr="003710C8" w:rsidRDefault="00A45382" w:rsidP="00A45382">
            <w:pPr>
              <w:rPr>
                <w:rFonts w:ascii="Arial" w:hAnsi="Arial" w:cs="Arial"/>
                <w:sz w:val="18"/>
                <w:szCs w:val="18"/>
              </w:rPr>
            </w:pPr>
            <w:r w:rsidRPr="00C967D3">
              <w:rPr>
                <w:rFonts w:ascii="Arial" w:hAnsi="Arial" w:cs="Arial"/>
                <w:sz w:val="18"/>
                <w:szCs w:val="18"/>
              </w:rPr>
              <w:t xml:space="preserve">$2,716,380 </w:t>
            </w:r>
          </w:p>
        </w:tc>
        <w:tc>
          <w:tcPr>
            <w:tcW w:w="1440" w:type="dxa"/>
          </w:tcPr>
          <w:p w14:paraId="3D81F711" w14:textId="20FA2C18" w:rsidR="00A45382" w:rsidRPr="003710C8" w:rsidRDefault="00A45382" w:rsidP="00A45382">
            <w:pPr>
              <w:rPr>
                <w:rFonts w:ascii="Arial" w:hAnsi="Arial" w:cs="Arial"/>
                <w:sz w:val="18"/>
                <w:szCs w:val="18"/>
              </w:rPr>
            </w:pPr>
            <w:r w:rsidRPr="00C967D3">
              <w:rPr>
                <w:rFonts w:ascii="Arial" w:hAnsi="Arial" w:cs="Arial"/>
                <w:sz w:val="18"/>
                <w:szCs w:val="18"/>
              </w:rPr>
              <w:t xml:space="preserve">$250,119 </w:t>
            </w:r>
          </w:p>
        </w:tc>
        <w:tc>
          <w:tcPr>
            <w:tcW w:w="1440" w:type="dxa"/>
          </w:tcPr>
          <w:p w14:paraId="3DF022AA" w14:textId="387A49EB" w:rsidR="00A45382" w:rsidRPr="003710C8" w:rsidRDefault="00A45382" w:rsidP="00A45382">
            <w:pPr>
              <w:rPr>
                <w:rFonts w:ascii="Arial" w:hAnsi="Arial" w:cs="Arial"/>
                <w:sz w:val="18"/>
                <w:szCs w:val="18"/>
              </w:rPr>
            </w:pPr>
            <w:r w:rsidRPr="00C967D3">
              <w:rPr>
                <w:rFonts w:ascii="Arial" w:hAnsi="Arial" w:cs="Arial"/>
                <w:sz w:val="18"/>
                <w:szCs w:val="18"/>
              </w:rPr>
              <w:t xml:space="preserve">$1,927,485 </w:t>
            </w:r>
          </w:p>
        </w:tc>
        <w:tc>
          <w:tcPr>
            <w:tcW w:w="1615" w:type="dxa"/>
          </w:tcPr>
          <w:p w14:paraId="406EA548" w14:textId="467294DD" w:rsidR="00A45382" w:rsidRPr="003710C8" w:rsidRDefault="00A45382" w:rsidP="00A45382">
            <w:pPr>
              <w:rPr>
                <w:rFonts w:ascii="Arial" w:hAnsi="Arial" w:cs="Arial"/>
                <w:sz w:val="18"/>
                <w:szCs w:val="18"/>
              </w:rPr>
            </w:pPr>
            <w:r w:rsidRPr="00C967D3">
              <w:rPr>
                <w:rFonts w:ascii="Arial" w:hAnsi="Arial" w:cs="Arial"/>
                <w:sz w:val="18"/>
                <w:szCs w:val="18"/>
              </w:rPr>
              <w:t xml:space="preserve">$14,421,410 </w:t>
            </w:r>
          </w:p>
        </w:tc>
      </w:tr>
      <w:tr w:rsidR="00A45382" w14:paraId="15D9EA8C" w14:textId="77777777" w:rsidTr="00C91E7A">
        <w:trPr>
          <w:trHeight w:val="20"/>
        </w:trPr>
        <w:tc>
          <w:tcPr>
            <w:tcW w:w="1885" w:type="dxa"/>
          </w:tcPr>
          <w:p w14:paraId="7E6AC7EB" w14:textId="34C5A99E" w:rsidR="00A45382" w:rsidRPr="003710C8" w:rsidRDefault="00A45382" w:rsidP="00A45382">
            <w:pPr>
              <w:rPr>
                <w:rFonts w:ascii="Arial" w:hAnsi="Arial" w:cs="Arial"/>
                <w:sz w:val="18"/>
                <w:szCs w:val="18"/>
              </w:rPr>
            </w:pPr>
            <w:r w:rsidRPr="00C967D3">
              <w:rPr>
                <w:rFonts w:ascii="Arial" w:hAnsi="Arial" w:cs="Arial"/>
                <w:sz w:val="18"/>
                <w:szCs w:val="18"/>
              </w:rPr>
              <w:t>Virgin Islands</w:t>
            </w:r>
          </w:p>
        </w:tc>
        <w:tc>
          <w:tcPr>
            <w:tcW w:w="1440" w:type="dxa"/>
          </w:tcPr>
          <w:p w14:paraId="61847BC1" w14:textId="1E08E93E" w:rsidR="00A45382" w:rsidRPr="003710C8" w:rsidRDefault="00A45382" w:rsidP="00A45382">
            <w:pPr>
              <w:rPr>
                <w:rFonts w:ascii="Arial" w:hAnsi="Arial" w:cs="Arial"/>
                <w:sz w:val="18"/>
                <w:szCs w:val="18"/>
              </w:rPr>
            </w:pPr>
            <w:r w:rsidRPr="00C967D3">
              <w:rPr>
                <w:rFonts w:ascii="Arial" w:hAnsi="Arial" w:cs="Arial"/>
                <w:sz w:val="18"/>
                <w:szCs w:val="18"/>
              </w:rPr>
              <w:t xml:space="preserve">$868,057 </w:t>
            </w:r>
          </w:p>
        </w:tc>
        <w:tc>
          <w:tcPr>
            <w:tcW w:w="1530" w:type="dxa"/>
          </w:tcPr>
          <w:p w14:paraId="328C7ED8" w14:textId="56E8B701" w:rsidR="00A45382" w:rsidRPr="003710C8" w:rsidRDefault="00A45382" w:rsidP="00A45382">
            <w:pPr>
              <w:rPr>
                <w:rFonts w:ascii="Arial" w:hAnsi="Arial" w:cs="Arial"/>
                <w:sz w:val="18"/>
                <w:szCs w:val="18"/>
              </w:rPr>
            </w:pPr>
            <w:r w:rsidRPr="00C967D3">
              <w:rPr>
                <w:rFonts w:ascii="Arial" w:hAnsi="Arial" w:cs="Arial"/>
                <w:sz w:val="18"/>
                <w:szCs w:val="18"/>
              </w:rPr>
              <w:t xml:space="preserve">$1,114,544 </w:t>
            </w:r>
          </w:p>
        </w:tc>
        <w:tc>
          <w:tcPr>
            <w:tcW w:w="1440" w:type="dxa"/>
          </w:tcPr>
          <w:p w14:paraId="52EAF53E" w14:textId="38C18625" w:rsidR="00A45382" w:rsidRPr="003710C8" w:rsidRDefault="00A45382" w:rsidP="00A45382">
            <w:pPr>
              <w:rPr>
                <w:rFonts w:ascii="Arial" w:hAnsi="Arial" w:cs="Arial"/>
                <w:sz w:val="18"/>
                <w:szCs w:val="18"/>
              </w:rPr>
            </w:pPr>
            <w:r w:rsidRPr="00C967D3">
              <w:rPr>
                <w:rFonts w:ascii="Arial" w:hAnsi="Arial" w:cs="Arial"/>
                <w:sz w:val="18"/>
                <w:szCs w:val="18"/>
              </w:rPr>
              <w:t xml:space="preserve">$562,635 </w:t>
            </w:r>
          </w:p>
        </w:tc>
        <w:tc>
          <w:tcPr>
            <w:tcW w:w="1440" w:type="dxa"/>
          </w:tcPr>
          <w:p w14:paraId="1ACF1E06" w14:textId="7343F8AE" w:rsidR="00A45382" w:rsidRPr="003710C8" w:rsidRDefault="00A45382" w:rsidP="00A45382">
            <w:pPr>
              <w:rPr>
                <w:rFonts w:ascii="Arial" w:hAnsi="Arial" w:cs="Arial"/>
                <w:sz w:val="18"/>
                <w:szCs w:val="18"/>
              </w:rPr>
            </w:pPr>
            <w:r w:rsidRPr="00C967D3">
              <w:rPr>
                <w:rFonts w:ascii="Arial" w:hAnsi="Arial" w:cs="Arial"/>
                <w:sz w:val="18"/>
                <w:szCs w:val="18"/>
              </w:rPr>
              <w:t xml:space="preserve">$49,161 </w:t>
            </w:r>
          </w:p>
        </w:tc>
        <w:tc>
          <w:tcPr>
            <w:tcW w:w="1440" w:type="dxa"/>
          </w:tcPr>
          <w:p w14:paraId="16BF7F22" w14:textId="11A810BE" w:rsidR="00A45382" w:rsidRPr="003710C8" w:rsidRDefault="00A45382" w:rsidP="00A45382">
            <w:pPr>
              <w:rPr>
                <w:rFonts w:ascii="Arial" w:hAnsi="Arial" w:cs="Arial"/>
                <w:sz w:val="18"/>
                <w:szCs w:val="18"/>
              </w:rPr>
            </w:pPr>
            <w:r w:rsidRPr="00C967D3">
              <w:rPr>
                <w:rFonts w:ascii="Arial" w:hAnsi="Arial" w:cs="Arial"/>
                <w:sz w:val="18"/>
                <w:szCs w:val="18"/>
              </w:rPr>
              <w:t xml:space="preserve">$373,212 </w:t>
            </w:r>
          </w:p>
        </w:tc>
        <w:tc>
          <w:tcPr>
            <w:tcW w:w="1615" w:type="dxa"/>
          </w:tcPr>
          <w:p w14:paraId="4B7D029C" w14:textId="7797014B" w:rsidR="00A45382" w:rsidRPr="003710C8" w:rsidRDefault="00A45382" w:rsidP="00A45382">
            <w:pPr>
              <w:rPr>
                <w:rFonts w:ascii="Arial" w:hAnsi="Arial" w:cs="Arial"/>
                <w:sz w:val="18"/>
                <w:szCs w:val="18"/>
              </w:rPr>
            </w:pPr>
            <w:r w:rsidRPr="00C967D3">
              <w:rPr>
                <w:rFonts w:ascii="Arial" w:hAnsi="Arial" w:cs="Arial"/>
                <w:sz w:val="18"/>
                <w:szCs w:val="18"/>
              </w:rPr>
              <w:t xml:space="preserve">$2,967,609 </w:t>
            </w:r>
          </w:p>
        </w:tc>
      </w:tr>
      <w:tr w:rsidR="00A45382" w14:paraId="0879AAA7" w14:textId="77777777" w:rsidTr="00C91E7A">
        <w:trPr>
          <w:trHeight w:val="20"/>
        </w:trPr>
        <w:tc>
          <w:tcPr>
            <w:tcW w:w="1885" w:type="dxa"/>
          </w:tcPr>
          <w:p w14:paraId="4F520FD9" w14:textId="771983E4" w:rsidR="00A45382" w:rsidRPr="00C967D3" w:rsidRDefault="00A45382" w:rsidP="00A45382">
            <w:pPr>
              <w:rPr>
                <w:rFonts w:ascii="Arial" w:hAnsi="Arial" w:cs="Arial"/>
                <w:sz w:val="18"/>
                <w:szCs w:val="18"/>
              </w:rPr>
            </w:pPr>
            <w:r w:rsidRPr="00C967D3">
              <w:rPr>
                <w:rFonts w:ascii="Arial" w:hAnsi="Arial" w:cs="Arial"/>
                <w:b/>
                <w:bCs/>
                <w:sz w:val="20"/>
                <w:szCs w:val="20"/>
              </w:rPr>
              <w:t>TOTAL</w:t>
            </w:r>
          </w:p>
        </w:tc>
        <w:tc>
          <w:tcPr>
            <w:tcW w:w="1440" w:type="dxa"/>
          </w:tcPr>
          <w:p w14:paraId="1A36C7EF" w14:textId="28E5C687" w:rsidR="00A45382" w:rsidRPr="00C967D3" w:rsidRDefault="00A45382" w:rsidP="00A45382">
            <w:pPr>
              <w:rPr>
                <w:rFonts w:ascii="Arial" w:hAnsi="Arial" w:cs="Arial"/>
                <w:sz w:val="18"/>
                <w:szCs w:val="18"/>
              </w:rPr>
            </w:pPr>
            <w:r w:rsidRPr="00C967D3">
              <w:rPr>
                <w:rFonts w:ascii="Arial" w:hAnsi="Arial" w:cs="Arial"/>
                <w:b/>
                <w:bCs/>
                <w:sz w:val="20"/>
                <w:szCs w:val="20"/>
              </w:rPr>
              <w:t xml:space="preserve">$347,222,912 </w:t>
            </w:r>
          </w:p>
        </w:tc>
        <w:tc>
          <w:tcPr>
            <w:tcW w:w="1530" w:type="dxa"/>
          </w:tcPr>
          <w:p w14:paraId="42A0E16F" w14:textId="11FDF6E6" w:rsidR="00A45382" w:rsidRPr="00C967D3" w:rsidRDefault="00A45382" w:rsidP="00A45382">
            <w:pPr>
              <w:rPr>
                <w:rFonts w:ascii="Arial" w:hAnsi="Arial" w:cs="Arial"/>
                <w:sz w:val="18"/>
                <w:szCs w:val="18"/>
              </w:rPr>
            </w:pPr>
            <w:r w:rsidRPr="00C967D3">
              <w:rPr>
                <w:rFonts w:ascii="Arial" w:hAnsi="Arial" w:cs="Arial"/>
                <w:b/>
                <w:bCs/>
                <w:sz w:val="20"/>
                <w:szCs w:val="20"/>
              </w:rPr>
              <w:t xml:space="preserve">$445,817,602 </w:t>
            </w:r>
          </w:p>
        </w:tc>
        <w:tc>
          <w:tcPr>
            <w:tcW w:w="1440" w:type="dxa"/>
          </w:tcPr>
          <w:p w14:paraId="30F52F59" w14:textId="56F57E77" w:rsidR="00A45382" w:rsidRPr="00C967D3" w:rsidRDefault="00A45382" w:rsidP="00A45382">
            <w:pPr>
              <w:rPr>
                <w:rFonts w:ascii="Arial" w:hAnsi="Arial" w:cs="Arial"/>
                <w:sz w:val="18"/>
                <w:szCs w:val="18"/>
              </w:rPr>
            </w:pPr>
            <w:r w:rsidRPr="00C967D3">
              <w:rPr>
                <w:rFonts w:ascii="Arial" w:hAnsi="Arial" w:cs="Arial"/>
                <w:b/>
                <w:bCs/>
                <w:sz w:val="20"/>
                <w:szCs w:val="20"/>
              </w:rPr>
              <w:t xml:space="preserve">$225,053,917 </w:t>
            </w:r>
          </w:p>
        </w:tc>
        <w:tc>
          <w:tcPr>
            <w:tcW w:w="1440" w:type="dxa"/>
          </w:tcPr>
          <w:p w14:paraId="492642DF" w14:textId="23017BD1" w:rsidR="00A45382" w:rsidRPr="00C967D3" w:rsidRDefault="00A45382" w:rsidP="00A45382">
            <w:pPr>
              <w:rPr>
                <w:rFonts w:ascii="Arial" w:hAnsi="Arial" w:cs="Arial"/>
                <w:sz w:val="18"/>
                <w:szCs w:val="18"/>
              </w:rPr>
            </w:pPr>
            <w:r w:rsidRPr="00C967D3">
              <w:rPr>
                <w:rFonts w:ascii="Arial" w:hAnsi="Arial" w:cs="Arial"/>
                <w:b/>
                <w:bCs/>
                <w:sz w:val="20"/>
                <w:szCs w:val="20"/>
              </w:rPr>
              <w:t xml:space="preserve">$19,664,255 </w:t>
            </w:r>
          </w:p>
        </w:tc>
        <w:tc>
          <w:tcPr>
            <w:tcW w:w="1440" w:type="dxa"/>
          </w:tcPr>
          <w:p w14:paraId="5BE0412C" w14:textId="0AF7B993" w:rsidR="00A45382" w:rsidRPr="00C967D3" w:rsidRDefault="00A45382" w:rsidP="00A45382">
            <w:pPr>
              <w:rPr>
                <w:rFonts w:ascii="Arial" w:hAnsi="Arial" w:cs="Arial"/>
                <w:sz w:val="18"/>
                <w:szCs w:val="18"/>
              </w:rPr>
            </w:pPr>
            <w:r w:rsidRPr="00C967D3">
              <w:rPr>
                <w:rFonts w:ascii="Arial" w:hAnsi="Arial" w:cs="Arial"/>
                <w:b/>
                <w:bCs/>
                <w:sz w:val="20"/>
                <w:szCs w:val="20"/>
              </w:rPr>
              <w:t xml:space="preserve">$149,284,615 </w:t>
            </w:r>
          </w:p>
        </w:tc>
        <w:tc>
          <w:tcPr>
            <w:tcW w:w="1615" w:type="dxa"/>
          </w:tcPr>
          <w:p w14:paraId="45311EDC" w14:textId="5C96FC2A" w:rsidR="00A45382" w:rsidRPr="00C967D3" w:rsidRDefault="00A45382" w:rsidP="00A45382">
            <w:pPr>
              <w:rPr>
                <w:rFonts w:ascii="Arial" w:hAnsi="Arial" w:cs="Arial"/>
                <w:sz w:val="18"/>
                <w:szCs w:val="18"/>
              </w:rPr>
            </w:pPr>
            <w:r w:rsidRPr="00C967D3">
              <w:rPr>
                <w:rFonts w:ascii="Arial" w:hAnsi="Arial" w:cs="Arial"/>
                <w:b/>
                <w:bCs/>
                <w:sz w:val="20"/>
                <w:szCs w:val="20"/>
              </w:rPr>
              <w:t xml:space="preserve">$1,187,043,301 </w:t>
            </w:r>
          </w:p>
        </w:tc>
      </w:tr>
    </w:tbl>
    <w:p w14:paraId="5980F4FE" w14:textId="77777777" w:rsidR="00F570EA" w:rsidRDefault="00F570EA" w:rsidP="00704280">
      <w:pPr>
        <w:sectPr w:rsidR="00F570EA" w:rsidSect="00494558">
          <w:pgSz w:w="12240" w:h="15840"/>
          <w:pgMar w:top="720" w:right="720" w:bottom="1440" w:left="720" w:header="720" w:footer="720" w:gutter="0"/>
          <w:cols w:space="720"/>
          <w:docGrid w:linePitch="326"/>
        </w:sectPr>
      </w:pPr>
    </w:p>
    <w:tbl>
      <w:tblPr>
        <w:tblStyle w:val="TableGrid"/>
        <w:tblW w:w="7984" w:type="dxa"/>
        <w:tblLook w:val="04E0" w:firstRow="1" w:lastRow="1" w:firstColumn="1" w:lastColumn="0" w:noHBand="0" w:noVBand="1"/>
      </w:tblPr>
      <w:tblGrid>
        <w:gridCol w:w="2404"/>
        <w:gridCol w:w="1860"/>
        <w:gridCol w:w="1860"/>
        <w:gridCol w:w="1860"/>
      </w:tblGrid>
      <w:tr w:rsidR="000A21E2" w:rsidRPr="002943D4" w14:paraId="25CF42E8" w14:textId="77777777" w:rsidTr="00C91E7A">
        <w:trPr>
          <w:trHeight w:val="20"/>
        </w:trPr>
        <w:tc>
          <w:tcPr>
            <w:tcW w:w="2404" w:type="dxa"/>
            <w:noWrap/>
            <w:hideMark/>
          </w:tcPr>
          <w:p w14:paraId="19BCA04E" w14:textId="77777777" w:rsidR="000A21E2" w:rsidRPr="00250639" w:rsidRDefault="000A21E2" w:rsidP="00A97F47">
            <w:pPr>
              <w:rPr>
                <w:rFonts w:ascii="Arial" w:hAnsi="Arial" w:cs="Arial"/>
                <w:b/>
                <w:bCs/>
                <w:color w:val="000000"/>
                <w:sz w:val="20"/>
                <w:szCs w:val="20"/>
              </w:rPr>
            </w:pPr>
            <w:r w:rsidRPr="00250639">
              <w:rPr>
                <w:rFonts w:ascii="Arial" w:hAnsi="Arial" w:cs="Arial"/>
                <w:b/>
                <w:bCs/>
                <w:color w:val="000000"/>
                <w:sz w:val="20"/>
                <w:szCs w:val="20"/>
              </w:rPr>
              <w:t>State</w:t>
            </w:r>
          </w:p>
        </w:tc>
        <w:tc>
          <w:tcPr>
            <w:tcW w:w="1860" w:type="dxa"/>
            <w:hideMark/>
          </w:tcPr>
          <w:p w14:paraId="745E9139" w14:textId="77777777" w:rsidR="000A21E2" w:rsidRPr="00250639" w:rsidRDefault="000A21E2" w:rsidP="00C736AC">
            <w:pPr>
              <w:jc w:val="center"/>
              <w:rPr>
                <w:rFonts w:ascii="Arial" w:hAnsi="Arial" w:cs="Arial"/>
                <w:b/>
                <w:bCs/>
                <w:color w:val="000000"/>
                <w:sz w:val="20"/>
                <w:szCs w:val="20"/>
              </w:rPr>
            </w:pPr>
            <w:r w:rsidRPr="00250639">
              <w:rPr>
                <w:rFonts w:ascii="Arial" w:hAnsi="Arial" w:cs="Arial"/>
                <w:b/>
                <w:bCs/>
                <w:color w:val="000000"/>
                <w:sz w:val="20"/>
                <w:szCs w:val="20"/>
              </w:rPr>
              <w:t>Ombudsman</w:t>
            </w:r>
          </w:p>
        </w:tc>
        <w:tc>
          <w:tcPr>
            <w:tcW w:w="1860" w:type="dxa"/>
            <w:hideMark/>
          </w:tcPr>
          <w:p w14:paraId="6AF61D15" w14:textId="77777777" w:rsidR="000A21E2" w:rsidRPr="00250639" w:rsidRDefault="000A21E2" w:rsidP="00C736AC">
            <w:pPr>
              <w:jc w:val="center"/>
              <w:rPr>
                <w:rFonts w:ascii="Arial" w:hAnsi="Arial" w:cs="Arial"/>
                <w:b/>
                <w:bCs/>
                <w:color w:val="000000"/>
                <w:sz w:val="20"/>
                <w:szCs w:val="20"/>
              </w:rPr>
            </w:pPr>
            <w:r w:rsidRPr="00250639">
              <w:rPr>
                <w:rFonts w:ascii="Arial" w:hAnsi="Arial" w:cs="Arial"/>
                <w:b/>
                <w:bCs/>
                <w:color w:val="000000"/>
                <w:sz w:val="20"/>
                <w:szCs w:val="20"/>
              </w:rPr>
              <w:t>Elder Abuse</w:t>
            </w:r>
          </w:p>
        </w:tc>
        <w:tc>
          <w:tcPr>
            <w:tcW w:w="1860" w:type="dxa"/>
            <w:hideMark/>
          </w:tcPr>
          <w:p w14:paraId="7EC6A5B0" w14:textId="77777777" w:rsidR="000A21E2" w:rsidRPr="00250639" w:rsidRDefault="000A21E2" w:rsidP="00C736AC">
            <w:pPr>
              <w:jc w:val="center"/>
              <w:rPr>
                <w:rFonts w:ascii="Arial" w:hAnsi="Arial" w:cs="Arial"/>
                <w:b/>
                <w:bCs/>
                <w:color w:val="000000"/>
                <w:sz w:val="20"/>
                <w:szCs w:val="20"/>
              </w:rPr>
            </w:pPr>
            <w:r w:rsidRPr="00250639">
              <w:rPr>
                <w:rFonts w:ascii="Arial" w:hAnsi="Arial" w:cs="Arial"/>
                <w:b/>
                <w:bCs/>
                <w:color w:val="000000"/>
                <w:sz w:val="20"/>
                <w:szCs w:val="20"/>
              </w:rPr>
              <w:t>Total Title VII</w:t>
            </w:r>
          </w:p>
        </w:tc>
      </w:tr>
      <w:tr w:rsidR="000A21E2" w:rsidRPr="002943D4" w14:paraId="3316925A" w14:textId="77777777" w:rsidTr="00C91E7A">
        <w:trPr>
          <w:trHeight w:val="20"/>
        </w:trPr>
        <w:tc>
          <w:tcPr>
            <w:tcW w:w="2404" w:type="dxa"/>
            <w:noWrap/>
            <w:hideMark/>
          </w:tcPr>
          <w:p w14:paraId="1B467C66" w14:textId="77777777" w:rsidR="000A21E2" w:rsidRPr="002943D4" w:rsidRDefault="000A21E2" w:rsidP="00C736AC">
            <w:pPr>
              <w:rPr>
                <w:rFonts w:ascii="Arial" w:hAnsi="Arial" w:cs="Arial"/>
                <w:color w:val="000000"/>
                <w:sz w:val="18"/>
                <w:szCs w:val="18"/>
              </w:rPr>
            </w:pPr>
            <w:r w:rsidRPr="002943D4">
              <w:rPr>
                <w:rFonts w:ascii="Arial" w:hAnsi="Arial" w:cs="Arial"/>
                <w:color w:val="000000"/>
                <w:sz w:val="18"/>
                <w:szCs w:val="18"/>
              </w:rPr>
              <w:t>Alabama</w:t>
            </w:r>
          </w:p>
        </w:tc>
        <w:tc>
          <w:tcPr>
            <w:tcW w:w="1860" w:type="dxa"/>
            <w:noWrap/>
            <w:hideMark/>
          </w:tcPr>
          <w:p w14:paraId="7A1F1EC8"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$241,378 </w:t>
            </w:r>
          </w:p>
        </w:tc>
        <w:tc>
          <w:tcPr>
            <w:tcW w:w="1860" w:type="dxa"/>
            <w:noWrap/>
            <w:hideMark/>
          </w:tcPr>
          <w:p w14:paraId="16ECD4AC"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$76,215 </w:t>
            </w:r>
          </w:p>
        </w:tc>
        <w:tc>
          <w:tcPr>
            <w:tcW w:w="1860" w:type="dxa"/>
            <w:noWrap/>
            <w:hideMark/>
          </w:tcPr>
          <w:p w14:paraId="16A78143"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$317,593 </w:t>
            </w:r>
          </w:p>
        </w:tc>
      </w:tr>
      <w:tr w:rsidR="000A21E2" w:rsidRPr="002943D4" w14:paraId="18E53C38" w14:textId="77777777" w:rsidTr="00C91E7A">
        <w:trPr>
          <w:trHeight w:val="20"/>
        </w:trPr>
        <w:tc>
          <w:tcPr>
            <w:tcW w:w="2404" w:type="dxa"/>
            <w:noWrap/>
            <w:hideMark/>
          </w:tcPr>
          <w:p w14:paraId="03F94437" w14:textId="77777777" w:rsidR="000A21E2" w:rsidRPr="002943D4" w:rsidRDefault="000A21E2" w:rsidP="00C736AC">
            <w:pPr>
              <w:rPr>
                <w:rFonts w:ascii="Arial" w:hAnsi="Arial" w:cs="Arial"/>
                <w:color w:val="000000"/>
                <w:sz w:val="18"/>
                <w:szCs w:val="18"/>
              </w:rPr>
            </w:pPr>
            <w:r w:rsidRPr="002943D4">
              <w:rPr>
                <w:rFonts w:ascii="Arial" w:hAnsi="Arial" w:cs="Arial"/>
                <w:color w:val="000000"/>
                <w:sz w:val="18"/>
                <w:szCs w:val="18"/>
              </w:rPr>
              <w:t>Alaska</w:t>
            </w:r>
          </w:p>
        </w:tc>
        <w:tc>
          <w:tcPr>
            <w:tcW w:w="1860" w:type="dxa"/>
            <w:noWrap/>
            <w:hideMark/>
          </w:tcPr>
          <w:p w14:paraId="0CBAAA54"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$79,072 </w:t>
            </w:r>
          </w:p>
        </w:tc>
        <w:tc>
          <w:tcPr>
            <w:tcW w:w="1860" w:type="dxa"/>
            <w:noWrap/>
            <w:hideMark/>
          </w:tcPr>
          <w:p w14:paraId="702522C4"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$23,712 </w:t>
            </w:r>
          </w:p>
        </w:tc>
        <w:tc>
          <w:tcPr>
            <w:tcW w:w="1860" w:type="dxa"/>
            <w:noWrap/>
            <w:hideMark/>
          </w:tcPr>
          <w:p w14:paraId="5BB3B9A1"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$102,784 </w:t>
            </w:r>
          </w:p>
        </w:tc>
      </w:tr>
      <w:tr w:rsidR="000A21E2" w:rsidRPr="002943D4" w14:paraId="5C1769AD" w14:textId="77777777" w:rsidTr="00C91E7A">
        <w:trPr>
          <w:trHeight w:val="20"/>
        </w:trPr>
        <w:tc>
          <w:tcPr>
            <w:tcW w:w="2404" w:type="dxa"/>
            <w:noWrap/>
            <w:hideMark/>
          </w:tcPr>
          <w:p w14:paraId="2D43E4F2" w14:textId="77777777" w:rsidR="000A21E2" w:rsidRPr="002943D4" w:rsidRDefault="000A21E2" w:rsidP="00C736AC">
            <w:pPr>
              <w:rPr>
                <w:rFonts w:ascii="Arial" w:hAnsi="Arial" w:cs="Arial"/>
                <w:color w:val="000000"/>
                <w:sz w:val="18"/>
                <w:szCs w:val="18"/>
              </w:rPr>
            </w:pPr>
            <w:r w:rsidRPr="002943D4">
              <w:rPr>
                <w:rFonts w:ascii="Arial" w:hAnsi="Arial" w:cs="Arial"/>
                <w:color w:val="000000"/>
                <w:sz w:val="18"/>
                <w:szCs w:val="18"/>
              </w:rPr>
              <w:t>Arizona</w:t>
            </w:r>
          </w:p>
        </w:tc>
        <w:tc>
          <w:tcPr>
            <w:tcW w:w="1860" w:type="dxa"/>
            <w:noWrap/>
            <w:hideMark/>
          </w:tcPr>
          <w:p w14:paraId="20B2DF06"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$344,482 </w:t>
            </w:r>
          </w:p>
        </w:tc>
        <w:tc>
          <w:tcPr>
            <w:tcW w:w="1860" w:type="dxa"/>
            <w:noWrap/>
            <w:hideMark/>
          </w:tcPr>
          <w:p w14:paraId="0922AB1F"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$84,481 </w:t>
            </w:r>
          </w:p>
        </w:tc>
        <w:tc>
          <w:tcPr>
            <w:tcW w:w="1860" w:type="dxa"/>
            <w:noWrap/>
            <w:hideMark/>
          </w:tcPr>
          <w:p w14:paraId="120B71BF"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$428,963 </w:t>
            </w:r>
          </w:p>
        </w:tc>
      </w:tr>
      <w:tr w:rsidR="000A21E2" w:rsidRPr="002943D4" w14:paraId="1AF03D80" w14:textId="77777777" w:rsidTr="00C91E7A">
        <w:trPr>
          <w:trHeight w:val="20"/>
        </w:trPr>
        <w:tc>
          <w:tcPr>
            <w:tcW w:w="2404" w:type="dxa"/>
            <w:noWrap/>
            <w:hideMark/>
          </w:tcPr>
          <w:p w14:paraId="093E0205" w14:textId="77777777" w:rsidR="000A21E2" w:rsidRPr="002943D4" w:rsidRDefault="000A21E2" w:rsidP="00C736AC">
            <w:pPr>
              <w:rPr>
                <w:rFonts w:ascii="Arial" w:hAnsi="Arial" w:cs="Arial"/>
                <w:color w:val="000000"/>
                <w:sz w:val="18"/>
                <w:szCs w:val="18"/>
              </w:rPr>
            </w:pPr>
            <w:r w:rsidRPr="002943D4">
              <w:rPr>
                <w:rFonts w:ascii="Arial" w:hAnsi="Arial" w:cs="Arial"/>
                <w:color w:val="000000"/>
                <w:sz w:val="18"/>
                <w:szCs w:val="18"/>
              </w:rPr>
              <w:t>Arkansas</w:t>
            </w:r>
          </w:p>
        </w:tc>
        <w:tc>
          <w:tcPr>
            <w:tcW w:w="1860" w:type="dxa"/>
            <w:noWrap/>
            <w:hideMark/>
          </w:tcPr>
          <w:p w14:paraId="2AE02A12"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$148,565 </w:t>
            </w:r>
          </w:p>
        </w:tc>
        <w:tc>
          <w:tcPr>
            <w:tcW w:w="1860" w:type="dxa"/>
            <w:noWrap/>
            <w:hideMark/>
          </w:tcPr>
          <w:p w14:paraId="74BACD7A"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$48,157 </w:t>
            </w:r>
          </w:p>
        </w:tc>
        <w:tc>
          <w:tcPr>
            <w:tcW w:w="1860" w:type="dxa"/>
            <w:noWrap/>
            <w:hideMark/>
          </w:tcPr>
          <w:p w14:paraId="3D69B276"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$196,722 </w:t>
            </w:r>
          </w:p>
        </w:tc>
      </w:tr>
      <w:tr w:rsidR="000A21E2" w:rsidRPr="002943D4" w14:paraId="58837519" w14:textId="77777777" w:rsidTr="00C91E7A">
        <w:trPr>
          <w:trHeight w:val="20"/>
        </w:trPr>
        <w:tc>
          <w:tcPr>
            <w:tcW w:w="2404" w:type="dxa"/>
            <w:noWrap/>
            <w:hideMark/>
          </w:tcPr>
          <w:p w14:paraId="0D7408CE" w14:textId="77777777" w:rsidR="000A21E2" w:rsidRPr="002943D4" w:rsidRDefault="000A21E2" w:rsidP="00C736AC">
            <w:pPr>
              <w:rPr>
                <w:rFonts w:ascii="Arial" w:hAnsi="Arial" w:cs="Arial"/>
                <w:color w:val="000000"/>
                <w:sz w:val="18"/>
                <w:szCs w:val="18"/>
              </w:rPr>
            </w:pPr>
            <w:r w:rsidRPr="002943D4">
              <w:rPr>
                <w:rFonts w:ascii="Arial" w:hAnsi="Arial" w:cs="Arial"/>
                <w:color w:val="000000"/>
                <w:sz w:val="18"/>
                <w:szCs w:val="18"/>
              </w:rPr>
              <w:t>California</w:t>
            </w:r>
          </w:p>
        </w:tc>
        <w:tc>
          <w:tcPr>
            <w:tcW w:w="1860" w:type="dxa"/>
            <w:noWrap/>
            <w:hideMark/>
          </w:tcPr>
          <w:p w14:paraId="37828E3E"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$1,658,799 </w:t>
            </w:r>
          </w:p>
        </w:tc>
        <w:tc>
          <w:tcPr>
            <w:tcW w:w="1860" w:type="dxa"/>
            <w:noWrap/>
            <w:hideMark/>
          </w:tcPr>
          <w:p w14:paraId="2697BE56"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$471,073 </w:t>
            </w:r>
          </w:p>
        </w:tc>
        <w:tc>
          <w:tcPr>
            <w:tcW w:w="1860" w:type="dxa"/>
            <w:noWrap/>
            <w:hideMark/>
          </w:tcPr>
          <w:p w14:paraId="266DAC9B"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$2,129,872 </w:t>
            </w:r>
          </w:p>
        </w:tc>
      </w:tr>
      <w:tr w:rsidR="000A21E2" w:rsidRPr="002943D4" w14:paraId="74A3F6F5" w14:textId="77777777" w:rsidTr="00C91E7A">
        <w:trPr>
          <w:trHeight w:val="20"/>
        </w:trPr>
        <w:tc>
          <w:tcPr>
            <w:tcW w:w="2404" w:type="dxa"/>
            <w:noWrap/>
            <w:hideMark/>
          </w:tcPr>
          <w:p w14:paraId="4630222A" w14:textId="77777777" w:rsidR="000A21E2" w:rsidRPr="002943D4" w:rsidRDefault="000A21E2" w:rsidP="00C736AC">
            <w:pPr>
              <w:rPr>
                <w:rFonts w:ascii="Arial" w:hAnsi="Arial" w:cs="Arial"/>
                <w:color w:val="000000"/>
                <w:sz w:val="18"/>
                <w:szCs w:val="18"/>
              </w:rPr>
            </w:pPr>
            <w:r w:rsidRPr="002943D4">
              <w:rPr>
                <w:rFonts w:ascii="Arial" w:hAnsi="Arial" w:cs="Arial"/>
                <w:color w:val="000000"/>
                <w:sz w:val="18"/>
                <w:szCs w:val="18"/>
              </w:rPr>
              <w:t>Colorado</w:t>
            </w:r>
          </w:p>
        </w:tc>
        <w:tc>
          <w:tcPr>
            <w:tcW w:w="1860" w:type="dxa"/>
            <w:noWrap/>
            <w:hideMark/>
          </w:tcPr>
          <w:p w14:paraId="3F9B762E"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$234,091 </w:t>
            </w:r>
          </w:p>
        </w:tc>
        <w:tc>
          <w:tcPr>
            <w:tcW w:w="1860" w:type="dxa"/>
            <w:noWrap/>
            <w:hideMark/>
          </w:tcPr>
          <w:p w14:paraId="4A11A325"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$57,391 </w:t>
            </w:r>
          </w:p>
        </w:tc>
        <w:tc>
          <w:tcPr>
            <w:tcW w:w="1860" w:type="dxa"/>
            <w:noWrap/>
            <w:hideMark/>
          </w:tcPr>
          <w:p w14:paraId="21AC9384"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$291,482 </w:t>
            </w:r>
          </w:p>
        </w:tc>
      </w:tr>
      <w:tr w:rsidR="000A21E2" w:rsidRPr="002943D4" w14:paraId="0594F949" w14:textId="77777777" w:rsidTr="00C91E7A">
        <w:trPr>
          <w:trHeight w:val="20"/>
        </w:trPr>
        <w:tc>
          <w:tcPr>
            <w:tcW w:w="2404" w:type="dxa"/>
            <w:noWrap/>
            <w:hideMark/>
          </w:tcPr>
          <w:p w14:paraId="51460432" w14:textId="77777777" w:rsidR="000A21E2" w:rsidRPr="002943D4" w:rsidRDefault="000A21E2" w:rsidP="00C736AC">
            <w:pPr>
              <w:rPr>
                <w:rFonts w:ascii="Arial" w:hAnsi="Arial" w:cs="Arial"/>
                <w:color w:val="000000"/>
                <w:sz w:val="18"/>
                <w:szCs w:val="18"/>
              </w:rPr>
            </w:pPr>
            <w:r w:rsidRPr="002943D4">
              <w:rPr>
                <w:rFonts w:ascii="Arial" w:hAnsi="Arial" w:cs="Arial"/>
                <w:color w:val="000000"/>
                <w:sz w:val="18"/>
                <w:szCs w:val="18"/>
              </w:rPr>
              <w:t>Connecticut</w:t>
            </w:r>
          </w:p>
        </w:tc>
        <w:tc>
          <w:tcPr>
            <w:tcW w:w="1860" w:type="dxa"/>
            <w:noWrap/>
            <w:hideMark/>
          </w:tcPr>
          <w:p w14:paraId="061BE149"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$179,611 </w:t>
            </w:r>
          </w:p>
        </w:tc>
        <w:tc>
          <w:tcPr>
            <w:tcW w:w="1860" w:type="dxa"/>
            <w:noWrap/>
            <w:hideMark/>
          </w:tcPr>
          <w:p w14:paraId="769E6F4E"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$59,907 </w:t>
            </w:r>
          </w:p>
        </w:tc>
        <w:tc>
          <w:tcPr>
            <w:tcW w:w="1860" w:type="dxa"/>
            <w:noWrap/>
            <w:hideMark/>
          </w:tcPr>
          <w:p w14:paraId="3720EF9C"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$239,518 </w:t>
            </w:r>
          </w:p>
        </w:tc>
      </w:tr>
      <w:tr w:rsidR="000A21E2" w:rsidRPr="002943D4" w14:paraId="14751A8C" w14:textId="77777777" w:rsidTr="00C91E7A">
        <w:trPr>
          <w:trHeight w:val="20"/>
        </w:trPr>
        <w:tc>
          <w:tcPr>
            <w:tcW w:w="2404" w:type="dxa"/>
            <w:noWrap/>
            <w:hideMark/>
          </w:tcPr>
          <w:p w14:paraId="3F2C0F2E" w14:textId="77777777" w:rsidR="000A21E2" w:rsidRPr="002943D4" w:rsidRDefault="000A21E2" w:rsidP="00C736AC">
            <w:pPr>
              <w:rPr>
                <w:rFonts w:ascii="Arial" w:hAnsi="Arial" w:cs="Arial"/>
                <w:color w:val="000000"/>
                <w:sz w:val="18"/>
                <w:szCs w:val="18"/>
              </w:rPr>
            </w:pPr>
            <w:r w:rsidRPr="002943D4">
              <w:rPr>
                <w:rFonts w:ascii="Arial" w:hAnsi="Arial" w:cs="Arial"/>
                <w:color w:val="000000"/>
                <w:sz w:val="18"/>
                <w:szCs w:val="18"/>
              </w:rPr>
              <w:t>Delaware</w:t>
            </w:r>
          </w:p>
        </w:tc>
        <w:tc>
          <w:tcPr>
            <w:tcW w:w="1860" w:type="dxa"/>
            <w:noWrap/>
            <w:hideMark/>
          </w:tcPr>
          <w:p w14:paraId="184F3141"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$79,072 </w:t>
            </w:r>
          </w:p>
        </w:tc>
        <w:tc>
          <w:tcPr>
            <w:tcW w:w="1860" w:type="dxa"/>
            <w:noWrap/>
            <w:hideMark/>
          </w:tcPr>
          <w:p w14:paraId="3121406A"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$23,712 </w:t>
            </w:r>
          </w:p>
        </w:tc>
        <w:tc>
          <w:tcPr>
            <w:tcW w:w="1860" w:type="dxa"/>
            <w:noWrap/>
            <w:hideMark/>
          </w:tcPr>
          <w:p w14:paraId="63B0E604"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$102,784 </w:t>
            </w:r>
          </w:p>
        </w:tc>
      </w:tr>
      <w:tr w:rsidR="000A21E2" w:rsidRPr="002943D4" w14:paraId="51C622B0" w14:textId="77777777" w:rsidTr="00C91E7A">
        <w:trPr>
          <w:trHeight w:val="20"/>
        </w:trPr>
        <w:tc>
          <w:tcPr>
            <w:tcW w:w="2404" w:type="dxa"/>
            <w:noWrap/>
            <w:hideMark/>
          </w:tcPr>
          <w:p w14:paraId="6B882055" w14:textId="77777777" w:rsidR="000A21E2" w:rsidRPr="002943D4" w:rsidRDefault="000A21E2" w:rsidP="00C736AC">
            <w:pPr>
              <w:rPr>
                <w:rFonts w:ascii="Arial" w:hAnsi="Arial" w:cs="Arial"/>
                <w:color w:val="000000"/>
                <w:sz w:val="18"/>
                <w:szCs w:val="18"/>
              </w:rPr>
            </w:pPr>
            <w:r w:rsidRPr="002943D4">
              <w:rPr>
                <w:rFonts w:ascii="Arial" w:hAnsi="Arial" w:cs="Arial"/>
                <w:color w:val="000000"/>
                <w:sz w:val="18"/>
                <w:szCs w:val="18"/>
              </w:rPr>
              <w:t>District of Columbia</w:t>
            </w:r>
          </w:p>
        </w:tc>
        <w:tc>
          <w:tcPr>
            <w:tcW w:w="1860" w:type="dxa"/>
            <w:noWrap/>
            <w:hideMark/>
          </w:tcPr>
          <w:p w14:paraId="604D54EA"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$79,072 </w:t>
            </w:r>
          </w:p>
        </w:tc>
        <w:tc>
          <w:tcPr>
            <w:tcW w:w="1860" w:type="dxa"/>
            <w:noWrap/>
            <w:hideMark/>
          </w:tcPr>
          <w:p w14:paraId="11BF6E8D"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$23,712 </w:t>
            </w:r>
          </w:p>
        </w:tc>
        <w:tc>
          <w:tcPr>
            <w:tcW w:w="1860" w:type="dxa"/>
            <w:noWrap/>
            <w:hideMark/>
          </w:tcPr>
          <w:p w14:paraId="7800CD05"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$102,784 </w:t>
            </w:r>
          </w:p>
        </w:tc>
      </w:tr>
      <w:tr w:rsidR="000A21E2" w:rsidRPr="002943D4" w14:paraId="69BB5FE2" w14:textId="77777777" w:rsidTr="00C91E7A">
        <w:trPr>
          <w:trHeight w:val="20"/>
        </w:trPr>
        <w:tc>
          <w:tcPr>
            <w:tcW w:w="2404" w:type="dxa"/>
            <w:noWrap/>
            <w:hideMark/>
          </w:tcPr>
          <w:p w14:paraId="392DAD1A" w14:textId="77777777" w:rsidR="000A21E2" w:rsidRPr="002943D4" w:rsidRDefault="000A21E2" w:rsidP="00C736AC">
            <w:pPr>
              <w:rPr>
                <w:rFonts w:ascii="Arial" w:hAnsi="Arial" w:cs="Arial"/>
                <w:color w:val="000000"/>
                <w:sz w:val="18"/>
                <w:szCs w:val="18"/>
              </w:rPr>
            </w:pPr>
            <w:r w:rsidRPr="002943D4">
              <w:rPr>
                <w:rFonts w:ascii="Arial" w:hAnsi="Arial" w:cs="Arial"/>
                <w:color w:val="000000"/>
                <w:sz w:val="18"/>
                <w:szCs w:val="18"/>
              </w:rPr>
              <w:t>Florida</w:t>
            </w:r>
          </w:p>
        </w:tc>
        <w:tc>
          <w:tcPr>
            <w:tcW w:w="1860" w:type="dxa"/>
            <w:noWrap/>
            <w:hideMark/>
          </w:tcPr>
          <w:p w14:paraId="28569F41"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$1,181,028 </w:t>
            </w:r>
          </w:p>
        </w:tc>
        <w:tc>
          <w:tcPr>
            <w:tcW w:w="1860" w:type="dxa"/>
            <w:noWrap/>
            <w:hideMark/>
          </w:tcPr>
          <w:p w14:paraId="1E284E2B"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$344,252 </w:t>
            </w:r>
          </w:p>
        </w:tc>
        <w:tc>
          <w:tcPr>
            <w:tcW w:w="1860" w:type="dxa"/>
            <w:noWrap/>
            <w:hideMark/>
          </w:tcPr>
          <w:p w14:paraId="0B4B7B07"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$1,525,280 </w:t>
            </w:r>
          </w:p>
        </w:tc>
      </w:tr>
      <w:tr w:rsidR="000A21E2" w:rsidRPr="002943D4" w14:paraId="7F1E9D9B" w14:textId="77777777" w:rsidTr="00C91E7A">
        <w:trPr>
          <w:trHeight w:val="20"/>
        </w:trPr>
        <w:tc>
          <w:tcPr>
            <w:tcW w:w="2404" w:type="dxa"/>
            <w:noWrap/>
            <w:hideMark/>
          </w:tcPr>
          <w:p w14:paraId="545A3E9C" w14:textId="77777777" w:rsidR="000A21E2" w:rsidRPr="002943D4" w:rsidRDefault="000A21E2" w:rsidP="00C736AC">
            <w:pPr>
              <w:rPr>
                <w:rFonts w:ascii="Arial" w:hAnsi="Arial" w:cs="Arial"/>
                <w:color w:val="000000"/>
                <w:sz w:val="18"/>
                <w:szCs w:val="18"/>
              </w:rPr>
            </w:pPr>
            <w:r w:rsidRPr="002943D4">
              <w:rPr>
                <w:rFonts w:ascii="Arial" w:hAnsi="Arial" w:cs="Arial"/>
                <w:color w:val="000000"/>
                <w:sz w:val="18"/>
                <w:szCs w:val="18"/>
              </w:rPr>
              <w:t>Georgia</w:t>
            </w:r>
          </w:p>
        </w:tc>
        <w:tc>
          <w:tcPr>
            <w:tcW w:w="1860" w:type="dxa"/>
            <w:noWrap/>
            <w:hideMark/>
          </w:tcPr>
          <w:p w14:paraId="2520DAE3"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$421,958 </w:t>
            </w:r>
          </w:p>
        </w:tc>
        <w:tc>
          <w:tcPr>
            <w:tcW w:w="1860" w:type="dxa"/>
            <w:noWrap/>
            <w:hideMark/>
          </w:tcPr>
          <w:p w14:paraId="787A05BC"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$103,450 </w:t>
            </w:r>
          </w:p>
        </w:tc>
        <w:tc>
          <w:tcPr>
            <w:tcW w:w="1860" w:type="dxa"/>
            <w:noWrap/>
            <w:hideMark/>
          </w:tcPr>
          <w:p w14:paraId="7C3B043D"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$525,408 </w:t>
            </w:r>
          </w:p>
        </w:tc>
      </w:tr>
      <w:tr w:rsidR="000A21E2" w:rsidRPr="002943D4" w14:paraId="06ACC234" w14:textId="77777777" w:rsidTr="00C91E7A">
        <w:trPr>
          <w:trHeight w:val="20"/>
        </w:trPr>
        <w:tc>
          <w:tcPr>
            <w:tcW w:w="2404" w:type="dxa"/>
            <w:noWrap/>
            <w:hideMark/>
          </w:tcPr>
          <w:p w14:paraId="5491307A" w14:textId="77777777" w:rsidR="000A21E2" w:rsidRPr="002943D4" w:rsidRDefault="000A21E2" w:rsidP="00C736AC">
            <w:pPr>
              <w:rPr>
                <w:rFonts w:ascii="Arial" w:hAnsi="Arial" w:cs="Arial"/>
                <w:color w:val="000000"/>
                <w:sz w:val="18"/>
                <w:szCs w:val="18"/>
              </w:rPr>
            </w:pPr>
            <w:r w:rsidRPr="002943D4">
              <w:rPr>
                <w:rFonts w:ascii="Arial" w:hAnsi="Arial" w:cs="Arial"/>
                <w:color w:val="000000"/>
                <w:sz w:val="18"/>
                <w:szCs w:val="18"/>
              </w:rPr>
              <w:t>Hawaii</w:t>
            </w:r>
          </w:p>
        </w:tc>
        <w:tc>
          <w:tcPr>
            <w:tcW w:w="1860" w:type="dxa"/>
            <w:noWrap/>
            <w:hideMark/>
          </w:tcPr>
          <w:p w14:paraId="60FDAB2F"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$79,072 </w:t>
            </w:r>
          </w:p>
        </w:tc>
        <w:tc>
          <w:tcPr>
            <w:tcW w:w="1860" w:type="dxa"/>
            <w:noWrap/>
            <w:hideMark/>
          </w:tcPr>
          <w:p w14:paraId="7E9D155E"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$23,712 </w:t>
            </w:r>
          </w:p>
        </w:tc>
        <w:tc>
          <w:tcPr>
            <w:tcW w:w="1860" w:type="dxa"/>
            <w:noWrap/>
            <w:hideMark/>
          </w:tcPr>
          <w:p w14:paraId="6B49BB8B"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$102,784 </w:t>
            </w:r>
          </w:p>
        </w:tc>
      </w:tr>
      <w:tr w:rsidR="000A21E2" w:rsidRPr="002943D4" w14:paraId="405232F6" w14:textId="77777777" w:rsidTr="00C91E7A">
        <w:trPr>
          <w:trHeight w:val="20"/>
        </w:trPr>
        <w:tc>
          <w:tcPr>
            <w:tcW w:w="2404" w:type="dxa"/>
            <w:noWrap/>
            <w:hideMark/>
          </w:tcPr>
          <w:p w14:paraId="2CA2FE5D" w14:textId="77777777" w:rsidR="000A21E2" w:rsidRPr="002943D4" w:rsidRDefault="000A21E2" w:rsidP="00C736AC">
            <w:pPr>
              <w:rPr>
                <w:rFonts w:ascii="Arial" w:hAnsi="Arial" w:cs="Arial"/>
                <w:color w:val="000000"/>
                <w:sz w:val="18"/>
                <w:szCs w:val="18"/>
              </w:rPr>
            </w:pPr>
            <w:r w:rsidRPr="002943D4">
              <w:rPr>
                <w:rFonts w:ascii="Arial" w:hAnsi="Arial" w:cs="Arial"/>
                <w:color w:val="000000"/>
                <w:sz w:val="18"/>
                <w:szCs w:val="18"/>
              </w:rPr>
              <w:t>Idaho</w:t>
            </w:r>
          </w:p>
        </w:tc>
        <w:tc>
          <w:tcPr>
            <w:tcW w:w="1860" w:type="dxa"/>
            <w:noWrap/>
            <w:hideMark/>
          </w:tcPr>
          <w:p w14:paraId="0404F57A"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$79,072 </w:t>
            </w:r>
          </w:p>
        </w:tc>
        <w:tc>
          <w:tcPr>
            <w:tcW w:w="1860" w:type="dxa"/>
            <w:noWrap/>
            <w:hideMark/>
          </w:tcPr>
          <w:p w14:paraId="4D4A0BEE"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$23,712 </w:t>
            </w:r>
          </w:p>
        </w:tc>
        <w:tc>
          <w:tcPr>
            <w:tcW w:w="1860" w:type="dxa"/>
            <w:noWrap/>
            <w:hideMark/>
          </w:tcPr>
          <w:p w14:paraId="2CB895A9"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$102,784 </w:t>
            </w:r>
          </w:p>
        </w:tc>
      </w:tr>
      <w:tr w:rsidR="000A21E2" w:rsidRPr="002943D4" w14:paraId="526350AE" w14:textId="77777777" w:rsidTr="00C91E7A">
        <w:trPr>
          <w:trHeight w:val="20"/>
        </w:trPr>
        <w:tc>
          <w:tcPr>
            <w:tcW w:w="2404" w:type="dxa"/>
            <w:noWrap/>
            <w:hideMark/>
          </w:tcPr>
          <w:p w14:paraId="2C79D48B" w14:textId="77777777" w:rsidR="000A21E2" w:rsidRPr="002943D4" w:rsidRDefault="000A21E2" w:rsidP="00C736AC">
            <w:pPr>
              <w:rPr>
                <w:rFonts w:ascii="Arial" w:hAnsi="Arial" w:cs="Arial"/>
                <w:color w:val="000000"/>
                <w:sz w:val="18"/>
                <w:szCs w:val="18"/>
              </w:rPr>
            </w:pPr>
            <w:r w:rsidRPr="002943D4">
              <w:rPr>
                <w:rFonts w:ascii="Arial" w:hAnsi="Arial" w:cs="Arial"/>
                <w:color w:val="000000"/>
                <w:sz w:val="18"/>
                <w:szCs w:val="18"/>
              </w:rPr>
              <w:t>Illinois</w:t>
            </w:r>
          </w:p>
        </w:tc>
        <w:tc>
          <w:tcPr>
            <w:tcW w:w="1860" w:type="dxa"/>
            <w:noWrap/>
            <w:hideMark/>
          </w:tcPr>
          <w:p w14:paraId="58DBB5C8"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$586,928 </w:t>
            </w:r>
          </w:p>
        </w:tc>
        <w:tc>
          <w:tcPr>
            <w:tcW w:w="1860" w:type="dxa"/>
            <w:noWrap/>
            <w:hideMark/>
          </w:tcPr>
          <w:p w14:paraId="7FD998F6"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$197,384 </w:t>
            </w:r>
          </w:p>
        </w:tc>
        <w:tc>
          <w:tcPr>
            <w:tcW w:w="1860" w:type="dxa"/>
            <w:noWrap/>
            <w:hideMark/>
          </w:tcPr>
          <w:p w14:paraId="59CE175E"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$784,312 </w:t>
            </w:r>
          </w:p>
        </w:tc>
      </w:tr>
      <w:tr w:rsidR="000A21E2" w:rsidRPr="002943D4" w14:paraId="41AC0A1E" w14:textId="77777777" w:rsidTr="00C91E7A">
        <w:trPr>
          <w:trHeight w:val="20"/>
        </w:trPr>
        <w:tc>
          <w:tcPr>
            <w:tcW w:w="2404" w:type="dxa"/>
            <w:noWrap/>
            <w:hideMark/>
          </w:tcPr>
          <w:p w14:paraId="471B13C1" w14:textId="77777777" w:rsidR="000A21E2" w:rsidRPr="002943D4" w:rsidRDefault="000A21E2" w:rsidP="00C736AC">
            <w:pPr>
              <w:rPr>
                <w:rFonts w:ascii="Arial" w:hAnsi="Arial" w:cs="Arial"/>
                <w:color w:val="000000"/>
                <w:sz w:val="18"/>
                <w:szCs w:val="18"/>
              </w:rPr>
            </w:pPr>
            <w:r w:rsidRPr="002943D4">
              <w:rPr>
                <w:rFonts w:ascii="Arial" w:hAnsi="Arial" w:cs="Arial"/>
                <w:color w:val="000000"/>
                <w:sz w:val="18"/>
                <w:szCs w:val="18"/>
              </w:rPr>
              <w:t>Indiana</w:t>
            </w:r>
          </w:p>
        </w:tc>
        <w:tc>
          <w:tcPr>
            <w:tcW w:w="1860" w:type="dxa"/>
            <w:noWrap/>
            <w:hideMark/>
          </w:tcPr>
          <w:p w14:paraId="74D1A635"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$309,532 </w:t>
            </w:r>
          </w:p>
        </w:tc>
        <w:tc>
          <w:tcPr>
            <w:tcW w:w="1860" w:type="dxa"/>
            <w:noWrap/>
            <w:hideMark/>
          </w:tcPr>
          <w:p w14:paraId="29E229F4"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$98,224 </w:t>
            </w:r>
          </w:p>
        </w:tc>
        <w:tc>
          <w:tcPr>
            <w:tcW w:w="1860" w:type="dxa"/>
            <w:noWrap/>
            <w:hideMark/>
          </w:tcPr>
          <w:p w14:paraId="6470424A"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$407,756 </w:t>
            </w:r>
          </w:p>
        </w:tc>
      </w:tr>
      <w:tr w:rsidR="000A21E2" w:rsidRPr="002943D4" w14:paraId="6E0D808F" w14:textId="77777777" w:rsidTr="00C91E7A">
        <w:trPr>
          <w:trHeight w:val="20"/>
        </w:trPr>
        <w:tc>
          <w:tcPr>
            <w:tcW w:w="2404" w:type="dxa"/>
            <w:noWrap/>
            <w:hideMark/>
          </w:tcPr>
          <w:p w14:paraId="000CF6B2" w14:textId="77777777" w:rsidR="000A21E2" w:rsidRPr="002943D4" w:rsidRDefault="000A21E2" w:rsidP="00C736AC">
            <w:pPr>
              <w:rPr>
                <w:rFonts w:ascii="Arial" w:hAnsi="Arial" w:cs="Arial"/>
                <w:color w:val="000000"/>
                <w:sz w:val="18"/>
                <w:szCs w:val="18"/>
              </w:rPr>
            </w:pPr>
            <w:r w:rsidRPr="002943D4">
              <w:rPr>
                <w:rFonts w:ascii="Arial" w:hAnsi="Arial" w:cs="Arial"/>
                <w:color w:val="000000"/>
                <w:sz w:val="18"/>
                <w:szCs w:val="18"/>
              </w:rPr>
              <w:t>Iowa</w:t>
            </w:r>
          </w:p>
        </w:tc>
        <w:tc>
          <w:tcPr>
            <w:tcW w:w="1860" w:type="dxa"/>
            <w:noWrap/>
            <w:hideMark/>
          </w:tcPr>
          <w:p w14:paraId="0C60BD52"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$158,494 </w:t>
            </w:r>
          </w:p>
        </w:tc>
        <w:tc>
          <w:tcPr>
            <w:tcW w:w="1860" w:type="dxa"/>
            <w:noWrap/>
            <w:hideMark/>
          </w:tcPr>
          <w:p w14:paraId="764B9E2C"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$55,927 </w:t>
            </w:r>
          </w:p>
        </w:tc>
        <w:tc>
          <w:tcPr>
            <w:tcW w:w="1860" w:type="dxa"/>
            <w:noWrap/>
            <w:hideMark/>
          </w:tcPr>
          <w:p w14:paraId="4DFFEBFF"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$214,421 </w:t>
            </w:r>
          </w:p>
        </w:tc>
      </w:tr>
      <w:tr w:rsidR="000A21E2" w:rsidRPr="002943D4" w14:paraId="5E47B7C4" w14:textId="77777777" w:rsidTr="00C91E7A">
        <w:trPr>
          <w:trHeight w:val="20"/>
        </w:trPr>
        <w:tc>
          <w:tcPr>
            <w:tcW w:w="2404" w:type="dxa"/>
            <w:noWrap/>
            <w:hideMark/>
          </w:tcPr>
          <w:p w14:paraId="1709CF82" w14:textId="77777777" w:rsidR="000A21E2" w:rsidRPr="002943D4" w:rsidRDefault="000A21E2" w:rsidP="00C736AC">
            <w:pPr>
              <w:rPr>
                <w:rFonts w:ascii="Arial" w:hAnsi="Arial" w:cs="Arial"/>
                <w:color w:val="000000"/>
                <w:sz w:val="18"/>
                <w:szCs w:val="18"/>
              </w:rPr>
            </w:pPr>
            <w:r w:rsidRPr="002943D4">
              <w:rPr>
                <w:rFonts w:ascii="Arial" w:hAnsi="Arial" w:cs="Arial"/>
                <w:color w:val="000000"/>
                <w:sz w:val="18"/>
                <w:szCs w:val="18"/>
              </w:rPr>
              <w:t>Kansas</w:t>
            </w:r>
          </w:p>
        </w:tc>
        <w:tc>
          <w:tcPr>
            <w:tcW w:w="1860" w:type="dxa"/>
            <w:noWrap/>
            <w:hideMark/>
          </w:tcPr>
          <w:p w14:paraId="6E6A74E2"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$135,767 </w:t>
            </w:r>
          </w:p>
        </w:tc>
        <w:tc>
          <w:tcPr>
            <w:tcW w:w="1860" w:type="dxa"/>
            <w:noWrap/>
            <w:hideMark/>
          </w:tcPr>
          <w:p w14:paraId="0512E6F5"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$45,843 </w:t>
            </w:r>
          </w:p>
        </w:tc>
        <w:tc>
          <w:tcPr>
            <w:tcW w:w="1860" w:type="dxa"/>
            <w:noWrap/>
            <w:hideMark/>
          </w:tcPr>
          <w:p w14:paraId="41330B5D"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$181,610 </w:t>
            </w:r>
          </w:p>
        </w:tc>
      </w:tr>
      <w:tr w:rsidR="000A21E2" w:rsidRPr="002943D4" w14:paraId="3A2D4A5A" w14:textId="77777777" w:rsidTr="00C91E7A">
        <w:trPr>
          <w:trHeight w:val="20"/>
        </w:trPr>
        <w:tc>
          <w:tcPr>
            <w:tcW w:w="2404" w:type="dxa"/>
            <w:noWrap/>
            <w:hideMark/>
          </w:tcPr>
          <w:p w14:paraId="0061B0E6" w14:textId="77777777" w:rsidR="000A21E2" w:rsidRPr="002943D4" w:rsidRDefault="000A21E2" w:rsidP="00C736AC">
            <w:pPr>
              <w:rPr>
                <w:rFonts w:ascii="Arial" w:hAnsi="Arial" w:cs="Arial"/>
                <w:color w:val="000000"/>
                <w:sz w:val="18"/>
                <w:szCs w:val="18"/>
              </w:rPr>
            </w:pPr>
            <w:r w:rsidRPr="002943D4">
              <w:rPr>
                <w:rFonts w:ascii="Arial" w:hAnsi="Arial" w:cs="Arial"/>
                <w:color w:val="000000"/>
                <w:sz w:val="18"/>
                <w:szCs w:val="18"/>
              </w:rPr>
              <w:t>Kentucky</w:t>
            </w:r>
          </w:p>
        </w:tc>
        <w:tc>
          <w:tcPr>
            <w:tcW w:w="1860" w:type="dxa"/>
            <w:noWrap/>
            <w:hideMark/>
          </w:tcPr>
          <w:p w14:paraId="3ECC211A"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$215,060 </w:t>
            </w:r>
          </w:p>
        </w:tc>
        <w:tc>
          <w:tcPr>
            <w:tcW w:w="1860" w:type="dxa"/>
            <w:noWrap/>
            <w:hideMark/>
          </w:tcPr>
          <w:p w14:paraId="381EA91B"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$66,595 </w:t>
            </w:r>
          </w:p>
        </w:tc>
        <w:tc>
          <w:tcPr>
            <w:tcW w:w="1860" w:type="dxa"/>
            <w:noWrap/>
            <w:hideMark/>
          </w:tcPr>
          <w:p w14:paraId="0B4A3DB0"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$281,655 </w:t>
            </w:r>
          </w:p>
        </w:tc>
      </w:tr>
      <w:tr w:rsidR="000A21E2" w:rsidRPr="002943D4" w14:paraId="7439C1C6" w14:textId="77777777" w:rsidTr="00C91E7A">
        <w:trPr>
          <w:trHeight w:val="20"/>
        </w:trPr>
        <w:tc>
          <w:tcPr>
            <w:tcW w:w="2404" w:type="dxa"/>
            <w:noWrap/>
            <w:hideMark/>
          </w:tcPr>
          <w:p w14:paraId="768A281F" w14:textId="77777777" w:rsidR="000A21E2" w:rsidRPr="002943D4" w:rsidRDefault="000A21E2" w:rsidP="00C736AC">
            <w:pPr>
              <w:rPr>
                <w:rFonts w:ascii="Arial" w:hAnsi="Arial" w:cs="Arial"/>
                <w:color w:val="000000"/>
                <w:sz w:val="18"/>
                <w:szCs w:val="18"/>
              </w:rPr>
            </w:pPr>
            <w:r w:rsidRPr="002943D4">
              <w:rPr>
                <w:rFonts w:ascii="Arial" w:hAnsi="Arial" w:cs="Arial"/>
                <w:color w:val="000000"/>
                <w:sz w:val="18"/>
                <w:szCs w:val="18"/>
              </w:rPr>
              <w:t>Louisiana</w:t>
            </w:r>
          </w:p>
        </w:tc>
        <w:tc>
          <w:tcPr>
            <w:tcW w:w="1860" w:type="dxa"/>
            <w:noWrap/>
            <w:hideMark/>
          </w:tcPr>
          <w:p w14:paraId="2D322DC4"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$211,300 </w:t>
            </w:r>
          </w:p>
        </w:tc>
        <w:tc>
          <w:tcPr>
            <w:tcW w:w="1860" w:type="dxa"/>
            <w:noWrap/>
            <w:hideMark/>
          </w:tcPr>
          <w:p w14:paraId="79127F75"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$68,518 </w:t>
            </w:r>
          </w:p>
        </w:tc>
        <w:tc>
          <w:tcPr>
            <w:tcW w:w="1860" w:type="dxa"/>
            <w:noWrap/>
            <w:hideMark/>
          </w:tcPr>
          <w:p w14:paraId="55B0A1BD"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$279,818 </w:t>
            </w:r>
          </w:p>
        </w:tc>
      </w:tr>
      <w:tr w:rsidR="000A21E2" w:rsidRPr="002943D4" w14:paraId="2C3D2E99" w14:textId="77777777" w:rsidTr="00C91E7A">
        <w:trPr>
          <w:trHeight w:val="20"/>
        </w:trPr>
        <w:tc>
          <w:tcPr>
            <w:tcW w:w="2404" w:type="dxa"/>
            <w:noWrap/>
            <w:hideMark/>
          </w:tcPr>
          <w:p w14:paraId="66CBBB45" w14:textId="77777777" w:rsidR="000A21E2" w:rsidRPr="002943D4" w:rsidRDefault="000A21E2" w:rsidP="00C736AC">
            <w:pPr>
              <w:rPr>
                <w:rFonts w:ascii="Arial" w:hAnsi="Arial" w:cs="Arial"/>
                <w:color w:val="000000"/>
                <w:sz w:val="18"/>
                <w:szCs w:val="18"/>
              </w:rPr>
            </w:pPr>
            <w:r w:rsidRPr="002943D4">
              <w:rPr>
                <w:rFonts w:ascii="Arial" w:hAnsi="Arial" w:cs="Arial"/>
                <w:color w:val="000000"/>
                <w:sz w:val="18"/>
                <w:szCs w:val="18"/>
              </w:rPr>
              <w:t>Maine</w:t>
            </w:r>
          </w:p>
        </w:tc>
        <w:tc>
          <w:tcPr>
            <w:tcW w:w="1860" w:type="dxa"/>
            <w:noWrap/>
            <w:hideMark/>
          </w:tcPr>
          <w:p w14:paraId="30DC271A"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$79,448 </w:t>
            </w:r>
          </w:p>
        </w:tc>
        <w:tc>
          <w:tcPr>
            <w:tcW w:w="1860" w:type="dxa"/>
            <w:noWrap/>
            <w:hideMark/>
          </w:tcPr>
          <w:p w14:paraId="08D4CC8B"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$23,712 </w:t>
            </w:r>
          </w:p>
        </w:tc>
        <w:tc>
          <w:tcPr>
            <w:tcW w:w="1860" w:type="dxa"/>
            <w:noWrap/>
            <w:hideMark/>
          </w:tcPr>
          <w:p w14:paraId="66B79788"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$103,160 </w:t>
            </w:r>
          </w:p>
        </w:tc>
      </w:tr>
      <w:tr w:rsidR="000A21E2" w:rsidRPr="002943D4" w14:paraId="35E7A1CB" w14:textId="77777777" w:rsidTr="00C91E7A">
        <w:trPr>
          <w:trHeight w:val="20"/>
        </w:trPr>
        <w:tc>
          <w:tcPr>
            <w:tcW w:w="2404" w:type="dxa"/>
            <w:noWrap/>
            <w:hideMark/>
          </w:tcPr>
          <w:p w14:paraId="42317687" w14:textId="77777777" w:rsidR="000A21E2" w:rsidRPr="002943D4" w:rsidRDefault="000A21E2" w:rsidP="00C736AC">
            <w:pPr>
              <w:rPr>
                <w:rFonts w:ascii="Arial" w:hAnsi="Arial" w:cs="Arial"/>
                <w:color w:val="000000"/>
                <w:sz w:val="18"/>
                <w:szCs w:val="18"/>
              </w:rPr>
            </w:pPr>
            <w:r w:rsidRPr="002943D4">
              <w:rPr>
                <w:rFonts w:ascii="Arial" w:hAnsi="Arial" w:cs="Arial"/>
                <w:color w:val="000000"/>
                <w:sz w:val="18"/>
                <w:szCs w:val="18"/>
              </w:rPr>
              <w:t>Maryland</w:t>
            </w:r>
          </w:p>
        </w:tc>
        <w:tc>
          <w:tcPr>
            <w:tcW w:w="1860" w:type="dxa"/>
            <w:noWrap/>
            <w:hideMark/>
          </w:tcPr>
          <w:p w14:paraId="7E9CF5CD"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$273,372 </w:t>
            </w:r>
          </w:p>
        </w:tc>
        <w:tc>
          <w:tcPr>
            <w:tcW w:w="1860" w:type="dxa"/>
            <w:noWrap/>
            <w:hideMark/>
          </w:tcPr>
          <w:p w14:paraId="668EB4BA"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$78,087 </w:t>
            </w:r>
          </w:p>
        </w:tc>
        <w:tc>
          <w:tcPr>
            <w:tcW w:w="1860" w:type="dxa"/>
            <w:noWrap/>
            <w:hideMark/>
          </w:tcPr>
          <w:p w14:paraId="0BB83C22"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$351,459 </w:t>
            </w:r>
          </w:p>
        </w:tc>
      </w:tr>
      <w:tr w:rsidR="000A21E2" w:rsidRPr="002943D4" w14:paraId="7B7BF6D3" w14:textId="77777777" w:rsidTr="00C91E7A">
        <w:trPr>
          <w:trHeight w:val="20"/>
        </w:trPr>
        <w:tc>
          <w:tcPr>
            <w:tcW w:w="2404" w:type="dxa"/>
            <w:noWrap/>
            <w:hideMark/>
          </w:tcPr>
          <w:p w14:paraId="1236C07E" w14:textId="77777777" w:rsidR="000A21E2" w:rsidRPr="002943D4" w:rsidRDefault="000A21E2" w:rsidP="00C736AC">
            <w:pPr>
              <w:rPr>
                <w:rFonts w:ascii="Arial" w:hAnsi="Arial" w:cs="Arial"/>
                <w:color w:val="000000"/>
                <w:sz w:val="18"/>
                <w:szCs w:val="18"/>
              </w:rPr>
            </w:pPr>
            <w:r w:rsidRPr="002943D4">
              <w:rPr>
                <w:rFonts w:ascii="Arial" w:hAnsi="Arial" w:cs="Arial"/>
                <w:color w:val="000000"/>
                <w:sz w:val="18"/>
                <w:szCs w:val="18"/>
              </w:rPr>
              <w:t>Massachusetts</w:t>
            </w:r>
          </w:p>
        </w:tc>
        <w:tc>
          <w:tcPr>
            <w:tcW w:w="1860" w:type="dxa"/>
            <w:noWrap/>
            <w:hideMark/>
          </w:tcPr>
          <w:p w14:paraId="598349C9"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$331,591 </w:t>
            </w:r>
          </w:p>
        </w:tc>
        <w:tc>
          <w:tcPr>
            <w:tcW w:w="1860" w:type="dxa"/>
            <w:noWrap/>
            <w:hideMark/>
          </w:tcPr>
          <w:p w14:paraId="1CB27DB6"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$109,606 </w:t>
            </w:r>
          </w:p>
        </w:tc>
        <w:tc>
          <w:tcPr>
            <w:tcW w:w="1860" w:type="dxa"/>
            <w:noWrap/>
            <w:hideMark/>
          </w:tcPr>
          <w:p w14:paraId="068D72DB"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$441,197 </w:t>
            </w:r>
          </w:p>
        </w:tc>
      </w:tr>
      <w:tr w:rsidR="000A21E2" w:rsidRPr="002943D4" w14:paraId="63E4AB03" w14:textId="77777777" w:rsidTr="00C91E7A">
        <w:trPr>
          <w:trHeight w:val="20"/>
        </w:trPr>
        <w:tc>
          <w:tcPr>
            <w:tcW w:w="2404" w:type="dxa"/>
            <w:noWrap/>
            <w:hideMark/>
          </w:tcPr>
          <w:p w14:paraId="5DB8F07D" w14:textId="77777777" w:rsidR="000A21E2" w:rsidRPr="002943D4" w:rsidRDefault="000A21E2" w:rsidP="00C736AC">
            <w:pPr>
              <w:rPr>
                <w:rFonts w:ascii="Arial" w:hAnsi="Arial" w:cs="Arial"/>
                <w:color w:val="000000"/>
                <w:sz w:val="18"/>
                <w:szCs w:val="18"/>
              </w:rPr>
            </w:pPr>
            <w:r w:rsidRPr="002943D4">
              <w:rPr>
                <w:rFonts w:ascii="Arial" w:hAnsi="Arial" w:cs="Arial"/>
                <w:color w:val="000000"/>
                <w:sz w:val="18"/>
                <w:szCs w:val="18"/>
              </w:rPr>
              <w:t>Michigan</w:t>
            </w:r>
          </w:p>
        </w:tc>
        <w:tc>
          <w:tcPr>
            <w:tcW w:w="1860" w:type="dxa"/>
            <w:noWrap/>
            <w:hideMark/>
          </w:tcPr>
          <w:p w14:paraId="1AEEE4B9"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$503,370 </w:t>
            </w:r>
          </w:p>
        </w:tc>
        <w:tc>
          <w:tcPr>
            <w:tcW w:w="1860" w:type="dxa"/>
            <w:noWrap/>
            <w:hideMark/>
          </w:tcPr>
          <w:p w14:paraId="59C9439B"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$160,862 </w:t>
            </w:r>
          </w:p>
        </w:tc>
        <w:tc>
          <w:tcPr>
            <w:tcW w:w="1860" w:type="dxa"/>
            <w:noWrap/>
            <w:hideMark/>
          </w:tcPr>
          <w:p w14:paraId="19336634"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$664,232 </w:t>
            </w:r>
          </w:p>
        </w:tc>
      </w:tr>
      <w:tr w:rsidR="000A21E2" w:rsidRPr="002943D4" w14:paraId="204BD4C4" w14:textId="77777777" w:rsidTr="00C91E7A">
        <w:trPr>
          <w:trHeight w:val="20"/>
        </w:trPr>
        <w:tc>
          <w:tcPr>
            <w:tcW w:w="2404" w:type="dxa"/>
            <w:noWrap/>
            <w:hideMark/>
          </w:tcPr>
          <w:p w14:paraId="56816EED" w14:textId="77777777" w:rsidR="000A21E2" w:rsidRPr="002943D4" w:rsidRDefault="000A21E2" w:rsidP="00C736AC">
            <w:pPr>
              <w:rPr>
                <w:rFonts w:ascii="Arial" w:hAnsi="Arial" w:cs="Arial"/>
                <w:color w:val="000000"/>
                <w:sz w:val="18"/>
                <w:szCs w:val="18"/>
              </w:rPr>
            </w:pPr>
            <w:r w:rsidRPr="002943D4">
              <w:rPr>
                <w:rFonts w:ascii="Arial" w:hAnsi="Arial" w:cs="Arial"/>
                <w:color w:val="000000"/>
                <w:sz w:val="18"/>
                <w:szCs w:val="18"/>
              </w:rPr>
              <w:t>Minnesota</w:t>
            </w:r>
          </w:p>
        </w:tc>
        <w:tc>
          <w:tcPr>
            <w:tcW w:w="1860" w:type="dxa"/>
            <w:noWrap/>
            <w:hideMark/>
          </w:tcPr>
          <w:p w14:paraId="3E8955F6"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$258,928 </w:t>
            </w:r>
          </w:p>
        </w:tc>
        <w:tc>
          <w:tcPr>
            <w:tcW w:w="1860" w:type="dxa"/>
            <w:noWrap/>
            <w:hideMark/>
          </w:tcPr>
          <w:p w14:paraId="35B38C5E"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$76,347 </w:t>
            </w:r>
          </w:p>
        </w:tc>
        <w:tc>
          <w:tcPr>
            <w:tcW w:w="1860" w:type="dxa"/>
            <w:noWrap/>
            <w:hideMark/>
          </w:tcPr>
          <w:p w14:paraId="441CCF5C"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$335,275 </w:t>
            </w:r>
          </w:p>
        </w:tc>
      </w:tr>
      <w:tr w:rsidR="000A21E2" w:rsidRPr="002943D4" w14:paraId="71774AE7" w14:textId="77777777" w:rsidTr="00C91E7A">
        <w:trPr>
          <w:trHeight w:val="20"/>
        </w:trPr>
        <w:tc>
          <w:tcPr>
            <w:tcW w:w="2404" w:type="dxa"/>
            <w:noWrap/>
            <w:hideMark/>
          </w:tcPr>
          <w:p w14:paraId="182E1C9A" w14:textId="77777777" w:rsidR="000A21E2" w:rsidRPr="002943D4" w:rsidRDefault="000A21E2" w:rsidP="00C736AC">
            <w:pPr>
              <w:rPr>
                <w:rFonts w:ascii="Arial" w:hAnsi="Arial" w:cs="Arial"/>
                <w:color w:val="000000"/>
                <w:sz w:val="18"/>
                <w:szCs w:val="18"/>
              </w:rPr>
            </w:pPr>
            <w:r w:rsidRPr="002943D4">
              <w:rPr>
                <w:rFonts w:ascii="Arial" w:hAnsi="Arial" w:cs="Arial"/>
                <w:color w:val="000000"/>
                <w:sz w:val="18"/>
                <w:szCs w:val="18"/>
              </w:rPr>
              <w:t>Mississippi</w:t>
            </w:r>
          </w:p>
        </w:tc>
        <w:tc>
          <w:tcPr>
            <w:tcW w:w="1860" w:type="dxa"/>
            <w:noWrap/>
            <w:hideMark/>
          </w:tcPr>
          <w:p w14:paraId="3C0BF8AB"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$139,902 </w:t>
            </w:r>
          </w:p>
        </w:tc>
        <w:tc>
          <w:tcPr>
            <w:tcW w:w="1860" w:type="dxa"/>
            <w:noWrap/>
            <w:hideMark/>
          </w:tcPr>
          <w:p w14:paraId="324F7EDB"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$45,198 </w:t>
            </w:r>
          </w:p>
        </w:tc>
        <w:tc>
          <w:tcPr>
            <w:tcW w:w="1860" w:type="dxa"/>
            <w:noWrap/>
            <w:hideMark/>
          </w:tcPr>
          <w:p w14:paraId="2EC25D05"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$185,100 </w:t>
            </w:r>
          </w:p>
        </w:tc>
      </w:tr>
      <w:tr w:rsidR="000A21E2" w:rsidRPr="002943D4" w14:paraId="28312179" w14:textId="77777777" w:rsidTr="00C91E7A">
        <w:trPr>
          <w:trHeight w:val="20"/>
        </w:trPr>
        <w:tc>
          <w:tcPr>
            <w:tcW w:w="2404" w:type="dxa"/>
            <w:noWrap/>
            <w:hideMark/>
          </w:tcPr>
          <w:p w14:paraId="088161B4" w14:textId="77777777" w:rsidR="000A21E2" w:rsidRPr="002943D4" w:rsidRDefault="000A21E2" w:rsidP="00C736AC">
            <w:pPr>
              <w:rPr>
                <w:rFonts w:ascii="Arial" w:hAnsi="Arial" w:cs="Arial"/>
                <w:color w:val="000000"/>
                <w:sz w:val="18"/>
                <w:szCs w:val="18"/>
              </w:rPr>
            </w:pPr>
            <w:r w:rsidRPr="002943D4">
              <w:rPr>
                <w:rFonts w:ascii="Arial" w:hAnsi="Arial" w:cs="Arial"/>
                <w:color w:val="000000"/>
                <w:sz w:val="18"/>
                <w:szCs w:val="18"/>
              </w:rPr>
              <w:t>Missouri</w:t>
            </w:r>
          </w:p>
        </w:tc>
        <w:tc>
          <w:tcPr>
            <w:tcW w:w="1860" w:type="dxa"/>
            <w:noWrap/>
            <w:hideMark/>
          </w:tcPr>
          <w:p w14:paraId="668DEB83"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$301,499 </w:t>
            </w:r>
          </w:p>
        </w:tc>
        <w:tc>
          <w:tcPr>
            <w:tcW w:w="1860" w:type="dxa"/>
            <w:noWrap/>
            <w:hideMark/>
          </w:tcPr>
          <w:p w14:paraId="6D90F879"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$97,643 </w:t>
            </w:r>
          </w:p>
        </w:tc>
        <w:tc>
          <w:tcPr>
            <w:tcW w:w="1860" w:type="dxa"/>
            <w:noWrap/>
            <w:hideMark/>
          </w:tcPr>
          <w:p w14:paraId="6D992BC5"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$399,142 </w:t>
            </w:r>
          </w:p>
        </w:tc>
      </w:tr>
      <w:tr w:rsidR="000A21E2" w:rsidRPr="002943D4" w14:paraId="1E5BE231" w14:textId="77777777" w:rsidTr="00C91E7A">
        <w:trPr>
          <w:trHeight w:val="20"/>
        </w:trPr>
        <w:tc>
          <w:tcPr>
            <w:tcW w:w="2404" w:type="dxa"/>
            <w:noWrap/>
            <w:hideMark/>
          </w:tcPr>
          <w:p w14:paraId="7FDDF100" w14:textId="77777777" w:rsidR="000A21E2" w:rsidRPr="002943D4" w:rsidRDefault="000A21E2" w:rsidP="00C736AC">
            <w:pPr>
              <w:rPr>
                <w:rFonts w:ascii="Arial" w:hAnsi="Arial" w:cs="Arial"/>
                <w:color w:val="000000"/>
                <w:sz w:val="18"/>
                <w:szCs w:val="18"/>
              </w:rPr>
            </w:pPr>
            <w:r w:rsidRPr="002943D4">
              <w:rPr>
                <w:rFonts w:ascii="Arial" w:hAnsi="Arial" w:cs="Arial"/>
                <w:color w:val="000000"/>
                <w:sz w:val="18"/>
                <w:szCs w:val="18"/>
              </w:rPr>
              <w:t>Montana</w:t>
            </w:r>
          </w:p>
        </w:tc>
        <w:tc>
          <w:tcPr>
            <w:tcW w:w="1860" w:type="dxa"/>
            <w:noWrap/>
            <w:hideMark/>
          </w:tcPr>
          <w:p w14:paraId="0073893C"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$79,072 </w:t>
            </w:r>
          </w:p>
        </w:tc>
        <w:tc>
          <w:tcPr>
            <w:tcW w:w="1860" w:type="dxa"/>
            <w:noWrap/>
            <w:hideMark/>
          </w:tcPr>
          <w:p w14:paraId="6B647C90"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$23,712 </w:t>
            </w:r>
          </w:p>
        </w:tc>
        <w:tc>
          <w:tcPr>
            <w:tcW w:w="1860" w:type="dxa"/>
            <w:noWrap/>
            <w:hideMark/>
          </w:tcPr>
          <w:p w14:paraId="090BA23E"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$102,784 </w:t>
            </w:r>
          </w:p>
        </w:tc>
      </w:tr>
      <w:tr w:rsidR="000A21E2" w:rsidRPr="002943D4" w14:paraId="3156785B" w14:textId="77777777" w:rsidTr="00C91E7A">
        <w:trPr>
          <w:trHeight w:val="20"/>
        </w:trPr>
        <w:tc>
          <w:tcPr>
            <w:tcW w:w="2404" w:type="dxa"/>
            <w:noWrap/>
            <w:hideMark/>
          </w:tcPr>
          <w:p w14:paraId="46013815" w14:textId="77777777" w:rsidR="000A21E2" w:rsidRPr="002943D4" w:rsidRDefault="000A21E2" w:rsidP="00C736AC">
            <w:pPr>
              <w:rPr>
                <w:rFonts w:ascii="Arial" w:hAnsi="Arial" w:cs="Arial"/>
                <w:color w:val="000000"/>
                <w:sz w:val="18"/>
                <w:szCs w:val="18"/>
              </w:rPr>
            </w:pPr>
            <w:r w:rsidRPr="002943D4">
              <w:rPr>
                <w:rFonts w:ascii="Arial" w:hAnsi="Arial" w:cs="Arial"/>
                <w:color w:val="000000"/>
                <w:sz w:val="18"/>
                <w:szCs w:val="18"/>
              </w:rPr>
              <w:t>Nebraska</w:t>
            </w:r>
          </w:p>
        </w:tc>
        <w:tc>
          <w:tcPr>
            <w:tcW w:w="1860" w:type="dxa"/>
            <w:noWrap/>
            <w:hideMark/>
          </w:tcPr>
          <w:p w14:paraId="37D16601"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$88,662 </w:t>
            </w:r>
          </w:p>
        </w:tc>
        <w:tc>
          <w:tcPr>
            <w:tcW w:w="1860" w:type="dxa"/>
            <w:noWrap/>
            <w:hideMark/>
          </w:tcPr>
          <w:p w14:paraId="77430F2C"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$29,770 </w:t>
            </w:r>
          </w:p>
        </w:tc>
        <w:tc>
          <w:tcPr>
            <w:tcW w:w="1860" w:type="dxa"/>
            <w:noWrap/>
            <w:hideMark/>
          </w:tcPr>
          <w:p w14:paraId="62AA10E1"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$118,432 </w:t>
            </w:r>
          </w:p>
        </w:tc>
      </w:tr>
      <w:tr w:rsidR="000A21E2" w:rsidRPr="002943D4" w14:paraId="5A046E94" w14:textId="77777777" w:rsidTr="00C91E7A">
        <w:trPr>
          <w:trHeight w:val="20"/>
        </w:trPr>
        <w:tc>
          <w:tcPr>
            <w:tcW w:w="2404" w:type="dxa"/>
            <w:noWrap/>
            <w:hideMark/>
          </w:tcPr>
          <w:p w14:paraId="5D54151F" w14:textId="77777777" w:rsidR="000A21E2" w:rsidRPr="002943D4" w:rsidRDefault="000A21E2" w:rsidP="00C736AC">
            <w:pPr>
              <w:rPr>
                <w:rFonts w:ascii="Arial" w:hAnsi="Arial" w:cs="Arial"/>
                <w:color w:val="000000"/>
                <w:sz w:val="18"/>
                <w:szCs w:val="18"/>
              </w:rPr>
            </w:pPr>
            <w:r w:rsidRPr="002943D4">
              <w:rPr>
                <w:rFonts w:ascii="Arial" w:hAnsi="Arial" w:cs="Arial"/>
                <w:color w:val="000000"/>
                <w:sz w:val="18"/>
                <w:szCs w:val="18"/>
              </w:rPr>
              <w:t>Nevada</w:t>
            </w:r>
          </w:p>
        </w:tc>
        <w:tc>
          <w:tcPr>
            <w:tcW w:w="1860" w:type="dxa"/>
            <w:noWrap/>
            <w:hideMark/>
          </w:tcPr>
          <w:p w14:paraId="7DBB2CD6"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$133,897 </w:t>
            </w:r>
          </w:p>
        </w:tc>
        <w:tc>
          <w:tcPr>
            <w:tcW w:w="1860" w:type="dxa"/>
            <w:noWrap/>
            <w:hideMark/>
          </w:tcPr>
          <w:p w14:paraId="10B40123"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$32,827 </w:t>
            </w:r>
          </w:p>
        </w:tc>
        <w:tc>
          <w:tcPr>
            <w:tcW w:w="1860" w:type="dxa"/>
            <w:noWrap/>
            <w:hideMark/>
          </w:tcPr>
          <w:p w14:paraId="649C44B3"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$166,724 </w:t>
            </w:r>
          </w:p>
        </w:tc>
      </w:tr>
      <w:tr w:rsidR="000A21E2" w:rsidRPr="002943D4" w14:paraId="608A7E68" w14:textId="77777777" w:rsidTr="00C91E7A">
        <w:trPr>
          <w:trHeight w:val="20"/>
        </w:trPr>
        <w:tc>
          <w:tcPr>
            <w:tcW w:w="2404" w:type="dxa"/>
            <w:noWrap/>
            <w:hideMark/>
          </w:tcPr>
          <w:p w14:paraId="7712FEA7" w14:textId="77777777" w:rsidR="000A21E2" w:rsidRPr="002943D4" w:rsidRDefault="000A21E2" w:rsidP="00C736AC">
            <w:pPr>
              <w:rPr>
                <w:rFonts w:ascii="Arial" w:hAnsi="Arial" w:cs="Arial"/>
                <w:color w:val="000000"/>
                <w:sz w:val="18"/>
                <w:szCs w:val="18"/>
              </w:rPr>
            </w:pPr>
            <w:r w:rsidRPr="002943D4">
              <w:rPr>
                <w:rFonts w:ascii="Arial" w:hAnsi="Arial" w:cs="Arial"/>
                <w:color w:val="000000"/>
                <w:sz w:val="18"/>
                <w:szCs w:val="18"/>
              </w:rPr>
              <w:t>New Hampshire</w:t>
            </w:r>
          </w:p>
        </w:tc>
        <w:tc>
          <w:tcPr>
            <w:tcW w:w="1860" w:type="dxa"/>
            <w:noWrap/>
            <w:hideMark/>
          </w:tcPr>
          <w:p w14:paraId="2EC0332C"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$79,072 </w:t>
            </w:r>
          </w:p>
        </w:tc>
        <w:tc>
          <w:tcPr>
            <w:tcW w:w="1860" w:type="dxa"/>
            <w:noWrap/>
            <w:hideMark/>
          </w:tcPr>
          <w:p w14:paraId="1E77E50B"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$23,712 </w:t>
            </w:r>
          </w:p>
        </w:tc>
        <w:tc>
          <w:tcPr>
            <w:tcW w:w="1860" w:type="dxa"/>
            <w:noWrap/>
            <w:hideMark/>
          </w:tcPr>
          <w:p w14:paraId="789AAA77"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$102,784 </w:t>
            </w:r>
          </w:p>
        </w:tc>
      </w:tr>
      <w:tr w:rsidR="000A21E2" w:rsidRPr="002943D4" w14:paraId="32873763" w14:textId="77777777" w:rsidTr="00C91E7A">
        <w:trPr>
          <w:trHeight w:val="20"/>
        </w:trPr>
        <w:tc>
          <w:tcPr>
            <w:tcW w:w="2404" w:type="dxa"/>
            <w:noWrap/>
            <w:hideMark/>
          </w:tcPr>
          <w:p w14:paraId="3C203A44" w14:textId="77777777" w:rsidR="000A21E2" w:rsidRPr="002943D4" w:rsidRDefault="000A21E2" w:rsidP="00C736AC">
            <w:pPr>
              <w:rPr>
                <w:rFonts w:ascii="Arial" w:hAnsi="Arial" w:cs="Arial"/>
                <w:color w:val="000000"/>
                <w:sz w:val="18"/>
                <w:szCs w:val="18"/>
              </w:rPr>
            </w:pPr>
            <w:r w:rsidRPr="002943D4">
              <w:rPr>
                <w:rFonts w:ascii="Arial" w:hAnsi="Arial" w:cs="Arial"/>
                <w:color w:val="000000"/>
                <w:sz w:val="18"/>
                <w:szCs w:val="18"/>
              </w:rPr>
              <w:t>New Jersey</w:t>
            </w:r>
          </w:p>
        </w:tc>
        <w:tc>
          <w:tcPr>
            <w:tcW w:w="1860" w:type="dxa"/>
            <w:noWrap/>
            <w:hideMark/>
          </w:tcPr>
          <w:p w14:paraId="3B681E6A"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$425,463 </w:t>
            </w:r>
          </w:p>
        </w:tc>
        <w:tc>
          <w:tcPr>
            <w:tcW w:w="1860" w:type="dxa"/>
            <w:noWrap/>
            <w:hideMark/>
          </w:tcPr>
          <w:p w14:paraId="2463AEF0"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$143,950 </w:t>
            </w:r>
          </w:p>
        </w:tc>
        <w:tc>
          <w:tcPr>
            <w:tcW w:w="1860" w:type="dxa"/>
            <w:noWrap/>
            <w:hideMark/>
          </w:tcPr>
          <w:p w14:paraId="1F3AEC48"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$569,413 </w:t>
            </w:r>
          </w:p>
        </w:tc>
      </w:tr>
      <w:tr w:rsidR="000A21E2" w:rsidRPr="002943D4" w14:paraId="44FF70CA" w14:textId="77777777" w:rsidTr="00C91E7A">
        <w:trPr>
          <w:trHeight w:val="20"/>
        </w:trPr>
        <w:tc>
          <w:tcPr>
            <w:tcW w:w="2404" w:type="dxa"/>
            <w:noWrap/>
            <w:hideMark/>
          </w:tcPr>
          <w:p w14:paraId="08649168" w14:textId="77777777" w:rsidR="000A21E2" w:rsidRPr="002943D4" w:rsidRDefault="000A21E2" w:rsidP="00C736AC">
            <w:pPr>
              <w:rPr>
                <w:rFonts w:ascii="Arial" w:hAnsi="Arial" w:cs="Arial"/>
                <w:color w:val="000000"/>
                <w:sz w:val="18"/>
                <w:szCs w:val="18"/>
              </w:rPr>
            </w:pPr>
            <w:r w:rsidRPr="002943D4">
              <w:rPr>
                <w:rFonts w:ascii="Arial" w:hAnsi="Arial" w:cs="Arial"/>
                <w:color w:val="000000"/>
                <w:sz w:val="18"/>
                <w:szCs w:val="18"/>
              </w:rPr>
              <w:t>New Mexico</w:t>
            </w:r>
          </w:p>
        </w:tc>
        <w:tc>
          <w:tcPr>
            <w:tcW w:w="1860" w:type="dxa"/>
            <w:noWrap/>
            <w:hideMark/>
          </w:tcPr>
          <w:p w14:paraId="152AFE5A"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$102,596 </w:t>
            </w:r>
          </w:p>
        </w:tc>
        <w:tc>
          <w:tcPr>
            <w:tcW w:w="1860" w:type="dxa"/>
            <w:noWrap/>
            <w:hideMark/>
          </w:tcPr>
          <w:p w14:paraId="2D6C85AF"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$26,393 </w:t>
            </w:r>
          </w:p>
        </w:tc>
        <w:tc>
          <w:tcPr>
            <w:tcW w:w="1860" w:type="dxa"/>
            <w:noWrap/>
            <w:hideMark/>
          </w:tcPr>
          <w:p w14:paraId="37514CE3"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$128,989 </w:t>
            </w:r>
          </w:p>
        </w:tc>
      </w:tr>
      <w:tr w:rsidR="000A21E2" w:rsidRPr="002943D4" w14:paraId="5FFA4619" w14:textId="77777777" w:rsidTr="00C91E7A">
        <w:trPr>
          <w:trHeight w:val="20"/>
        </w:trPr>
        <w:tc>
          <w:tcPr>
            <w:tcW w:w="2404" w:type="dxa"/>
            <w:noWrap/>
            <w:hideMark/>
          </w:tcPr>
          <w:p w14:paraId="1696C46F" w14:textId="77777777" w:rsidR="000A21E2" w:rsidRPr="002943D4" w:rsidRDefault="000A21E2" w:rsidP="00C736AC">
            <w:pPr>
              <w:rPr>
                <w:rFonts w:ascii="Arial" w:hAnsi="Arial" w:cs="Arial"/>
                <w:color w:val="000000"/>
                <w:sz w:val="18"/>
                <w:szCs w:val="18"/>
              </w:rPr>
            </w:pPr>
            <w:r w:rsidRPr="002943D4">
              <w:rPr>
                <w:rFonts w:ascii="Arial" w:hAnsi="Arial" w:cs="Arial"/>
                <w:color w:val="000000"/>
                <w:sz w:val="18"/>
                <w:szCs w:val="18"/>
              </w:rPr>
              <w:t>New York</w:t>
            </w:r>
          </w:p>
        </w:tc>
        <w:tc>
          <w:tcPr>
            <w:tcW w:w="1860" w:type="dxa"/>
            <w:noWrap/>
            <w:hideMark/>
          </w:tcPr>
          <w:p w14:paraId="30FAA201"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$937,811 </w:t>
            </w:r>
          </w:p>
        </w:tc>
        <w:tc>
          <w:tcPr>
            <w:tcW w:w="1860" w:type="dxa"/>
            <w:noWrap/>
            <w:hideMark/>
          </w:tcPr>
          <w:p w14:paraId="1A25C560"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$318,066 </w:t>
            </w:r>
          </w:p>
        </w:tc>
        <w:tc>
          <w:tcPr>
            <w:tcW w:w="1860" w:type="dxa"/>
            <w:noWrap/>
            <w:hideMark/>
          </w:tcPr>
          <w:p w14:paraId="3611B284"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$1,255,877 </w:t>
            </w:r>
          </w:p>
        </w:tc>
      </w:tr>
      <w:tr w:rsidR="000A21E2" w:rsidRPr="002943D4" w14:paraId="185B570D" w14:textId="77777777" w:rsidTr="00C91E7A">
        <w:trPr>
          <w:trHeight w:val="20"/>
        </w:trPr>
        <w:tc>
          <w:tcPr>
            <w:tcW w:w="2404" w:type="dxa"/>
            <w:noWrap/>
            <w:hideMark/>
          </w:tcPr>
          <w:p w14:paraId="1F600640" w14:textId="77777777" w:rsidR="000A21E2" w:rsidRPr="002943D4" w:rsidRDefault="000A21E2" w:rsidP="00C736AC">
            <w:pPr>
              <w:rPr>
                <w:rFonts w:ascii="Arial" w:hAnsi="Arial" w:cs="Arial"/>
                <w:color w:val="000000"/>
                <w:sz w:val="18"/>
                <w:szCs w:val="18"/>
              </w:rPr>
            </w:pPr>
            <w:r w:rsidRPr="002943D4">
              <w:rPr>
                <w:rFonts w:ascii="Arial" w:hAnsi="Arial" w:cs="Arial"/>
                <w:color w:val="000000"/>
                <w:sz w:val="18"/>
                <w:szCs w:val="18"/>
              </w:rPr>
              <w:t>North Carolina</w:t>
            </w:r>
          </w:p>
        </w:tc>
        <w:tc>
          <w:tcPr>
            <w:tcW w:w="1860" w:type="dxa"/>
            <w:noWrap/>
            <w:hideMark/>
          </w:tcPr>
          <w:p w14:paraId="41DC7E92"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$479,833 </w:t>
            </w:r>
          </w:p>
        </w:tc>
        <w:tc>
          <w:tcPr>
            <w:tcW w:w="1860" w:type="dxa"/>
            <w:noWrap/>
            <w:hideMark/>
          </w:tcPr>
          <w:p w14:paraId="42F07F28"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$126,782 </w:t>
            </w:r>
          </w:p>
        </w:tc>
        <w:tc>
          <w:tcPr>
            <w:tcW w:w="1860" w:type="dxa"/>
            <w:noWrap/>
            <w:hideMark/>
          </w:tcPr>
          <w:p w14:paraId="1F4AEC63"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$606,615 </w:t>
            </w:r>
          </w:p>
        </w:tc>
      </w:tr>
      <w:tr w:rsidR="000A21E2" w:rsidRPr="002943D4" w14:paraId="4DFA1DEE" w14:textId="77777777" w:rsidTr="00C91E7A">
        <w:trPr>
          <w:trHeight w:val="20"/>
        </w:trPr>
        <w:tc>
          <w:tcPr>
            <w:tcW w:w="2404" w:type="dxa"/>
            <w:noWrap/>
            <w:hideMark/>
          </w:tcPr>
          <w:p w14:paraId="03275356" w14:textId="77777777" w:rsidR="000A21E2" w:rsidRPr="002943D4" w:rsidRDefault="000A21E2" w:rsidP="00C736AC">
            <w:pPr>
              <w:rPr>
                <w:rFonts w:ascii="Arial" w:hAnsi="Arial" w:cs="Arial"/>
                <w:color w:val="000000"/>
                <w:sz w:val="18"/>
                <w:szCs w:val="18"/>
              </w:rPr>
            </w:pPr>
            <w:r w:rsidRPr="002943D4">
              <w:rPr>
                <w:rFonts w:ascii="Arial" w:hAnsi="Arial" w:cs="Arial"/>
                <w:color w:val="000000"/>
                <w:sz w:val="18"/>
                <w:szCs w:val="18"/>
              </w:rPr>
              <w:t>North Dakota</w:t>
            </w:r>
          </w:p>
        </w:tc>
        <w:tc>
          <w:tcPr>
            <w:tcW w:w="1860" w:type="dxa"/>
            <w:noWrap/>
            <w:hideMark/>
          </w:tcPr>
          <w:p w14:paraId="16B4B3E8"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$79,072 </w:t>
            </w:r>
          </w:p>
        </w:tc>
        <w:tc>
          <w:tcPr>
            <w:tcW w:w="1860" w:type="dxa"/>
            <w:noWrap/>
            <w:hideMark/>
          </w:tcPr>
          <w:p w14:paraId="2D667E76"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$23,712 </w:t>
            </w:r>
          </w:p>
        </w:tc>
        <w:tc>
          <w:tcPr>
            <w:tcW w:w="1860" w:type="dxa"/>
            <w:noWrap/>
            <w:hideMark/>
          </w:tcPr>
          <w:p w14:paraId="500E41AB"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$102,784 </w:t>
            </w:r>
          </w:p>
        </w:tc>
      </w:tr>
      <w:tr w:rsidR="000A21E2" w:rsidRPr="002943D4" w14:paraId="151A2D0C" w14:textId="77777777" w:rsidTr="00C91E7A">
        <w:trPr>
          <w:trHeight w:val="20"/>
        </w:trPr>
        <w:tc>
          <w:tcPr>
            <w:tcW w:w="2404" w:type="dxa"/>
            <w:noWrap/>
            <w:hideMark/>
          </w:tcPr>
          <w:p w14:paraId="0F5B0104" w14:textId="77777777" w:rsidR="000A21E2" w:rsidRPr="002943D4" w:rsidRDefault="000A21E2" w:rsidP="00C736AC">
            <w:pPr>
              <w:rPr>
                <w:rFonts w:ascii="Arial" w:hAnsi="Arial" w:cs="Arial"/>
                <w:color w:val="000000"/>
                <w:sz w:val="18"/>
                <w:szCs w:val="18"/>
              </w:rPr>
            </w:pPr>
            <w:r w:rsidRPr="002943D4">
              <w:rPr>
                <w:rFonts w:ascii="Arial" w:hAnsi="Arial" w:cs="Arial"/>
                <w:color w:val="000000"/>
                <w:sz w:val="18"/>
                <w:szCs w:val="18"/>
              </w:rPr>
              <w:t>Ohio</w:t>
            </w:r>
          </w:p>
        </w:tc>
        <w:tc>
          <w:tcPr>
            <w:tcW w:w="1860" w:type="dxa"/>
            <w:noWrap/>
            <w:hideMark/>
          </w:tcPr>
          <w:p w14:paraId="3142A9DB"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$586,793 </w:t>
            </w:r>
          </w:p>
        </w:tc>
        <w:tc>
          <w:tcPr>
            <w:tcW w:w="1860" w:type="dxa"/>
            <w:noWrap/>
            <w:hideMark/>
          </w:tcPr>
          <w:p w14:paraId="657B0143"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$197,185 </w:t>
            </w:r>
          </w:p>
        </w:tc>
        <w:tc>
          <w:tcPr>
            <w:tcW w:w="1860" w:type="dxa"/>
            <w:noWrap/>
            <w:hideMark/>
          </w:tcPr>
          <w:p w14:paraId="3AEC44DA"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$783,978 </w:t>
            </w:r>
          </w:p>
        </w:tc>
      </w:tr>
      <w:tr w:rsidR="000A21E2" w:rsidRPr="002943D4" w14:paraId="75B98D4E" w14:textId="77777777" w:rsidTr="00C91E7A">
        <w:trPr>
          <w:trHeight w:val="20"/>
        </w:trPr>
        <w:tc>
          <w:tcPr>
            <w:tcW w:w="2404" w:type="dxa"/>
            <w:noWrap/>
            <w:hideMark/>
          </w:tcPr>
          <w:p w14:paraId="283EF4A3" w14:textId="77777777" w:rsidR="000A21E2" w:rsidRPr="002943D4" w:rsidRDefault="000A21E2" w:rsidP="00C736AC">
            <w:pPr>
              <w:rPr>
                <w:rFonts w:ascii="Arial" w:hAnsi="Arial" w:cs="Arial"/>
                <w:color w:val="000000"/>
                <w:sz w:val="18"/>
                <w:szCs w:val="18"/>
              </w:rPr>
            </w:pPr>
            <w:r w:rsidRPr="002943D4">
              <w:rPr>
                <w:rFonts w:ascii="Arial" w:hAnsi="Arial" w:cs="Arial"/>
                <w:color w:val="000000"/>
                <w:sz w:val="18"/>
                <w:szCs w:val="18"/>
              </w:rPr>
              <w:t>Oklahoma</w:t>
            </w:r>
          </w:p>
        </w:tc>
        <w:tc>
          <w:tcPr>
            <w:tcW w:w="1860" w:type="dxa"/>
            <w:noWrap/>
            <w:hideMark/>
          </w:tcPr>
          <w:p w14:paraId="123BCB70"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$182,045 </w:t>
            </w:r>
          </w:p>
        </w:tc>
        <w:tc>
          <w:tcPr>
            <w:tcW w:w="1860" w:type="dxa"/>
            <w:noWrap/>
            <w:hideMark/>
          </w:tcPr>
          <w:p w14:paraId="1AF84056"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$60,208 </w:t>
            </w:r>
          </w:p>
        </w:tc>
        <w:tc>
          <w:tcPr>
            <w:tcW w:w="1860" w:type="dxa"/>
            <w:noWrap/>
            <w:hideMark/>
          </w:tcPr>
          <w:p w14:paraId="40C8E302"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$242,253 </w:t>
            </w:r>
          </w:p>
        </w:tc>
      </w:tr>
      <w:tr w:rsidR="000A21E2" w:rsidRPr="002943D4" w14:paraId="3814E9C0" w14:textId="77777777" w:rsidTr="00C91E7A">
        <w:trPr>
          <w:trHeight w:val="20"/>
        </w:trPr>
        <w:tc>
          <w:tcPr>
            <w:tcW w:w="2404" w:type="dxa"/>
            <w:noWrap/>
            <w:hideMark/>
          </w:tcPr>
          <w:p w14:paraId="6A6ED169" w14:textId="77777777" w:rsidR="000A21E2" w:rsidRPr="002943D4" w:rsidRDefault="000A21E2" w:rsidP="00C736AC">
            <w:pPr>
              <w:rPr>
                <w:rFonts w:ascii="Arial" w:hAnsi="Arial" w:cs="Arial"/>
                <w:color w:val="000000"/>
                <w:sz w:val="18"/>
                <w:szCs w:val="18"/>
              </w:rPr>
            </w:pPr>
            <w:r w:rsidRPr="002943D4">
              <w:rPr>
                <w:rFonts w:ascii="Arial" w:hAnsi="Arial" w:cs="Arial"/>
                <w:color w:val="000000"/>
                <w:sz w:val="18"/>
                <w:szCs w:val="18"/>
              </w:rPr>
              <w:t>Oregon</w:t>
            </w:r>
          </w:p>
        </w:tc>
        <w:tc>
          <w:tcPr>
            <w:tcW w:w="1860" w:type="dxa"/>
            <w:noWrap/>
            <w:hideMark/>
          </w:tcPr>
          <w:p w14:paraId="38648E86"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$211,238 </w:t>
            </w:r>
          </w:p>
        </w:tc>
        <w:tc>
          <w:tcPr>
            <w:tcW w:w="1860" w:type="dxa"/>
            <w:noWrap/>
            <w:hideMark/>
          </w:tcPr>
          <w:p w14:paraId="04BC7B4E"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$56,795 </w:t>
            </w:r>
          </w:p>
        </w:tc>
        <w:tc>
          <w:tcPr>
            <w:tcW w:w="1860" w:type="dxa"/>
            <w:noWrap/>
            <w:hideMark/>
          </w:tcPr>
          <w:p w14:paraId="4DD323E5"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$268,033 </w:t>
            </w:r>
          </w:p>
        </w:tc>
      </w:tr>
      <w:tr w:rsidR="000A21E2" w:rsidRPr="002943D4" w14:paraId="6946E1A5" w14:textId="77777777" w:rsidTr="00C91E7A">
        <w:trPr>
          <w:trHeight w:val="20"/>
        </w:trPr>
        <w:tc>
          <w:tcPr>
            <w:tcW w:w="2404" w:type="dxa"/>
            <w:noWrap/>
            <w:hideMark/>
          </w:tcPr>
          <w:p w14:paraId="15583143" w14:textId="77777777" w:rsidR="000A21E2" w:rsidRPr="002943D4" w:rsidRDefault="000A21E2" w:rsidP="00C736AC">
            <w:pPr>
              <w:rPr>
                <w:rFonts w:ascii="Arial" w:hAnsi="Arial" w:cs="Arial"/>
                <w:color w:val="000000"/>
                <w:sz w:val="18"/>
                <w:szCs w:val="18"/>
              </w:rPr>
            </w:pPr>
            <w:r w:rsidRPr="002943D4">
              <w:rPr>
                <w:rFonts w:ascii="Arial" w:hAnsi="Arial" w:cs="Arial"/>
                <w:color w:val="000000"/>
                <w:sz w:val="18"/>
                <w:szCs w:val="18"/>
              </w:rPr>
              <w:t>Pennsylvania</w:t>
            </w:r>
          </w:p>
        </w:tc>
        <w:tc>
          <w:tcPr>
            <w:tcW w:w="1860" w:type="dxa"/>
            <w:noWrap/>
            <w:hideMark/>
          </w:tcPr>
          <w:p w14:paraId="736687E4"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$684,715 </w:t>
            </w:r>
          </w:p>
        </w:tc>
        <w:tc>
          <w:tcPr>
            <w:tcW w:w="1860" w:type="dxa"/>
            <w:noWrap/>
            <w:hideMark/>
          </w:tcPr>
          <w:p w14:paraId="3F782AA4"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$242,944 </w:t>
            </w:r>
          </w:p>
        </w:tc>
        <w:tc>
          <w:tcPr>
            <w:tcW w:w="1860" w:type="dxa"/>
            <w:noWrap/>
            <w:hideMark/>
          </w:tcPr>
          <w:p w14:paraId="0008B651"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$927,659 </w:t>
            </w:r>
          </w:p>
        </w:tc>
      </w:tr>
      <w:tr w:rsidR="000A21E2" w:rsidRPr="002943D4" w14:paraId="35802CCF" w14:textId="77777777" w:rsidTr="00C91E7A">
        <w:trPr>
          <w:trHeight w:val="20"/>
        </w:trPr>
        <w:tc>
          <w:tcPr>
            <w:tcW w:w="2404" w:type="dxa"/>
            <w:noWrap/>
            <w:hideMark/>
          </w:tcPr>
          <w:p w14:paraId="5F4B54D4" w14:textId="77777777" w:rsidR="000A21E2" w:rsidRPr="002943D4" w:rsidRDefault="000A21E2" w:rsidP="00C736AC">
            <w:pPr>
              <w:rPr>
                <w:rFonts w:ascii="Arial" w:hAnsi="Arial" w:cs="Arial"/>
                <w:color w:val="000000"/>
                <w:sz w:val="18"/>
                <w:szCs w:val="18"/>
              </w:rPr>
            </w:pPr>
            <w:r w:rsidRPr="002943D4">
              <w:rPr>
                <w:rFonts w:ascii="Arial" w:hAnsi="Arial" w:cs="Arial"/>
                <w:color w:val="000000"/>
                <w:sz w:val="18"/>
                <w:szCs w:val="18"/>
              </w:rPr>
              <w:t>Rhode Island</w:t>
            </w:r>
          </w:p>
        </w:tc>
        <w:tc>
          <w:tcPr>
            <w:tcW w:w="1860" w:type="dxa"/>
            <w:noWrap/>
            <w:hideMark/>
          </w:tcPr>
          <w:p w14:paraId="680220FB"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$79,072 </w:t>
            </w:r>
          </w:p>
        </w:tc>
        <w:tc>
          <w:tcPr>
            <w:tcW w:w="1860" w:type="dxa"/>
            <w:noWrap/>
            <w:hideMark/>
          </w:tcPr>
          <w:p w14:paraId="34B82077"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$23,712 </w:t>
            </w:r>
          </w:p>
        </w:tc>
        <w:tc>
          <w:tcPr>
            <w:tcW w:w="1860" w:type="dxa"/>
            <w:noWrap/>
            <w:hideMark/>
          </w:tcPr>
          <w:p w14:paraId="16C2428F"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$102,784 </w:t>
            </w:r>
          </w:p>
        </w:tc>
      </w:tr>
      <w:tr w:rsidR="000A21E2" w:rsidRPr="002943D4" w14:paraId="66DC0735" w14:textId="77777777" w:rsidTr="00C91E7A">
        <w:trPr>
          <w:trHeight w:val="20"/>
        </w:trPr>
        <w:tc>
          <w:tcPr>
            <w:tcW w:w="2404" w:type="dxa"/>
            <w:noWrap/>
            <w:hideMark/>
          </w:tcPr>
          <w:p w14:paraId="1143D845" w14:textId="77777777" w:rsidR="000A21E2" w:rsidRPr="002943D4" w:rsidRDefault="000A21E2" w:rsidP="00C736AC">
            <w:pPr>
              <w:rPr>
                <w:rFonts w:ascii="Arial" w:hAnsi="Arial" w:cs="Arial"/>
                <w:color w:val="000000"/>
                <w:sz w:val="18"/>
                <w:szCs w:val="18"/>
              </w:rPr>
            </w:pPr>
            <w:r w:rsidRPr="002943D4">
              <w:rPr>
                <w:rFonts w:ascii="Arial" w:hAnsi="Arial" w:cs="Arial"/>
                <w:color w:val="000000"/>
                <w:sz w:val="18"/>
                <w:szCs w:val="18"/>
              </w:rPr>
              <w:t>South Carolina</w:t>
            </w:r>
          </w:p>
        </w:tc>
        <w:tc>
          <w:tcPr>
            <w:tcW w:w="1860" w:type="dxa"/>
            <w:noWrap/>
            <w:hideMark/>
          </w:tcPr>
          <w:p w14:paraId="72CC8516"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$250,794 </w:t>
            </w:r>
          </w:p>
        </w:tc>
        <w:tc>
          <w:tcPr>
            <w:tcW w:w="1860" w:type="dxa"/>
            <w:noWrap/>
            <w:hideMark/>
          </w:tcPr>
          <w:p w14:paraId="2B1A9BC6"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$63,080 </w:t>
            </w:r>
          </w:p>
        </w:tc>
        <w:tc>
          <w:tcPr>
            <w:tcW w:w="1860" w:type="dxa"/>
            <w:noWrap/>
            <w:hideMark/>
          </w:tcPr>
          <w:p w14:paraId="36D6BB4B"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$313,874 </w:t>
            </w:r>
          </w:p>
        </w:tc>
      </w:tr>
      <w:tr w:rsidR="000A21E2" w:rsidRPr="002943D4" w14:paraId="227A8AEB" w14:textId="77777777" w:rsidTr="00C91E7A">
        <w:trPr>
          <w:trHeight w:val="20"/>
        </w:trPr>
        <w:tc>
          <w:tcPr>
            <w:tcW w:w="2404" w:type="dxa"/>
            <w:noWrap/>
            <w:hideMark/>
          </w:tcPr>
          <w:p w14:paraId="220D69BA" w14:textId="77777777" w:rsidR="000A21E2" w:rsidRPr="002943D4" w:rsidRDefault="000A21E2" w:rsidP="00C736AC">
            <w:pPr>
              <w:rPr>
                <w:rFonts w:ascii="Arial" w:hAnsi="Arial" w:cs="Arial"/>
                <w:color w:val="000000"/>
                <w:sz w:val="18"/>
                <w:szCs w:val="18"/>
              </w:rPr>
            </w:pPr>
            <w:r w:rsidRPr="002943D4">
              <w:rPr>
                <w:rFonts w:ascii="Arial" w:hAnsi="Arial" w:cs="Arial"/>
                <w:color w:val="000000"/>
                <w:sz w:val="18"/>
                <w:szCs w:val="18"/>
              </w:rPr>
              <w:t>South Dakota</w:t>
            </w:r>
          </w:p>
        </w:tc>
        <w:tc>
          <w:tcPr>
            <w:tcW w:w="1860" w:type="dxa"/>
            <w:noWrap/>
            <w:hideMark/>
          </w:tcPr>
          <w:p w14:paraId="779DC681"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$79,072 </w:t>
            </w:r>
          </w:p>
        </w:tc>
        <w:tc>
          <w:tcPr>
            <w:tcW w:w="1860" w:type="dxa"/>
            <w:noWrap/>
            <w:hideMark/>
          </w:tcPr>
          <w:p w14:paraId="7AD53D11"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$23,712 </w:t>
            </w:r>
          </w:p>
        </w:tc>
        <w:tc>
          <w:tcPr>
            <w:tcW w:w="1860" w:type="dxa"/>
            <w:noWrap/>
            <w:hideMark/>
          </w:tcPr>
          <w:p w14:paraId="6194BF44"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$102,784 </w:t>
            </w:r>
          </w:p>
        </w:tc>
      </w:tr>
      <w:tr w:rsidR="000A21E2" w:rsidRPr="002943D4" w14:paraId="4D35E604" w14:textId="77777777" w:rsidTr="00C91E7A">
        <w:trPr>
          <w:trHeight w:val="20"/>
        </w:trPr>
        <w:tc>
          <w:tcPr>
            <w:tcW w:w="2404" w:type="dxa"/>
            <w:noWrap/>
            <w:hideMark/>
          </w:tcPr>
          <w:p w14:paraId="52300C79" w14:textId="77777777" w:rsidR="000A21E2" w:rsidRPr="002943D4" w:rsidRDefault="000A21E2" w:rsidP="00C736AC">
            <w:pPr>
              <w:rPr>
                <w:rFonts w:ascii="Arial" w:hAnsi="Arial" w:cs="Arial"/>
                <w:color w:val="000000"/>
                <w:sz w:val="18"/>
                <w:szCs w:val="18"/>
              </w:rPr>
            </w:pPr>
            <w:r w:rsidRPr="002943D4">
              <w:rPr>
                <w:rFonts w:ascii="Arial" w:hAnsi="Arial" w:cs="Arial"/>
                <w:color w:val="000000"/>
                <w:sz w:val="18"/>
                <w:szCs w:val="18"/>
              </w:rPr>
              <w:t>Tennessee</w:t>
            </w:r>
          </w:p>
        </w:tc>
        <w:tc>
          <w:tcPr>
            <w:tcW w:w="1860" w:type="dxa"/>
            <w:noWrap/>
            <w:hideMark/>
          </w:tcPr>
          <w:p w14:paraId="185B5327"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$322,105 </w:t>
            </w:r>
          </w:p>
        </w:tc>
        <w:tc>
          <w:tcPr>
            <w:tcW w:w="1860" w:type="dxa"/>
            <w:noWrap/>
            <w:hideMark/>
          </w:tcPr>
          <w:p w14:paraId="0291C6CE"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$91,810 </w:t>
            </w:r>
          </w:p>
        </w:tc>
        <w:tc>
          <w:tcPr>
            <w:tcW w:w="1860" w:type="dxa"/>
            <w:noWrap/>
            <w:hideMark/>
          </w:tcPr>
          <w:p w14:paraId="2D8472D3"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$413,915 </w:t>
            </w:r>
          </w:p>
        </w:tc>
      </w:tr>
      <w:tr w:rsidR="000A21E2" w:rsidRPr="002943D4" w14:paraId="17E57A48" w14:textId="77777777" w:rsidTr="00C91E7A">
        <w:trPr>
          <w:trHeight w:val="20"/>
        </w:trPr>
        <w:tc>
          <w:tcPr>
            <w:tcW w:w="2404" w:type="dxa"/>
            <w:noWrap/>
            <w:hideMark/>
          </w:tcPr>
          <w:p w14:paraId="27C5FE5F" w14:textId="77777777" w:rsidR="000A21E2" w:rsidRPr="002943D4" w:rsidRDefault="000A21E2" w:rsidP="00C736AC">
            <w:pPr>
              <w:rPr>
                <w:rFonts w:ascii="Arial" w:hAnsi="Arial" w:cs="Arial"/>
                <w:color w:val="000000"/>
                <w:sz w:val="18"/>
                <w:szCs w:val="18"/>
              </w:rPr>
            </w:pPr>
            <w:r w:rsidRPr="002943D4">
              <w:rPr>
                <w:rFonts w:ascii="Arial" w:hAnsi="Arial" w:cs="Arial"/>
                <w:color w:val="000000"/>
                <w:sz w:val="18"/>
                <w:szCs w:val="18"/>
              </w:rPr>
              <w:t>Texas</w:t>
            </w:r>
          </w:p>
        </w:tc>
        <w:tc>
          <w:tcPr>
            <w:tcW w:w="1860" w:type="dxa"/>
            <w:noWrap/>
            <w:hideMark/>
          </w:tcPr>
          <w:p w14:paraId="71BC50F5"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$1,046,876 </w:t>
            </w:r>
          </w:p>
        </w:tc>
        <w:tc>
          <w:tcPr>
            <w:tcW w:w="1860" w:type="dxa"/>
            <w:noWrap/>
            <w:hideMark/>
          </w:tcPr>
          <w:p w14:paraId="607ACE06"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$274,281 </w:t>
            </w:r>
          </w:p>
        </w:tc>
        <w:tc>
          <w:tcPr>
            <w:tcW w:w="1860" w:type="dxa"/>
            <w:noWrap/>
            <w:hideMark/>
          </w:tcPr>
          <w:p w14:paraId="623EA24E"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$1,321,157 </w:t>
            </w:r>
          </w:p>
        </w:tc>
      </w:tr>
      <w:tr w:rsidR="000A21E2" w:rsidRPr="002943D4" w14:paraId="63B7D836" w14:textId="77777777" w:rsidTr="00C91E7A">
        <w:trPr>
          <w:trHeight w:val="20"/>
        </w:trPr>
        <w:tc>
          <w:tcPr>
            <w:tcW w:w="2404" w:type="dxa"/>
            <w:noWrap/>
            <w:hideMark/>
          </w:tcPr>
          <w:p w14:paraId="5990DDDE" w14:textId="77777777" w:rsidR="000A21E2" w:rsidRPr="002943D4" w:rsidRDefault="000A21E2" w:rsidP="00C736AC">
            <w:pPr>
              <w:rPr>
                <w:rFonts w:ascii="Arial" w:hAnsi="Arial" w:cs="Arial"/>
                <w:color w:val="000000"/>
                <w:sz w:val="18"/>
                <w:szCs w:val="18"/>
              </w:rPr>
            </w:pPr>
            <w:r w:rsidRPr="002943D4">
              <w:rPr>
                <w:rFonts w:ascii="Arial" w:hAnsi="Arial" w:cs="Arial"/>
                <w:color w:val="000000"/>
                <w:sz w:val="18"/>
                <w:szCs w:val="18"/>
              </w:rPr>
              <w:t>Utah</w:t>
            </w:r>
          </w:p>
        </w:tc>
        <w:tc>
          <w:tcPr>
            <w:tcW w:w="1860" w:type="dxa"/>
            <w:noWrap/>
            <w:hideMark/>
          </w:tcPr>
          <w:p w14:paraId="259C72F4"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$99,455 </w:t>
            </w:r>
          </w:p>
        </w:tc>
        <w:tc>
          <w:tcPr>
            <w:tcW w:w="1860" w:type="dxa"/>
            <w:noWrap/>
            <w:hideMark/>
          </w:tcPr>
          <w:p w14:paraId="7DF2C44B"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$24,837 </w:t>
            </w:r>
          </w:p>
        </w:tc>
        <w:tc>
          <w:tcPr>
            <w:tcW w:w="1860" w:type="dxa"/>
            <w:noWrap/>
            <w:hideMark/>
          </w:tcPr>
          <w:p w14:paraId="6561604A"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$124,292 </w:t>
            </w:r>
          </w:p>
        </w:tc>
      </w:tr>
      <w:tr w:rsidR="000A21E2" w:rsidRPr="002943D4" w14:paraId="4A802EEB" w14:textId="77777777" w:rsidTr="00C91E7A">
        <w:trPr>
          <w:trHeight w:val="20"/>
        </w:trPr>
        <w:tc>
          <w:tcPr>
            <w:tcW w:w="2404" w:type="dxa"/>
            <w:noWrap/>
            <w:hideMark/>
          </w:tcPr>
          <w:p w14:paraId="1EEE8DF3" w14:textId="77777777" w:rsidR="000A21E2" w:rsidRPr="002943D4" w:rsidRDefault="000A21E2" w:rsidP="00C736AC">
            <w:pPr>
              <w:rPr>
                <w:rFonts w:ascii="Arial" w:hAnsi="Arial" w:cs="Arial"/>
                <w:color w:val="000000"/>
                <w:sz w:val="18"/>
                <w:szCs w:val="18"/>
              </w:rPr>
            </w:pPr>
            <w:r w:rsidRPr="002943D4">
              <w:rPr>
                <w:rFonts w:ascii="Arial" w:hAnsi="Arial" w:cs="Arial"/>
                <w:color w:val="000000"/>
                <w:sz w:val="18"/>
                <w:szCs w:val="18"/>
              </w:rPr>
              <w:t>Vermont</w:t>
            </w:r>
          </w:p>
        </w:tc>
        <w:tc>
          <w:tcPr>
            <w:tcW w:w="1860" w:type="dxa"/>
            <w:noWrap/>
            <w:hideMark/>
          </w:tcPr>
          <w:p w14:paraId="40C86032"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$79,072 </w:t>
            </w:r>
          </w:p>
        </w:tc>
        <w:tc>
          <w:tcPr>
            <w:tcW w:w="1860" w:type="dxa"/>
            <w:noWrap/>
            <w:hideMark/>
          </w:tcPr>
          <w:p w14:paraId="621F2B7D"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$23,712 </w:t>
            </w:r>
          </w:p>
        </w:tc>
        <w:tc>
          <w:tcPr>
            <w:tcW w:w="1860" w:type="dxa"/>
            <w:noWrap/>
            <w:hideMark/>
          </w:tcPr>
          <w:p w14:paraId="60D445A2"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$102,784 </w:t>
            </w:r>
          </w:p>
        </w:tc>
      </w:tr>
      <w:tr w:rsidR="000A21E2" w:rsidRPr="002943D4" w14:paraId="3B0E4655" w14:textId="77777777" w:rsidTr="00C91E7A">
        <w:trPr>
          <w:trHeight w:val="20"/>
        </w:trPr>
        <w:tc>
          <w:tcPr>
            <w:tcW w:w="2404" w:type="dxa"/>
            <w:noWrap/>
            <w:hideMark/>
          </w:tcPr>
          <w:p w14:paraId="3294C9C2" w14:textId="77777777" w:rsidR="000A21E2" w:rsidRPr="002943D4" w:rsidRDefault="000A21E2" w:rsidP="00C736AC">
            <w:pPr>
              <w:rPr>
                <w:rFonts w:ascii="Arial" w:hAnsi="Arial" w:cs="Arial"/>
                <w:color w:val="000000"/>
                <w:sz w:val="18"/>
                <w:szCs w:val="18"/>
              </w:rPr>
            </w:pPr>
            <w:r w:rsidRPr="002943D4">
              <w:rPr>
                <w:rFonts w:ascii="Arial" w:hAnsi="Arial" w:cs="Arial"/>
                <w:color w:val="000000"/>
                <w:sz w:val="18"/>
                <w:szCs w:val="18"/>
              </w:rPr>
              <w:t>Virginia</w:t>
            </w:r>
          </w:p>
        </w:tc>
        <w:tc>
          <w:tcPr>
            <w:tcW w:w="1860" w:type="dxa"/>
            <w:noWrap/>
            <w:hideMark/>
          </w:tcPr>
          <w:p w14:paraId="110CEFE5"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$380,213 </w:t>
            </w:r>
          </w:p>
        </w:tc>
        <w:tc>
          <w:tcPr>
            <w:tcW w:w="1860" w:type="dxa"/>
            <w:noWrap/>
            <w:hideMark/>
          </w:tcPr>
          <w:p w14:paraId="385BE48E"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$102,820 </w:t>
            </w:r>
          </w:p>
        </w:tc>
        <w:tc>
          <w:tcPr>
            <w:tcW w:w="1860" w:type="dxa"/>
            <w:noWrap/>
            <w:hideMark/>
          </w:tcPr>
          <w:p w14:paraId="385BF68D"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$483,033 </w:t>
            </w:r>
          </w:p>
        </w:tc>
      </w:tr>
      <w:tr w:rsidR="000A21E2" w:rsidRPr="002943D4" w14:paraId="780ED234" w14:textId="77777777" w:rsidTr="00C91E7A">
        <w:trPr>
          <w:trHeight w:val="20"/>
        </w:trPr>
        <w:tc>
          <w:tcPr>
            <w:tcW w:w="2404" w:type="dxa"/>
            <w:noWrap/>
            <w:hideMark/>
          </w:tcPr>
          <w:p w14:paraId="2DACECD1" w14:textId="77777777" w:rsidR="000A21E2" w:rsidRPr="002943D4" w:rsidRDefault="000A21E2" w:rsidP="00C736AC">
            <w:pPr>
              <w:rPr>
                <w:rFonts w:ascii="Arial" w:hAnsi="Arial" w:cs="Arial"/>
                <w:color w:val="000000"/>
                <w:sz w:val="18"/>
                <w:szCs w:val="18"/>
              </w:rPr>
            </w:pPr>
            <w:r w:rsidRPr="002943D4">
              <w:rPr>
                <w:rFonts w:ascii="Arial" w:hAnsi="Arial" w:cs="Arial"/>
                <w:color w:val="000000"/>
                <w:sz w:val="18"/>
                <w:szCs w:val="18"/>
              </w:rPr>
              <w:t>Washington</w:t>
            </w:r>
          </w:p>
        </w:tc>
        <w:tc>
          <w:tcPr>
            <w:tcW w:w="1860" w:type="dxa"/>
            <w:noWrap/>
            <w:hideMark/>
          </w:tcPr>
          <w:p w14:paraId="5E05E1C5"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$335,213 </w:t>
            </w:r>
          </w:p>
        </w:tc>
        <w:tc>
          <w:tcPr>
            <w:tcW w:w="1860" w:type="dxa"/>
            <w:noWrap/>
            <w:hideMark/>
          </w:tcPr>
          <w:p w14:paraId="22B32639"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$86,291 </w:t>
            </w:r>
          </w:p>
        </w:tc>
        <w:tc>
          <w:tcPr>
            <w:tcW w:w="1860" w:type="dxa"/>
            <w:noWrap/>
            <w:hideMark/>
          </w:tcPr>
          <w:p w14:paraId="4DCE2283"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$421,504 </w:t>
            </w:r>
          </w:p>
        </w:tc>
      </w:tr>
      <w:tr w:rsidR="000A21E2" w:rsidRPr="002943D4" w14:paraId="2EFDD0F5" w14:textId="77777777" w:rsidTr="00C91E7A">
        <w:trPr>
          <w:trHeight w:val="20"/>
        </w:trPr>
        <w:tc>
          <w:tcPr>
            <w:tcW w:w="2404" w:type="dxa"/>
            <w:noWrap/>
            <w:hideMark/>
          </w:tcPr>
          <w:p w14:paraId="6BA31431" w14:textId="77777777" w:rsidR="000A21E2" w:rsidRPr="002943D4" w:rsidRDefault="000A21E2" w:rsidP="00C736AC">
            <w:pPr>
              <w:rPr>
                <w:rFonts w:ascii="Arial" w:hAnsi="Arial" w:cs="Arial"/>
                <w:color w:val="000000"/>
                <w:sz w:val="18"/>
                <w:szCs w:val="18"/>
              </w:rPr>
            </w:pPr>
            <w:r w:rsidRPr="002943D4">
              <w:rPr>
                <w:rFonts w:ascii="Arial" w:hAnsi="Arial" w:cs="Arial"/>
                <w:color w:val="000000"/>
                <w:sz w:val="18"/>
                <w:szCs w:val="18"/>
              </w:rPr>
              <w:t>West Virginia</w:t>
            </w:r>
          </w:p>
        </w:tc>
        <w:tc>
          <w:tcPr>
            <w:tcW w:w="1860" w:type="dxa"/>
            <w:noWrap/>
            <w:hideMark/>
          </w:tcPr>
          <w:p w14:paraId="6A4A8D04"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$106,066 </w:t>
            </w:r>
          </w:p>
        </w:tc>
        <w:tc>
          <w:tcPr>
            <w:tcW w:w="1860" w:type="dxa"/>
            <w:noWrap/>
            <w:hideMark/>
          </w:tcPr>
          <w:p w14:paraId="4910BDFA"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$36,736 </w:t>
            </w:r>
          </w:p>
        </w:tc>
        <w:tc>
          <w:tcPr>
            <w:tcW w:w="1860" w:type="dxa"/>
            <w:noWrap/>
            <w:hideMark/>
          </w:tcPr>
          <w:p w14:paraId="2254EC66"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$142,802 </w:t>
            </w:r>
          </w:p>
        </w:tc>
      </w:tr>
      <w:tr w:rsidR="000A21E2" w:rsidRPr="002943D4" w14:paraId="586CDE69" w14:textId="77777777" w:rsidTr="00C91E7A">
        <w:trPr>
          <w:trHeight w:val="20"/>
        </w:trPr>
        <w:tc>
          <w:tcPr>
            <w:tcW w:w="2404" w:type="dxa"/>
            <w:noWrap/>
            <w:hideMark/>
          </w:tcPr>
          <w:p w14:paraId="5A4620EB" w14:textId="77777777" w:rsidR="000A21E2" w:rsidRPr="002943D4" w:rsidRDefault="000A21E2" w:rsidP="00C736AC">
            <w:pPr>
              <w:rPr>
                <w:rFonts w:ascii="Arial" w:hAnsi="Arial" w:cs="Arial"/>
                <w:color w:val="000000"/>
                <w:sz w:val="18"/>
                <w:szCs w:val="18"/>
              </w:rPr>
            </w:pPr>
            <w:r w:rsidRPr="002943D4">
              <w:rPr>
                <w:rFonts w:ascii="Arial" w:hAnsi="Arial" w:cs="Arial"/>
                <w:color w:val="000000"/>
                <w:sz w:val="18"/>
                <w:szCs w:val="18"/>
              </w:rPr>
              <w:t>Wisconsin</w:t>
            </w:r>
          </w:p>
        </w:tc>
        <w:tc>
          <w:tcPr>
            <w:tcW w:w="1860" w:type="dxa"/>
            <w:noWrap/>
            <w:hideMark/>
          </w:tcPr>
          <w:p w14:paraId="4F69B003"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$288,676 </w:t>
            </w:r>
          </w:p>
        </w:tc>
        <w:tc>
          <w:tcPr>
            <w:tcW w:w="1860" w:type="dxa"/>
            <w:noWrap/>
            <w:hideMark/>
          </w:tcPr>
          <w:p w14:paraId="2492385C"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$90,309 </w:t>
            </w:r>
          </w:p>
        </w:tc>
        <w:tc>
          <w:tcPr>
            <w:tcW w:w="1860" w:type="dxa"/>
            <w:noWrap/>
            <w:hideMark/>
          </w:tcPr>
          <w:p w14:paraId="1888F006"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$378,985 </w:t>
            </w:r>
          </w:p>
        </w:tc>
      </w:tr>
      <w:tr w:rsidR="000A21E2" w:rsidRPr="002943D4" w14:paraId="2D006A9F" w14:textId="77777777" w:rsidTr="00C91E7A">
        <w:trPr>
          <w:trHeight w:val="20"/>
        </w:trPr>
        <w:tc>
          <w:tcPr>
            <w:tcW w:w="2404" w:type="dxa"/>
            <w:noWrap/>
            <w:hideMark/>
          </w:tcPr>
          <w:p w14:paraId="639D3FE1" w14:textId="77777777" w:rsidR="000A21E2" w:rsidRPr="002943D4" w:rsidRDefault="000A21E2" w:rsidP="00C736AC">
            <w:pPr>
              <w:rPr>
                <w:rFonts w:ascii="Arial" w:hAnsi="Arial" w:cs="Arial"/>
                <w:color w:val="000000"/>
                <w:sz w:val="18"/>
                <w:szCs w:val="18"/>
              </w:rPr>
            </w:pPr>
            <w:r w:rsidRPr="002943D4">
              <w:rPr>
                <w:rFonts w:ascii="Arial" w:hAnsi="Arial" w:cs="Arial"/>
                <w:color w:val="000000"/>
                <w:sz w:val="18"/>
                <w:szCs w:val="18"/>
              </w:rPr>
              <w:t>Wyoming</w:t>
            </w:r>
          </w:p>
        </w:tc>
        <w:tc>
          <w:tcPr>
            <w:tcW w:w="1860" w:type="dxa"/>
            <w:noWrap/>
            <w:hideMark/>
          </w:tcPr>
          <w:p w14:paraId="22A87D7F"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$79,072 </w:t>
            </w:r>
          </w:p>
        </w:tc>
        <w:tc>
          <w:tcPr>
            <w:tcW w:w="1860" w:type="dxa"/>
            <w:noWrap/>
            <w:hideMark/>
          </w:tcPr>
          <w:p w14:paraId="34E3340C"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$23,712 </w:t>
            </w:r>
          </w:p>
        </w:tc>
        <w:tc>
          <w:tcPr>
            <w:tcW w:w="1860" w:type="dxa"/>
            <w:noWrap/>
            <w:hideMark/>
          </w:tcPr>
          <w:p w14:paraId="0B509212"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$102,784 </w:t>
            </w:r>
          </w:p>
        </w:tc>
      </w:tr>
      <w:tr w:rsidR="000A21E2" w:rsidRPr="002943D4" w14:paraId="22FBC772" w14:textId="77777777" w:rsidTr="00C91E7A">
        <w:trPr>
          <w:trHeight w:val="20"/>
        </w:trPr>
        <w:tc>
          <w:tcPr>
            <w:tcW w:w="2404" w:type="dxa"/>
            <w:noWrap/>
            <w:hideMark/>
          </w:tcPr>
          <w:p w14:paraId="04072471" w14:textId="77777777" w:rsidR="000A21E2" w:rsidRPr="002943D4" w:rsidRDefault="000A21E2" w:rsidP="00C736AC">
            <w:pPr>
              <w:rPr>
                <w:rFonts w:ascii="Arial" w:hAnsi="Arial" w:cs="Arial"/>
                <w:color w:val="000000"/>
                <w:sz w:val="18"/>
                <w:szCs w:val="18"/>
              </w:rPr>
            </w:pPr>
            <w:r w:rsidRPr="002943D4">
              <w:rPr>
                <w:rFonts w:ascii="Arial" w:hAnsi="Arial" w:cs="Arial"/>
                <w:color w:val="000000"/>
                <w:sz w:val="18"/>
                <w:szCs w:val="18"/>
              </w:rPr>
              <w:t>American Samoa</w:t>
            </w:r>
          </w:p>
        </w:tc>
        <w:tc>
          <w:tcPr>
            <w:tcW w:w="1860" w:type="dxa"/>
            <w:noWrap/>
            <w:hideMark/>
          </w:tcPr>
          <w:p w14:paraId="210DABE4"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$9,884 </w:t>
            </w:r>
          </w:p>
        </w:tc>
        <w:tc>
          <w:tcPr>
            <w:tcW w:w="1860" w:type="dxa"/>
            <w:noWrap/>
            <w:hideMark/>
          </w:tcPr>
          <w:p w14:paraId="2487FD15"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$2,964 </w:t>
            </w:r>
          </w:p>
        </w:tc>
        <w:tc>
          <w:tcPr>
            <w:tcW w:w="1860" w:type="dxa"/>
            <w:noWrap/>
            <w:hideMark/>
          </w:tcPr>
          <w:p w14:paraId="1004CB66"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$12,848 </w:t>
            </w:r>
          </w:p>
        </w:tc>
      </w:tr>
      <w:tr w:rsidR="000A21E2" w:rsidRPr="002943D4" w14:paraId="1414000A" w14:textId="77777777" w:rsidTr="00C91E7A">
        <w:trPr>
          <w:trHeight w:val="20"/>
        </w:trPr>
        <w:tc>
          <w:tcPr>
            <w:tcW w:w="2404" w:type="dxa"/>
            <w:noWrap/>
            <w:hideMark/>
          </w:tcPr>
          <w:p w14:paraId="301F2D84" w14:textId="77777777" w:rsidR="000A21E2" w:rsidRPr="002943D4" w:rsidRDefault="000A21E2" w:rsidP="00C736AC">
            <w:pPr>
              <w:rPr>
                <w:rFonts w:ascii="Arial" w:hAnsi="Arial" w:cs="Arial"/>
                <w:color w:val="000000"/>
                <w:sz w:val="18"/>
                <w:szCs w:val="18"/>
              </w:rPr>
            </w:pPr>
            <w:r w:rsidRPr="002943D4">
              <w:rPr>
                <w:rFonts w:ascii="Arial" w:hAnsi="Arial" w:cs="Arial"/>
                <w:color w:val="000000"/>
                <w:sz w:val="18"/>
                <w:szCs w:val="18"/>
              </w:rPr>
              <w:t>Guam</w:t>
            </w:r>
          </w:p>
        </w:tc>
        <w:tc>
          <w:tcPr>
            <w:tcW w:w="1860" w:type="dxa"/>
            <w:noWrap/>
            <w:hideMark/>
          </w:tcPr>
          <w:p w14:paraId="3721F745"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$39,536 </w:t>
            </w:r>
          </w:p>
        </w:tc>
        <w:tc>
          <w:tcPr>
            <w:tcW w:w="1860" w:type="dxa"/>
            <w:noWrap/>
            <w:hideMark/>
          </w:tcPr>
          <w:p w14:paraId="2D17F57F"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$11,856 </w:t>
            </w:r>
          </w:p>
        </w:tc>
        <w:tc>
          <w:tcPr>
            <w:tcW w:w="1860" w:type="dxa"/>
            <w:noWrap/>
            <w:hideMark/>
          </w:tcPr>
          <w:p w14:paraId="0B31E467"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$51,392 </w:t>
            </w:r>
          </w:p>
        </w:tc>
      </w:tr>
      <w:tr w:rsidR="000A21E2" w:rsidRPr="002943D4" w14:paraId="12899599" w14:textId="77777777" w:rsidTr="00C91E7A">
        <w:trPr>
          <w:trHeight w:val="20"/>
        </w:trPr>
        <w:tc>
          <w:tcPr>
            <w:tcW w:w="2404" w:type="dxa"/>
            <w:noWrap/>
            <w:hideMark/>
          </w:tcPr>
          <w:p w14:paraId="5E523115" w14:textId="77777777" w:rsidR="000A21E2" w:rsidRPr="002943D4" w:rsidRDefault="000A21E2" w:rsidP="00C736AC">
            <w:pPr>
              <w:rPr>
                <w:rFonts w:ascii="Arial" w:hAnsi="Arial" w:cs="Arial"/>
                <w:color w:val="000000"/>
                <w:sz w:val="18"/>
                <w:szCs w:val="18"/>
              </w:rPr>
            </w:pPr>
            <w:r w:rsidRPr="002943D4">
              <w:rPr>
                <w:rFonts w:ascii="Arial" w:hAnsi="Arial" w:cs="Arial"/>
                <w:color w:val="000000"/>
                <w:sz w:val="18"/>
                <w:szCs w:val="18"/>
              </w:rPr>
              <w:t>Northern Mariana Islands</w:t>
            </w:r>
          </w:p>
        </w:tc>
        <w:tc>
          <w:tcPr>
            <w:tcW w:w="1860" w:type="dxa"/>
            <w:noWrap/>
            <w:hideMark/>
          </w:tcPr>
          <w:p w14:paraId="1231EE57"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$9,884 </w:t>
            </w:r>
          </w:p>
        </w:tc>
        <w:tc>
          <w:tcPr>
            <w:tcW w:w="1860" w:type="dxa"/>
            <w:noWrap/>
            <w:hideMark/>
          </w:tcPr>
          <w:p w14:paraId="20912ED0"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$2,964 </w:t>
            </w:r>
          </w:p>
        </w:tc>
        <w:tc>
          <w:tcPr>
            <w:tcW w:w="1860" w:type="dxa"/>
            <w:noWrap/>
            <w:hideMark/>
          </w:tcPr>
          <w:p w14:paraId="7CBDA5AB"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$12,848 </w:t>
            </w:r>
          </w:p>
        </w:tc>
      </w:tr>
      <w:tr w:rsidR="000A21E2" w:rsidRPr="002943D4" w14:paraId="059F5884" w14:textId="77777777" w:rsidTr="00C91E7A">
        <w:trPr>
          <w:trHeight w:val="20"/>
        </w:trPr>
        <w:tc>
          <w:tcPr>
            <w:tcW w:w="2404" w:type="dxa"/>
            <w:noWrap/>
            <w:hideMark/>
          </w:tcPr>
          <w:p w14:paraId="433CC774" w14:textId="77777777" w:rsidR="000A21E2" w:rsidRPr="002943D4" w:rsidRDefault="000A21E2" w:rsidP="00C736AC">
            <w:pPr>
              <w:rPr>
                <w:rFonts w:ascii="Arial" w:hAnsi="Arial" w:cs="Arial"/>
                <w:color w:val="000000"/>
                <w:sz w:val="18"/>
                <w:szCs w:val="18"/>
              </w:rPr>
            </w:pPr>
            <w:r w:rsidRPr="002943D4">
              <w:rPr>
                <w:rFonts w:ascii="Arial" w:hAnsi="Arial" w:cs="Arial"/>
                <w:color w:val="000000"/>
                <w:sz w:val="18"/>
                <w:szCs w:val="18"/>
              </w:rPr>
              <w:t>Puerto Rico</w:t>
            </w:r>
          </w:p>
        </w:tc>
        <w:tc>
          <w:tcPr>
            <w:tcW w:w="1860" w:type="dxa"/>
            <w:noWrap/>
            <w:hideMark/>
          </w:tcPr>
          <w:p w14:paraId="0DBC81D0"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$189,058 </w:t>
            </w:r>
          </w:p>
        </w:tc>
        <w:tc>
          <w:tcPr>
            <w:tcW w:w="1860" w:type="dxa"/>
            <w:noWrap/>
            <w:hideMark/>
          </w:tcPr>
          <w:p w14:paraId="13CCC5C8"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$54,217 </w:t>
            </w:r>
          </w:p>
        </w:tc>
        <w:tc>
          <w:tcPr>
            <w:tcW w:w="1860" w:type="dxa"/>
            <w:noWrap/>
            <w:hideMark/>
          </w:tcPr>
          <w:p w14:paraId="31CC4C7E"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$243,275 </w:t>
            </w:r>
          </w:p>
        </w:tc>
      </w:tr>
      <w:tr w:rsidR="000A21E2" w:rsidRPr="002943D4" w14:paraId="64B8803A" w14:textId="77777777" w:rsidTr="00C91E7A">
        <w:trPr>
          <w:trHeight w:val="20"/>
        </w:trPr>
        <w:tc>
          <w:tcPr>
            <w:tcW w:w="2404" w:type="dxa"/>
            <w:noWrap/>
            <w:hideMark/>
          </w:tcPr>
          <w:p w14:paraId="4D137228" w14:textId="77777777" w:rsidR="000A21E2" w:rsidRPr="002943D4" w:rsidRDefault="000A21E2" w:rsidP="00C736AC">
            <w:pPr>
              <w:rPr>
                <w:rFonts w:ascii="Arial" w:hAnsi="Arial" w:cs="Arial"/>
                <w:color w:val="000000"/>
                <w:sz w:val="18"/>
                <w:szCs w:val="18"/>
              </w:rPr>
            </w:pPr>
            <w:r w:rsidRPr="002943D4">
              <w:rPr>
                <w:rFonts w:ascii="Arial" w:hAnsi="Arial" w:cs="Arial"/>
                <w:color w:val="000000"/>
                <w:sz w:val="18"/>
                <w:szCs w:val="18"/>
              </w:rPr>
              <w:t>Virgin Islands</w:t>
            </w:r>
          </w:p>
        </w:tc>
        <w:tc>
          <w:tcPr>
            <w:tcW w:w="1860" w:type="dxa"/>
            <w:noWrap/>
            <w:hideMark/>
          </w:tcPr>
          <w:p w14:paraId="7E0F36D4"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$39,536 </w:t>
            </w:r>
          </w:p>
        </w:tc>
        <w:tc>
          <w:tcPr>
            <w:tcW w:w="1860" w:type="dxa"/>
            <w:noWrap/>
            <w:hideMark/>
          </w:tcPr>
          <w:p w14:paraId="28B75C1A"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$11,856 </w:t>
            </w:r>
          </w:p>
        </w:tc>
        <w:tc>
          <w:tcPr>
            <w:tcW w:w="1860" w:type="dxa"/>
            <w:noWrap/>
            <w:hideMark/>
          </w:tcPr>
          <w:p w14:paraId="1D55194E" w14:textId="77777777" w:rsidR="000A21E2" w:rsidRPr="002943D4" w:rsidRDefault="000A21E2" w:rsidP="00C736AC">
            <w:pPr>
              <w:jc w:val="right"/>
              <w:rPr>
                <w:rFonts w:ascii="Arial" w:hAnsi="Arial" w:cs="Arial"/>
                <w:color w:val="000000"/>
                <w:sz w:val="18"/>
                <w:szCs w:val="18"/>
              </w:rPr>
            </w:pPr>
            <w:r w:rsidRPr="002943D4">
              <w:rPr>
                <w:rFonts w:ascii="Arial" w:hAnsi="Arial" w:cs="Arial"/>
                <w:color w:val="000000"/>
                <w:sz w:val="18"/>
                <w:szCs w:val="18"/>
              </w:rPr>
              <w:t xml:space="preserve">$51,392 </w:t>
            </w:r>
          </w:p>
        </w:tc>
      </w:tr>
      <w:tr w:rsidR="000A21E2" w:rsidRPr="002943D4" w14:paraId="01CB4D2E" w14:textId="77777777" w:rsidTr="00C91E7A">
        <w:trPr>
          <w:trHeight w:val="20"/>
        </w:trPr>
        <w:tc>
          <w:tcPr>
            <w:tcW w:w="2404" w:type="dxa"/>
            <w:noWrap/>
            <w:hideMark/>
          </w:tcPr>
          <w:p w14:paraId="151C286F" w14:textId="77777777" w:rsidR="000A21E2" w:rsidRPr="00250639" w:rsidRDefault="000A21E2" w:rsidP="00C736AC">
            <w:pPr>
              <w:rPr>
                <w:rFonts w:ascii="Arial" w:hAnsi="Arial" w:cs="Arial"/>
                <w:b/>
                <w:bCs/>
                <w:color w:val="000000"/>
                <w:sz w:val="20"/>
                <w:szCs w:val="20"/>
              </w:rPr>
            </w:pPr>
            <w:r w:rsidRPr="00250639">
              <w:rPr>
                <w:rFonts w:ascii="Arial" w:hAnsi="Arial" w:cs="Arial"/>
                <w:b/>
                <w:bCs/>
                <w:color w:val="000000"/>
                <w:sz w:val="20"/>
                <w:szCs w:val="20"/>
              </w:rPr>
              <w:t>TOTAL</w:t>
            </w:r>
          </w:p>
        </w:tc>
        <w:tc>
          <w:tcPr>
            <w:tcW w:w="1860" w:type="dxa"/>
            <w:noWrap/>
            <w:hideMark/>
          </w:tcPr>
          <w:p w14:paraId="7447EB5C" w14:textId="77777777" w:rsidR="000A21E2" w:rsidRPr="00250639" w:rsidRDefault="000A21E2" w:rsidP="00C736AC">
            <w:pPr>
              <w:jc w:val="right"/>
              <w:rPr>
                <w:rFonts w:ascii="Arial" w:hAnsi="Arial" w:cs="Arial"/>
                <w:b/>
                <w:bCs/>
                <w:color w:val="000000"/>
                <w:sz w:val="20"/>
                <w:szCs w:val="20"/>
              </w:rPr>
            </w:pPr>
            <w:r w:rsidRPr="00250639">
              <w:rPr>
                <w:rFonts w:ascii="Arial" w:hAnsi="Arial" w:cs="Arial"/>
                <w:b/>
                <w:bCs/>
                <w:color w:val="000000"/>
                <w:sz w:val="20"/>
                <w:szCs w:val="20"/>
              </w:rPr>
              <w:t xml:space="preserve">$15,814,316 </w:t>
            </w:r>
          </w:p>
        </w:tc>
        <w:tc>
          <w:tcPr>
            <w:tcW w:w="1860" w:type="dxa"/>
            <w:noWrap/>
            <w:hideMark/>
          </w:tcPr>
          <w:p w14:paraId="061D1BBE" w14:textId="77777777" w:rsidR="000A21E2" w:rsidRPr="00250639" w:rsidRDefault="000A21E2" w:rsidP="00C736AC">
            <w:pPr>
              <w:jc w:val="right"/>
              <w:rPr>
                <w:rFonts w:ascii="Arial" w:hAnsi="Arial" w:cs="Arial"/>
                <w:b/>
                <w:bCs/>
                <w:color w:val="000000"/>
                <w:sz w:val="20"/>
                <w:szCs w:val="20"/>
              </w:rPr>
            </w:pPr>
            <w:r w:rsidRPr="00250639">
              <w:rPr>
                <w:rFonts w:ascii="Arial" w:hAnsi="Arial" w:cs="Arial"/>
                <w:b/>
                <w:bCs/>
                <w:color w:val="000000"/>
                <w:sz w:val="20"/>
                <w:szCs w:val="20"/>
              </w:rPr>
              <w:t xml:space="preserve">$4,742,357 </w:t>
            </w:r>
          </w:p>
        </w:tc>
        <w:tc>
          <w:tcPr>
            <w:tcW w:w="1860" w:type="dxa"/>
            <w:noWrap/>
            <w:hideMark/>
          </w:tcPr>
          <w:p w14:paraId="25BDEA1E" w14:textId="77777777" w:rsidR="000A21E2" w:rsidRPr="00250639" w:rsidRDefault="000A21E2" w:rsidP="00C736AC">
            <w:pPr>
              <w:jc w:val="right"/>
              <w:rPr>
                <w:rFonts w:ascii="Arial" w:hAnsi="Arial" w:cs="Arial"/>
                <w:b/>
                <w:bCs/>
                <w:color w:val="000000"/>
                <w:sz w:val="20"/>
                <w:szCs w:val="20"/>
              </w:rPr>
            </w:pPr>
            <w:r w:rsidRPr="00250639">
              <w:rPr>
                <w:rFonts w:ascii="Arial" w:hAnsi="Arial" w:cs="Arial"/>
                <w:b/>
                <w:bCs/>
                <w:color w:val="000000"/>
                <w:sz w:val="20"/>
                <w:szCs w:val="20"/>
              </w:rPr>
              <w:t xml:space="preserve">$20,556,673 </w:t>
            </w:r>
          </w:p>
        </w:tc>
      </w:tr>
    </w:tbl>
    <w:p w14:paraId="3B71D9C8" w14:textId="77777777" w:rsidR="000A21E2" w:rsidRDefault="000A21E2">
      <w:pPr>
        <w:rPr>
          <w:b/>
          <w:sz w:val="18"/>
          <w:szCs w:val="18"/>
        </w:rPr>
      </w:pPr>
    </w:p>
    <w:p w14:paraId="504C32B4" w14:textId="77777777" w:rsidR="00055A42" w:rsidRDefault="00055A42">
      <w:pPr>
        <w:rPr>
          <w:b/>
          <w:sz w:val="18"/>
          <w:szCs w:val="18"/>
        </w:rPr>
      </w:pPr>
    </w:p>
    <w:p w14:paraId="7E48DED5" w14:textId="77777777" w:rsidR="00055A42" w:rsidRDefault="00055A42">
      <w:pPr>
        <w:rPr>
          <w:b/>
          <w:sz w:val="18"/>
          <w:szCs w:val="18"/>
        </w:rPr>
      </w:pPr>
    </w:p>
    <w:p w14:paraId="3A58F41D" w14:textId="77777777" w:rsidR="00055A42" w:rsidRDefault="00055A42">
      <w:pPr>
        <w:rPr>
          <w:b/>
          <w:sz w:val="18"/>
          <w:szCs w:val="18"/>
        </w:rPr>
      </w:pPr>
    </w:p>
    <w:p w14:paraId="07967D78" w14:textId="77777777" w:rsidR="00055A42" w:rsidRDefault="00055A42">
      <w:pPr>
        <w:rPr>
          <w:b/>
          <w:sz w:val="18"/>
          <w:szCs w:val="18"/>
        </w:rPr>
      </w:pPr>
    </w:p>
    <w:p w14:paraId="58608807" w14:textId="77777777" w:rsidR="00055A42" w:rsidRDefault="00055A42">
      <w:pPr>
        <w:rPr>
          <w:b/>
          <w:sz w:val="18"/>
          <w:szCs w:val="18"/>
        </w:rPr>
      </w:pPr>
    </w:p>
    <w:p w14:paraId="1FCB03D0" w14:textId="77777777" w:rsidR="00055A42" w:rsidRDefault="00055A42">
      <w:pPr>
        <w:rPr>
          <w:b/>
          <w:sz w:val="18"/>
          <w:szCs w:val="18"/>
        </w:rPr>
      </w:pPr>
    </w:p>
    <w:p w14:paraId="11FF6BF2" w14:textId="77777777" w:rsidR="00055A42" w:rsidRDefault="00055A42">
      <w:pPr>
        <w:rPr>
          <w:b/>
          <w:sz w:val="18"/>
          <w:szCs w:val="18"/>
        </w:rPr>
      </w:pPr>
    </w:p>
    <w:tbl>
      <w:tblPr>
        <w:tblStyle w:val="TableGrid"/>
        <w:tblW w:w="5420" w:type="dxa"/>
        <w:tblLook w:val="04E0" w:firstRow="1" w:lastRow="1" w:firstColumn="1" w:lastColumn="0" w:noHBand="0" w:noVBand="1"/>
      </w:tblPr>
      <w:tblGrid>
        <w:gridCol w:w="2605"/>
        <w:gridCol w:w="2815"/>
      </w:tblGrid>
      <w:tr w:rsidR="00250639" w:rsidRPr="002943D4" w14:paraId="203ADA27" w14:textId="77777777" w:rsidTr="00C91E7A">
        <w:trPr>
          <w:trHeight w:val="20"/>
        </w:trPr>
        <w:tc>
          <w:tcPr>
            <w:tcW w:w="2605" w:type="dxa"/>
            <w:hideMark/>
          </w:tcPr>
          <w:p w14:paraId="5D2418A0" w14:textId="77777777" w:rsidR="00250639" w:rsidRPr="00250639" w:rsidRDefault="00250639" w:rsidP="00C736AC">
            <w:pPr>
              <w:jc w:val="center"/>
              <w:rPr>
                <w:rFonts w:ascii="Arial" w:hAnsi="Arial" w:cs="Arial"/>
                <w:b/>
                <w:bCs/>
                <w:color w:val="000000"/>
                <w:sz w:val="20"/>
                <w:szCs w:val="20"/>
              </w:rPr>
            </w:pPr>
            <w:r w:rsidRPr="00250639">
              <w:rPr>
                <w:rFonts w:ascii="Arial" w:hAnsi="Arial" w:cs="Arial"/>
                <w:b/>
                <w:bCs/>
                <w:color w:val="000000"/>
                <w:sz w:val="20"/>
                <w:szCs w:val="20"/>
              </w:rPr>
              <w:t>State/Territory</w:t>
            </w:r>
          </w:p>
        </w:tc>
        <w:tc>
          <w:tcPr>
            <w:tcW w:w="2815" w:type="dxa"/>
            <w:hideMark/>
          </w:tcPr>
          <w:p w14:paraId="4CD19B2D" w14:textId="77777777" w:rsidR="00250639" w:rsidRPr="00250639" w:rsidRDefault="00250639" w:rsidP="00C736AC">
            <w:pPr>
              <w:jc w:val="center"/>
              <w:rPr>
                <w:rFonts w:ascii="Arial" w:hAnsi="Arial" w:cs="Arial"/>
                <w:b/>
                <w:bCs/>
                <w:color w:val="000000"/>
                <w:sz w:val="20"/>
                <w:szCs w:val="20"/>
              </w:rPr>
            </w:pPr>
            <w:r w:rsidRPr="00250639">
              <w:rPr>
                <w:rFonts w:ascii="Arial" w:hAnsi="Arial" w:cs="Arial"/>
                <w:b/>
                <w:bCs/>
                <w:color w:val="000000"/>
                <w:sz w:val="20"/>
                <w:szCs w:val="20"/>
              </w:rPr>
              <w:t>Nutrition Services Incentive Program</w:t>
            </w:r>
          </w:p>
        </w:tc>
      </w:tr>
      <w:tr w:rsidR="00250639" w:rsidRPr="002943D4" w14:paraId="0AA2BC43" w14:textId="77777777" w:rsidTr="00C91E7A">
        <w:trPr>
          <w:trHeight w:val="20"/>
        </w:trPr>
        <w:tc>
          <w:tcPr>
            <w:tcW w:w="2605" w:type="dxa"/>
            <w:noWrap/>
            <w:hideMark/>
          </w:tcPr>
          <w:p w14:paraId="0CCFC49E" w14:textId="77777777" w:rsidR="00250639" w:rsidRPr="002943D4" w:rsidRDefault="00250639" w:rsidP="00C736AC">
            <w:pPr>
              <w:rPr>
                <w:rFonts w:ascii="Arial" w:hAnsi="Arial" w:cs="Arial"/>
                <w:color w:val="000000"/>
                <w:sz w:val="18"/>
                <w:szCs w:val="18"/>
              </w:rPr>
            </w:pPr>
            <w:bookmarkStart w:id="109" w:name="RANGE!A2:A56"/>
            <w:r w:rsidRPr="002943D4">
              <w:rPr>
                <w:rFonts w:ascii="Arial" w:hAnsi="Arial" w:cs="Arial"/>
                <w:color w:val="000000"/>
                <w:sz w:val="18"/>
                <w:szCs w:val="18"/>
              </w:rPr>
              <w:t>Alabama</w:t>
            </w:r>
            <w:bookmarkEnd w:id="109"/>
          </w:p>
        </w:tc>
        <w:tc>
          <w:tcPr>
            <w:tcW w:w="2815" w:type="dxa"/>
            <w:noWrap/>
            <w:hideMark/>
          </w:tcPr>
          <w:p w14:paraId="19B68897" w14:textId="77777777" w:rsidR="00250639" w:rsidRPr="002943D4" w:rsidRDefault="00250639" w:rsidP="00C736AC">
            <w:pPr>
              <w:jc w:val="right"/>
              <w:rPr>
                <w:rFonts w:ascii="Arial" w:hAnsi="Arial" w:cs="Arial"/>
                <w:color w:val="000000"/>
                <w:sz w:val="18"/>
                <w:szCs w:val="18"/>
              </w:rPr>
            </w:pPr>
            <w:bookmarkStart w:id="110" w:name="RANGE!B2:B58"/>
            <w:r w:rsidRPr="002943D4">
              <w:rPr>
                <w:rFonts w:ascii="Arial" w:hAnsi="Arial" w:cs="Arial"/>
                <w:color w:val="000000"/>
                <w:sz w:val="18"/>
                <w:szCs w:val="18"/>
              </w:rPr>
              <w:t xml:space="preserve">$3,261,708 </w:t>
            </w:r>
            <w:bookmarkEnd w:id="110"/>
          </w:p>
        </w:tc>
      </w:tr>
      <w:tr w:rsidR="00250639" w:rsidRPr="002943D4" w14:paraId="6140010E" w14:textId="77777777" w:rsidTr="00C91E7A">
        <w:trPr>
          <w:trHeight w:val="20"/>
        </w:trPr>
        <w:tc>
          <w:tcPr>
            <w:tcW w:w="2605" w:type="dxa"/>
            <w:noWrap/>
            <w:hideMark/>
          </w:tcPr>
          <w:p w14:paraId="201CFAAF" w14:textId="77777777" w:rsidR="00250639" w:rsidRPr="002943D4" w:rsidRDefault="00250639" w:rsidP="00C736AC">
            <w:pPr>
              <w:rPr>
                <w:rFonts w:ascii="Arial" w:hAnsi="Arial" w:cs="Arial"/>
                <w:color w:val="000000"/>
                <w:sz w:val="18"/>
                <w:szCs w:val="18"/>
              </w:rPr>
            </w:pPr>
            <w:r w:rsidRPr="002943D4">
              <w:rPr>
                <w:rFonts w:ascii="Arial" w:hAnsi="Arial" w:cs="Arial"/>
                <w:color w:val="000000"/>
                <w:sz w:val="18"/>
                <w:szCs w:val="18"/>
              </w:rPr>
              <w:t>Alaska</w:t>
            </w:r>
          </w:p>
        </w:tc>
        <w:tc>
          <w:tcPr>
            <w:tcW w:w="2815" w:type="dxa"/>
            <w:noWrap/>
            <w:hideMark/>
          </w:tcPr>
          <w:p w14:paraId="12C9C2B9" w14:textId="77777777" w:rsidR="00250639" w:rsidRPr="002943D4" w:rsidRDefault="00250639" w:rsidP="00C736AC">
            <w:pPr>
              <w:jc w:val="right"/>
              <w:rPr>
                <w:rFonts w:ascii="Arial" w:hAnsi="Arial" w:cs="Arial"/>
                <w:color w:val="000000"/>
                <w:sz w:val="18"/>
                <w:szCs w:val="18"/>
              </w:rPr>
            </w:pPr>
            <w:r w:rsidRPr="002943D4">
              <w:rPr>
                <w:rFonts w:ascii="Arial" w:hAnsi="Arial" w:cs="Arial"/>
                <w:color w:val="000000"/>
                <w:sz w:val="18"/>
                <w:szCs w:val="18"/>
              </w:rPr>
              <w:t xml:space="preserve">$482,222 </w:t>
            </w:r>
          </w:p>
        </w:tc>
      </w:tr>
      <w:tr w:rsidR="00250639" w:rsidRPr="002943D4" w14:paraId="07D0BC78" w14:textId="77777777" w:rsidTr="00C91E7A">
        <w:trPr>
          <w:trHeight w:val="20"/>
        </w:trPr>
        <w:tc>
          <w:tcPr>
            <w:tcW w:w="2605" w:type="dxa"/>
            <w:noWrap/>
            <w:hideMark/>
          </w:tcPr>
          <w:p w14:paraId="6F756BB9" w14:textId="77777777" w:rsidR="00250639" w:rsidRPr="002943D4" w:rsidRDefault="00250639" w:rsidP="00C736AC">
            <w:pPr>
              <w:rPr>
                <w:rFonts w:ascii="Arial" w:hAnsi="Arial" w:cs="Arial"/>
                <w:color w:val="000000"/>
                <w:sz w:val="18"/>
                <w:szCs w:val="18"/>
              </w:rPr>
            </w:pPr>
            <w:r w:rsidRPr="002943D4">
              <w:rPr>
                <w:rFonts w:ascii="Arial" w:hAnsi="Arial" w:cs="Arial"/>
                <w:color w:val="000000"/>
                <w:sz w:val="18"/>
                <w:szCs w:val="18"/>
              </w:rPr>
              <w:t>Arizona</w:t>
            </w:r>
          </w:p>
        </w:tc>
        <w:tc>
          <w:tcPr>
            <w:tcW w:w="2815" w:type="dxa"/>
            <w:noWrap/>
            <w:hideMark/>
          </w:tcPr>
          <w:p w14:paraId="06B278CB" w14:textId="77777777" w:rsidR="00250639" w:rsidRPr="002943D4" w:rsidRDefault="00250639" w:rsidP="00C736AC">
            <w:pPr>
              <w:jc w:val="right"/>
              <w:rPr>
                <w:rFonts w:ascii="Arial" w:hAnsi="Arial" w:cs="Arial"/>
                <w:color w:val="000000"/>
                <w:sz w:val="18"/>
                <w:szCs w:val="18"/>
              </w:rPr>
            </w:pPr>
            <w:r w:rsidRPr="002943D4">
              <w:rPr>
                <w:rFonts w:ascii="Arial" w:hAnsi="Arial" w:cs="Arial"/>
                <w:color w:val="000000"/>
                <w:sz w:val="18"/>
                <w:szCs w:val="18"/>
              </w:rPr>
              <w:t xml:space="preserve">$1,749,512 </w:t>
            </w:r>
          </w:p>
        </w:tc>
      </w:tr>
      <w:tr w:rsidR="00250639" w:rsidRPr="002943D4" w14:paraId="233E45FC" w14:textId="77777777" w:rsidTr="00C91E7A">
        <w:trPr>
          <w:trHeight w:val="20"/>
        </w:trPr>
        <w:tc>
          <w:tcPr>
            <w:tcW w:w="2605" w:type="dxa"/>
            <w:noWrap/>
            <w:hideMark/>
          </w:tcPr>
          <w:p w14:paraId="6DDB0E53" w14:textId="77777777" w:rsidR="00250639" w:rsidRPr="002943D4" w:rsidRDefault="00250639" w:rsidP="00C736AC">
            <w:pPr>
              <w:rPr>
                <w:rFonts w:ascii="Arial" w:hAnsi="Arial" w:cs="Arial"/>
                <w:color w:val="000000"/>
                <w:sz w:val="18"/>
                <w:szCs w:val="18"/>
              </w:rPr>
            </w:pPr>
            <w:r w:rsidRPr="002943D4">
              <w:rPr>
                <w:rFonts w:ascii="Arial" w:hAnsi="Arial" w:cs="Arial"/>
                <w:color w:val="000000"/>
                <w:sz w:val="18"/>
                <w:szCs w:val="18"/>
              </w:rPr>
              <w:t>Arkansas</w:t>
            </w:r>
          </w:p>
        </w:tc>
        <w:tc>
          <w:tcPr>
            <w:tcW w:w="2815" w:type="dxa"/>
            <w:noWrap/>
            <w:hideMark/>
          </w:tcPr>
          <w:p w14:paraId="07C171FA" w14:textId="77777777" w:rsidR="00250639" w:rsidRPr="002943D4" w:rsidRDefault="00250639" w:rsidP="00C736AC">
            <w:pPr>
              <w:jc w:val="right"/>
              <w:rPr>
                <w:rFonts w:ascii="Arial" w:hAnsi="Arial" w:cs="Arial"/>
                <w:color w:val="000000"/>
                <w:sz w:val="18"/>
                <w:szCs w:val="18"/>
              </w:rPr>
            </w:pPr>
            <w:r w:rsidRPr="002943D4">
              <w:rPr>
                <w:rFonts w:ascii="Arial" w:hAnsi="Arial" w:cs="Arial"/>
                <w:color w:val="000000"/>
                <w:sz w:val="18"/>
                <w:szCs w:val="18"/>
              </w:rPr>
              <w:t xml:space="preserve">$2,473,090 </w:t>
            </w:r>
          </w:p>
        </w:tc>
      </w:tr>
      <w:tr w:rsidR="00250639" w:rsidRPr="002943D4" w14:paraId="4BA917D4" w14:textId="77777777" w:rsidTr="00C91E7A">
        <w:trPr>
          <w:trHeight w:val="20"/>
        </w:trPr>
        <w:tc>
          <w:tcPr>
            <w:tcW w:w="2605" w:type="dxa"/>
            <w:noWrap/>
            <w:hideMark/>
          </w:tcPr>
          <w:p w14:paraId="270F96EF" w14:textId="77777777" w:rsidR="00250639" w:rsidRPr="002943D4" w:rsidRDefault="00250639" w:rsidP="00C736AC">
            <w:pPr>
              <w:rPr>
                <w:rFonts w:ascii="Arial" w:hAnsi="Arial" w:cs="Arial"/>
                <w:color w:val="000000"/>
                <w:sz w:val="18"/>
                <w:szCs w:val="18"/>
              </w:rPr>
            </w:pPr>
            <w:r w:rsidRPr="002943D4">
              <w:rPr>
                <w:rFonts w:ascii="Arial" w:hAnsi="Arial" w:cs="Arial"/>
                <w:color w:val="000000"/>
                <w:sz w:val="18"/>
                <w:szCs w:val="18"/>
              </w:rPr>
              <w:t>California</w:t>
            </w:r>
          </w:p>
        </w:tc>
        <w:tc>
          <w:tcPr>
            <w:tcW w:w="2815" w:type="dxa"/>
            <w:noWrap/>
            <w:hideMark/>
          </w:tcPr>
          <w:p w14:paraId="1C1E261E" w14:textId="77777777" w:rsidR="00250639" w:rsidRPr="002943D4" w:rsidRDefault="00250639" w:rsidP="00C736AC">
            <w:pPr>
              <w:jc w:val="right"/>
              <w:rPr>
                <w:rFonts w:ascii="Arial" w:hAnsi="Arial" w:cs="Arial"/>
                <w:color w:val="000000"/>
                <w:sz w:val="18"/>
                <w:szCs w:val="18"/>
              </w:rPr>
            </w:pPr>
            <w:r w:rsidRPr="002943D4">
              <w:rPr>
                <w:rFonts w:ascii="Arial" w:hAnsi="Arial" w:cs="Arial"/>
                <w:color w:val="000000"/>
                <w:sz w:val="18"/>
                <w:szCs w:val="18"/>
              </w:rPr>
              <w:t xml:space="preserve">$13,095,077 </w:t>
            </w:r>
          </w:p>
        </w:tc>
      </w:tr>
      <w:tr w:rsidR="00250639" w:rsidRPr="002943D4" w14:paraId="30334CF1" w14:textId="77777777" w:rsidTr="00C91E7A">
        <w:trPr>
          <w:trHeight w:val="20"/>
        </w:trPr>
        <w:tc>
          <w:tcPr>
            <w:tcW w:w="2605" w:type="dxa"/>
            <w:noWrap/>
            <w:hideMark/>
          </w:tcPr>
          <w:p w14:paraId="3103EC12" w14:textId="77777777" w:rsidR="00250639" w:rsidRPr="002943D4" w:rsidRDefault="00250639" w:rsidP="00C736AC">
            <w:pPr>
              <w:rPr>
                <w:rFonts w:ascii="Arial" w:hAnsi="Arial" w:cs="Arial"/>
                <w:color w:val="000000"/>
                <w:sz w:val="18"/>
                <w:szCs w:val="18"/>
              </w:rPr>
            </w:pPr>
            <w:r w:rsidRPr="002943D4">
              <w:rPr>
                <w:rFonts w:ascii="Arial" w:hAnsi="Arial" w:cs="Arial"/>
                <w:color w:val="000000"/>
                <w:sz w:val="18"/>
                <w:szCs w:val="18"/>
              </w:rPr>
              <w:t>Colorado</w:t>
            </w:r>
          </w:p>
        </w:tc>
        <w:tc>
          <w:tcPr>
            <w:tcW w:w="2815" w:type="dxa"/>
            <w:noWrap/>
            <w:hideMark/>
          </w:tcPr>
          <w:p w14:paraId="7E843006" w14:textId="77777777" w:rsidR="00250639" w:rsidRPr="002943D4" w:rsidRDefault="00250639" w:rsidP="00C736AC">
            <w:pPr>
              <w:jc w:val="right"/>
              <w:rPr>
                <w:rFonts w:ascii="Arial" w:hAnsi="Arial" w:cs="Arial"/>
                <w:color w:val="000000"/>
                <w:sz w:val="18"/>
                <w:szCs w:val="18"/>
              </w:rPr>
            </w:pPr>
            <w:r w:rsidRPr="002943D4">
              <w:rPr>
                <w:rFonts w:ascii="Arial" w:hAnsi="Arial" w:cs="Arial"/>
                <w:color w:val="000000"/>
                <w:sz w:val="18"/>
                <w:szCs w:val="18"/>
              </w:rPr>
              <w:t xml:space="preserve">$1,381,678 </w:t>
            </w:r>
          </w:p>
        </w:tc>
      </w:tr>
      <w:tr w:rsidR="00250639" w:rsidRPr="002943D4" w14:paraId="7C276BDA" w14:textId="77777777" w:rsidTr="00C91E7A">
        <w:trPr>
          <w:trHeight w:val="20"/>
        </w:trPr>
        <w:tc>
          <w:tcPr>
            <w:tcW w:w="2605" w:type="dxa"/>
            <w:noWrap/>
            <w:hideMark/>
          </w:tcPr>
          <w:p w14:paraId="3B1B8FA5" w14:textId="77777777" w:rsidR="00250639" w:rsidRPr="002943D4" w:rsidRDefault="00250639" w:rsidP="00C736AC">
            <w:pPr>
              <w:rPr>
                <w:rFonts w:ascii="Arial" w:hAnsi="Arial" w:cs="Arial"/>
                <w:color w:val="000000"/>
                <w:sz w:val="18"/>
                <w:szCs w:val="18"/>
              </w:rPr>
            </w:pPr>
            <w:r w:rsidRPr="002943D4">
              <w:rPr>
                <w:rFonts w:ascii="Arial" w:hAnsi="Arial" w:cs="Arial"/>
                <w:color w:val="000000"/>
                <w:sz w:val="18"/>
                <w:szCs w:val="18"/>
              </w:rPr>
              <w:t>Connecticut</w:t>
            </w:r>
          </w:p>
        </w:tc>
        <w:tc>
          <w:tcPr>
            <w:tcW w:w="2815" w:type="dxa"/>
            <w:noWrap/>
            <w:hideMark/>
          </w:tcPr>
          <w:p w14:paraId="2B627B78" w14:textId="77777777" w:rsidR="00250639" w:rsidRPr="002943D4" w:rsidRDefault="00250639" w:rsidP="00C736AC">
            <w:pPr>
              <w:jc w:val="right"/>
              <w:rPr>
                <w:rFonts w:ascii="Arial" w:hAnsi="Arial" w:cs="Arial"/>
                <w:color w:val="000000"/>
                <w:sz w:val="18"/>
                <w:szCs w:val="18"/>
              </w:rPr>
            </w:pPr>
            <w:r w:rsidRPr="002943D4">
              <w:rPr>
                <w:rFonts w:ascii="Arial" w:hAnsi="Arial" w:cs="Arial"/>
                <w:color w:val="000000"/>
                <w:sz w:val="18"/>
                <w:szCs w:val="18"/>
              </w:rPr>
              <w:t xml:space="preserve">$1,549,754 </w:t>
            </w:r>
          </w:p>
        </w:tc>
      </w:tr>
      <w:tr w:rsidR="00250639" w:rsidRPr="002943D4" w14:paraId="44258701" w14:textId="77777777" w:rsidTr="00C91E7A">
        <w:trPr>
          <w:trHeight w:val="20"/>
        </w:trPr>
        <w:tc>
          <w:tcPr>
            <w:tcW w:w="2605" w:type="dxa"/>
            <w:noWrap/>
            <w:hideMark/>
          </w:tcPr>
          <w:p w14:paraId="0F61926B" w14:textId="77777777" w:rsidR="00250639" w:rsidRPr="002943D4" w:rsidRDefault="00250639" w:rsidP="00C736AC">
            <w:pPr>
              <w:rPr>
                <w:rFonts w:ascii="Arial" w:hAnsi="Arial" w:cs="Arial"/>
                <w:color w:val="000000"/>
                <w:sz w:val="18"/>
                <w:szCs w:val="18"/>
              </w:rPr>
            </w:pPr>
            <w:r w:rsidRPr="002943D4">
              <w:rPr>
                <w:rFonts w:ascii="Arial" w:hAnsi="Arial" w:cs="Arial"/>
                <w:color w:val="000000"/>
                <w:sz w:val="18"/>
                <w:szCs w:val="18"/>
              </w:rPr>
              <w:t>Delaware</w:t>
            </w:r>
          </w:p>
        </w:tc>
        <w:tc>
          <w:tcPr>
            <w:tcW w:w="2815" w:type="dxa"/>
            <w:noWrap/>
            <w:hideMark/>
          </w:tcPr>
          <w:p w14:paraId="2D3ACF0A" w14:textId="77777777" w:rsidR="00250639" w:rsidRPr="002943D4" w:rsidRDefault="00250639" w:rsidP="00C736AC">
            <w:pPr>
              <w:jc w:val="right"/>
              <w:rPr>
                <w:rFonts w:ascii="Arial" w:hAnsi="Arial" w:cs="Arial"/>
                <w:color w:val="000000"/>
                <w:sz w:val="18"/>
                <w:szCs w:val="18"/>
              </w:rPr>
            </w:pPr>
            <w:r w:rsidRPr="002943D4">
              <w:rPr>
                <w:rFonts w:ascii="Arial" w:hAnsi="Arial" w:cs="Arial"/>
                <w:color w:val="000000"/>
                <w:sz w:val="18"/>
                <w:szCs w:val="18"/>
              </w:rPr>
              <w:t xml:space="preserve">$531,121 </w:t>
            </w:r>
          </w:p>
        </w:tc>
      </w:tr>
      <w:tr w:rsidR="00250639" w:rsidRPr="002943D4" w14:paraId="039FA32A" w14:textId="77777777" w:rsidTr="00C91E7A">
        <w:trPr>
          <w:trHeight w:val="20"/>
        </w:trPr>
        <w:tc>
          <w:tcPr>
            <w:tcW w:w="2605" w:type="dxa"/>
            <w:noWrap/>
            <w:hideMark/>
          </w:tcPr>
          <w:p w14:paraId="6EB8F911" w14:textId="77777777" w:rsidR="00250639" w:rsidRPr="002943D4" w:rsidRDefault="00250639" w:rsidP="00C736AC">
            <w:pPr>
              <w:rPr>
                <w:rFonts w:ascii="Arial" w:hAnsi="Arial" w:cs="Arial"/>
                <w:color w:val="000000"/>
                <w:sz w:val="18"/>
                <w:szCs w:val="18"/>
              </w:rPr>
            </w:pPr>
            <w:r w:rsidRPr="002943D4">
              <w:rPr>
                <w:rFonts w:ascii="Arial" w:hAnsi="Arial" w:cs="Arial"/>
                <w:color w:val="000000"/>
                <w:sz w:val="18"/>
                <w:szCs w:val="18"/>
              </w:rPr>
              <w:t>District of Columbia</w:t>
            </w:r>
          </w:p>
        </w:tc>
        <w:tc>
          <w:tcPr>
            <w:tcW w:w="2815" w:type="dxa"/>
            <w:noWrap/>
            <w:hideMark/>
          </w:tcPr>
          <w:p w14:paraId="4937FADC" w14:textId="77777777" w:rsidR="00250639" w:rsidRPr="002943D4" w:rsidRDefault="00250639" w:rsidP="00C736AC">
            <w:pPr>
              <w:jc w:val="right"/>
              <w:rPr>
                <w:rFonts w:ascii="Arial" w:hAnsi="Arial" w:cs="Arial"/>
                <w:color w:val="000000"/>
                <w:sz w:val="18"/>
                <w:szCs w:val="18"/>
              </w:rPr>
            </w:pPr>
            <w:r w:rsidRPr="002943D4">
              <w:rPr>
                <w:rFonts w:ascii="Arial" w:hAnsi="Arial" w:cs="Arial"/>
                <w:color w:val="000000"/>
                <w:sz w:val="18"/>
                <w:szCs w:val="18"/>
              </w:rPr>
              <w:t xml:space="preserve">$787,624 </w:t>
            </w:r>
          </w:p>
        </w:tc>
      </w:tr>
      <w:tr w:rsidR="00250639" w:rsidRPr="002943D4" w14:paraId="239244CA" w14:textId="77777777" w:rsidTr="00C91E7A">
        <w:trPr>
          <w:trHeight w:val="20"/>
        </w:trPr>
        <w:tc>
          <w:tcPr>
            <w:tcW w:w="2605" w:type="dxa"/>
            <w:noWrap/>
            <w:hideMark/>
          </w:tcPr>
          <w:p w14:paraId="1E43428C" w14:textId="77777777" w:rsidR="00250639" w:rsidRPr="002943D4" w:rsidRDefault="00250639" w:rsidP="00C736AC">
            <w:pPr>
              <w:rPr>
                <w:rFonts w:ascii="Arial" w:hAnsi="Arial" w:cs="Arial"/>
                <w:color w:val="000000"/>
                <w:sz w:val="18"/>
                <w:szCs w:val="18"/>
              </w:rPr>
            </w:pPr>
            <w:r w:rsidRPr="002943D4">
              <w:rPr>
                <w:rFonts w:ascii="Arial" w:hAnsi="Arial" w:cs="Arial"/>
                <w:color w:val="000000"/>
                <w:sz w:val="18"/>
                <w:szCs w:val="18"/>
              </w:rPr>
              <w:t>Florida</w:t>
            </w:r>
          </w:p>
        </w:tc>
        <w:tc>
          <w:tcPr>
            <w:tcW w:w="2815" w:type="dxa"/>
            <w:noWrap/>
            <w:hideMark/>
          </w:tcPr>
          <w:p w14:paraId="155CC8DB" w14:textId="77777777" w:rsidR="00250639" w:rsidRPr="002943D4" w:rsidRDefault="00250639" w:rsidP="00C736AC">
            <w:pPr>
              <w:jc w:val="right"/>
              <w:rPr>
                <w:rFonts w:ascii="Arial" w:hAnsi="Arial" w:cs="Arial"/>
                <w:color w:val="000000"/>
                <w:sz w:val="18"/>
                <w:szCs w:val="18"/>
              </w:rPr>
            </w:pPr>
            <w:r w:rsidRPr="002943D4">
              <w:rPr>
                <w:rFonts w:ascii="Arial" w:hAnsi="Arial" w:cs="Arial"/>
                <w:color w:val="000000"/>
                <w:sz w:val="18"/>
                <w:szCs w:val="18"/>
              </w:rPr>
              <w:t xml:space="preserve">$6,116,211 </w:t>
            </w:r>
          </w:p>
        </w:tc>
      </w:tr>
      <w:tr w:rsidR="00250639" w:rsidRPr="002943D4" w14:paraId="5B21750D" w14:textId="77777777" w:rsidTr="00C91E7A">
        <w:trPr>
          <w:trHeight w:val="20"/>
        </w:trPr>
        <w:tc>
          <w:tcPr>
            <w:tcW w:w="2605" w:type="dxa"/>
            <w:noWrap/>
            <w:hideMark/>
          </w:tcPr>
          <w:p w14:paraId="3D65BAF2" w14:textId="77777777" w:rsidR="00250639" w:rsidRPr="002943D4" w:rsidRDefault="00250639" w:rsidP="00C736AC">
            <w:pPr>
              <w:rPr>
                <w:rFonts w:ascii="Arial" w:hAnsi="Arial" w:cs="Arial"/>
                <w:color w:val="000000"/>
                <w:sz w:val="18"/>
                <w:szCs w:val="18"/>
              </w:rPr>
            </w:pPr>
            <w:r w:rsidRPr="002943D4">
              <w:rPr>
                <w:rFonts w:ascii="Arial" w:hAnsi="Arial" w:cs="Arial"/>
                <w:color w:val="000000"/>
                <w:sz w:val="18"/>
                <w:szCs w:val="18"/>
              </w:rPr>
              <w:t>Georgia</w:t>
            </w:r>
          </w:p>
        </w:tc>
        <w:tc>
          <w:tcPr>
            <w:tcW w:w="2815" w:type="dxa"/>
            <w:noWrap/>
            <w:hideMark/>
          </w:tcPr>
          <w:p w14:paraId="02C1AD49" w14:textId="77777777" w:rsidR="00250639" w:rsidRPr="002943D4" w:rsidRDefault="00250639" w:rsidP="00C736AC">
            <w:pPr>
              <w:jc w:val="right"/>
              <w:rPr>
                <w:rFonts w:ascii="Arial" w:hAnsi="Arial" w:cs="Arial"/>
                <w:color w:val="000000"/>
                <w:sz w:val="18"/>
                <w:szCs w:val="18"/>
              </w:rPr>
            </w:pPr>
            <w:r w:rsidRPr="002943D4">
              <w:rPr>
                <w:rFonts w:ascii="Arial" w:hAnsi="Arial" w:cs="Arial"/>
                <w:color w:val="000000"/>
                <w:sz w:val="18"/>
                <w:szCs w:val="18"/>
              </w:rPr>
              <w:t xml:space="preserve">$2,853,558 </w:t>
            </w:r>
          </w:p>
        </w:tc>
      </w:tr>
      <w:tr w:rsidR="00250639" w:rsidRPr="002943D4" w14:paraId="67822762" w14:textId="77777777" w:rsidTr="00C91E7A">
        <w:trPr>
          <w:trHeight w:val="20"/>
        </w:trPr>
        <w:tc>
          <w:tcPr>
            <w:tcW w:w="2605" w:type="dxa"/>
            <w:noWrap/>
            <w:hideMark/>
          </w:tcPr>
          <w:p w14:paraId="2D946205" w14:textId="77777777" w:rsidR="00250639" w:rsidRPr="002943D4" w:rsidRDefault="00250639" w:rsidP="00C736AC">
            <w:pPr>
              <w:rPr>
                <w:rFonts w:ascii="Arial" w:hAnsi="Arial" w:cs="Arial"/>
                <w:color w:val="000000"/>
                <w:sz w:val="18"/>
                <w:szCs w:val="18"/>
              </w:rPr>
            </w:pPr>
            <w:r w:rsidRPr="002943D4">
              <w:rPr>
                <w:rFonts w:ascii="Arial" w:hAnsi="Arial" w:cs="Arial"/>
                <w:color w:val="000000"/>
                <w:sz w:val="18"/>
                <w:szCs w:val="18"/>
              </w:rPr>
              <w:t>Hawaii</w:t>
            </w:r>
          </w:p>
        </w:tc>
        <w:tc>
          <w:tcPr>
            <w:tcW w:w="2815" w:type="dxa"/>
            <w:noWrap/>
            <w:hideMark/>
          </w:tcPr>
          <w:p w14:paraId="308132AF" w14:textId="77777777" w:rsidR="00250639" w:rsidRPr="002943D4" w:rsidRDefault="00250639" w:rsidP="00C736AC">
            <w:pPr>
              <w:jc w:val="right"/>
              <w:rPr>
                <w:rFonts w:ascii="Arial" w:hAnsi="Arial" w:cs="Arial"/>
                <w:color w:val="000000"/>
                <w:sz w:val="18"/>
                <w:szCs w:val="18"/>
              </w:rPr>
            </w:pPr>
            <w:r w:rsidRPr="002943D4">
              <w:rPr>
                <w:rFonts w:ascii="Arial" w:hAnsi="Arial" w:cs="Arial"/>
                <w:color w:val="000000"/>
                <w:sz w:val="18"/>
                <w:szCs w:val="18"/>
              </w:rPr>
              <w:t xml:space="preserve">$484,828 </w:t>
            </w:r>
          </w:p>
        </w:tc>
      </w:tr>
      <w:tr w:rsidR="00250639" w:rsidRPr="002943D4" w14:paraId="686D230E" w14:textId="77777777" w:rsidTr="00C91E7A">
        <w:trPr>
          <w:trHeight w:val="20"/>
        </w:trPr>
        <w:tc>
          <w:tcPr>
            <w:tcW w:w="2605" w:type="dxa"/>
            <w:noWrap/>
            <w:hideMark/>
          </w:tcPr>
          <w:p w14:paraId="072DC335" w14:textId="77777777" w:rsidR="00250639" w:rsidRPr="002943D4" w:rsidRDefault="00250639" w:rsidP="00C736AC">
            <w:pPr>
              <w:rPr>
                <w:rFonts w:ascii="Arial" w:hAnsi="Arial" w:cs="Arial"/>
                <w:color w:val="000000"/>
                <w:sz w:val="18"/>
                <w:szCs w:val="18"/>
              </w:rPr>
            </w:pPr>
            <w:r w:rsidRPr="002943D4">
              <w:rPr>
                <w:rFonts w:ascii="Arial" w:hAnsi="Arial" w:cs="Arial"/>
                <w:color w:val="000000"/>
                <w:sz w:val="18"/>
                <w:szCs w:val="18"/>
              </w:rPr>
              <w:t>Idaho</w:t>
            </w:r>
          </w:p>
        </w:tc>
        <w:tc>
          <w:tcPr>
            <w:tcW w:w="2815" w:type="dxa"/>
            <w:noWrap/>
            <w:hideMark/>
          </w:tcPr>
          <w:p w14:paraId="01A66B40" w14:textId="77777777" w:rsidR="00250639" w:rsidRPr="002943D4" w:rsidRDefault="00250639" w:rsidP="00C736AC">
            <w:pPr>
              <w:jc w:val="right"/>
              <w:rPr>
                <w:rFonts w:ascii="Arial" w:hAnsi="Arial" w:cs="Arial"/>
                <w:color w:val="000000"/>
                <w:sz w:val="18"/>
                <w:szCs w:val="18"/>
              </w:rPr>
            </w:pPr>
            <w:r w:rsidRPr="002943D4">
              <w:rPr>
                <w:rFonts w:ascii="Arial" w:hAnsi="Arial" w:cs="Arial"/>
                <w:color w:val="000000"/>
                <w:sz w:val="18"/>
                <w:szCs w:val="18"/>
              </w:rPr>
              <w:t xml:space="preserve">$772,996 </w:t>
            </w:r>
          </w:p>
        </w:tc>
      </w:tr>
      <w:tr w:rsidR="00250639" w:rsidRPr="002943D4" w14:paraId="21664667" w14:textId="77777777" w:rsidTr="00C91E7A">
        <w:trPr>
          <w:trHeight w:val="20"/>
        </w:trPr>
        <w:tc>
          <w:tcPr>
            <w:tcW w:w="2605" w:type="dxa"/>
            <w:noWrap/>
            <w:hideMark/>
          </w:tcPr>
          <w:p w14:paraId="3DE6C1C1" w14:textId="77777777" w:rsidR="00250639" w:rsidRPr="002943D4" w:rsidRDefault="00250639" w:rsidP="00C736AC">
            <w:pPr>
              <w:rPr>
                <w:rFonts w:ascii="Arial" w:hAnsi="Arial" w:cs="Arial"/>
                <w:color w:val="000000"/>
                <w:sz w:val="18"/>
                <w:szCs w:val="18"/>
              </w:rPr>
            </w:pPr>
            <w:r w:rsidRPr="002943D4">
              <w:rPr>
                <w:rFonts w:ascii="Arial" w:hAnsi="Arial" w:cs="Arial"/>
                <w:color w:val="000000"/>
                <w:sz w:val="18"/>
                <w:szCs w:val="18"/>
              </w:rPr>
              <w:t>Illinois</w:t>
            </w:r>
          </w:p>
        </w:tc>
        <w:tc>
          <w:tcPr>
            <w:tcW w:w="2815" w:type="dxa"/>
            <w:noWrap/>
            <w:hideMark/>
          </w:tcPr>
          <w:p w14:paraId="58A3DD1B" w14:textId="77777777" w:rsidR="00250639" w:rsidRPr="002943D4" w:rsidRDefault="00250639" w:rsidP="00C736AC">
            <w:pPr>
              <w:jc w:val="right"/>
              <w:rPr>
                <w:rFonts w:ascii="Arial" w:hAnsi="Arial" w:cs="Arial"/>
                <w:color w:val="000000"/>
                <w:sz w:val="18"/>
                <w:szCs w:val="18"/>
              </w:rPr>
            </w:pPr>
            <w:r w:rsidRPr="002943D4">
              <w:rPr>
                <w:rFonts w:ascii="Arial" w:hAnsi="Arial" w:cs="Arial"/>
                <w:color w:val="000000"/>
                <w:sz w:val="18"/>
                <w:szCs w:val="18"/>
              </w:rPr>
              <w:t xml:space="preserve">$5,771,528 </w:t>
            </w:r>
          </w:p>
        </w:tc>
      </w:tr>
      <w:tr w:rsidR="00250639" w:rsidRPr="002943D4" w14:paraId="21EF2545" w14:textId="77777777" w:rsidTr="00C91E7A">
        <w:trPr>
          <w:trHeight w:val="20"/>
        </w:trPr>
        <w:tc>
          <w:tcPr>
            <w:tcW w:w="2605" w:type="dxa"/>
            <w:noWrap/>
            <w:hideMark/>
          </w:tcPr>
          <w:p w14:paraId="6BA79EFA" w14:textId="77777777" w:rsidR="00250639" w:rsidRPr="002943D4" w:rsidRDefault="00250639" w:rsidP="00C736AC">
            <w:pPr>
              <w:rPr>
                <w:rFonts w:ascii="Arial" w:hAnsi="Arial" w:cs="Arial"/>
                <w:color w:val="000000"/>
                <w:sz w:val="18"/>
                <w:szCs w:val="18"/>
              </w:rPr>
            </w:pPr>
            <w:r w:rsidRPr="002943D4">
              <w:rPr>
                <w:rFonts w:ascii="Arial" w:hAnsi="Arial" w:cs="Arial"/>
                <w:color w:val="000000"/>
                <w:sz w:val="18"/>
                <w:szCs w:val="18"/>
              </w:rPr>
              <w:t>Indiana</w:t>
            </w:r>
          </w:p>
        </w:tc>
        <w:tc>
          <w:tcPr>
            <w:tcW w:w="2815" w:type="dxa"/>
            <w:noWrap/>
            <w:hideMark/>
          </w:tcPr>
          <w:p w14:paraId="188ADA8D" w14:textId="77777777" w:rsidR="00250639" w:rsidRPr="002943D4" w:rsidRDefault="00250639" w:rsidP="00C736AC">
            <w:pPr>
              <w:jc w:val="right"/>
              <w:rPr>
                <w:rFonts w:ascii="Arial" w:hAnsi="Arial" w:cs="Arial"/>
                <w:color w:val="000000"/>
                <w:sz w:val="18"/>
                <w:szCs w:val="18"/>
              </w:rPr>
            </w:pPr>
            <w:r w:rsidRPr="002943D4">
              <w:rPr>
                <w:rFonts w:ascii="Arial" w:hAnsi="Arial" w:cs="Arial"/>
                <w:color w:val="000000"/>
                <w:sz w:val="18"/>
                <w:szCs w:val="18"/>
              </w:rPr>
              <w:t xml:space="preserve">$1,402,692 </w:t>
            </w:r>
          </w:p>
        </w:tc>
      </w:tr>
      <w:tr w:rsidR="00250639" w:rsidRPr="002943D4" w14:paraId="683D07E6" w14:textId="77777777" w:rsidTr="00C91E7A">
        <w:trPr>
          <w:trHeight w:val="20"/>
        </w:trPr>
        <w:tc>
          <w:tcPr>
            <w:tcW w:w="2605" w:type="dxa"/>
            <w:noWrap/>
            <w:hideMark/>
          </w:tcPr>
          <w:p w14:paraId="6E759DEF" w14:textId="77777777" w:rsidR="00250639" w:rsidRPr="002943D4" w:rsidRDefault="00250639" w:rsidP="00C736AC">
            <w:pPr>
              <w:rPr>
                <w:rFonts w:ascii="Arial" w:hAnsi="Arial" w:cs="Arial"/>
                <w:color w:val="000000"/>
                <w:sz w:val="18"/>
                <w:szCs w:val="18"/>
              </w:rPr>
            </w:pPr>
            <w:r w:rsidRPr="002943D4">
              <w:rPr>
                <w:rFonts w:ascii="Arial" w:hAnsi="Arial" w:cs="Arial"/>
                <w:color w:val="000000"/>
                <w:sz w:val="18"/>
                <w:szCs w:val="18"/>
              </w:rPr>
              <w:t>Iowa</w:t>
            </w:r>
          </w:p>
        </w:tc>
        <w:tc>
          <w:tcPr>
            <w:tcW w:w="2815" w:type="dxa"/>
            <w:noWrap/>
            <w:hideMark/>
          </w:tcPr>
          <w:p w14:paraId="3138B9CF" w14:textId="77777777" w:rsidR="00250639" w:rsidRPr="002943D4" w:rsidRDefault="00250639" w:rsidP="00C736AC">
            <w:pPr>
              <w:jc w:val="right"/>
              <w:rPr>
                <w:rFonts w:ascii="Arial" w:hAnsi="Arial" w:cs="Arial"/>
                <w:color w:val="000000"/>
                <w:sz w:val="18"/>
                <w:szCs w:val="18"/>
              </w:rPr>
            </w:pPr>
            <w:r w:rsidRPr="002943D4">
              <w:rPr>
                <w:rFonts w:ascii="Arial" w:hAnsi="Arial" w:cs="Arial"/>
                <w:color w:val="000000"/>
                <w:sz w:val="18"/>
                <w:szCs w:val="18"/>
              </w:rPr>
              <w:t xml:space="preserve">$1,673,647 </w:t>
            </w:r>
          </w:p>
        </w:tc>
      </w:tr>
      <w:tr w:rsidR="00250639" w:rsidRPr="002943D4" w14:paraId="7CF9AEF2" w14:textId="77777777" w:rsidTr="00C91E7A">
        <w:trPr>
          <w:trHeight w:val="20"/>
        </w:trPr>
        <w:tc>
          <w:tcPr>
            <w:tcW w:w="2605" w:type="dxa"/>
            <w:noWrap/>
            <w:hideMark/>
          </w:tcPr>
          <w:p w14:paraId="0864EA42" w14:textId="77777777" w:rsidR="00250639" w:rsidRPr="002943D4" w:rsidRDefault="00250639" w:rsidP="00C736AC">
            <w:pPr>
              <w:rPr>
                <w:rFonts w:ascii="Arial" w:hAnsi="Arial" w:cs="Arial"/>
                <w:color w:val="000000"/>
                <w:sz w:val="18"/>
                <w:szCs w:val="18"/>
              </w:rPr>
            </w:pPr>
            <w:r w:rsidRPr="002943D4">
              <w:rPr>
                <w:rFonts w:ascii="Arial" w:hAnsi="Arial" w:cs="Arial"/>
                <w:color w:val="000000"/>
                <w:sz w:val="18"/>
                <w:szCs w:val="18"/>
              </w:rPr>
              <w:t>Kansas</w:t>
            </w:r>
          </w:p>
        </w:tc>
        <w:tc>
          <w:tcPr>
            <w:tcW w:w="2815" w:type="dxa"/>
            <w:noWrap/>
            <w:hideMark/>
          </w:tcPr>
          <w:p w14:paraId="227BA871" w14:textId="77777777" w:rsidR="00250639" w:rsidRPr="002943D4" w:rsidRDefault="00250639" w:rsidP="00C736AC">
            <w:pPr>
              <w:jc w:val="right"/>
              <w:rPr>
                <w:rFonts w:ascii="Arial" w:hAnsi="Arial" w:cs="Arial"/>
                <w:color w:val="000000"/>
                <w:sz w:val="18"/>
                <w:szCs w:val="18"/>
              </w:rPr>
            </w:pPr>
            <w:r w:rsidRPr="002943D4">
              <w:rPr>
                <w:rFonts w:ascii="Arial" w:hAnsi="Arial" w:cs="Arial"/>
                <w:color w:val="000000"/>
                <w:sz w:val="18"/>
                <w:szCs w:val="18"/>
              </w:rPr>
              <w:t xml:space="preserve">$2,071,571 </w:t>
            </w:r>
          </w:p>
        </w:tc>
      </w:tr>
      <w:tr w:rsidR="00250639" w:rsidRPr="002943D4" w14:paraId="78256411" w14:textId="77777777" w:rsidTr="00C91E7A">
        <w:trPr>
          <w:trHeight w:val="20"/>
        </w:trPr>
        <w:tc>
          <w:tcPr>
            <w:tcW w:w="2605" w:type="dxa"/>
            <w:noWrap/>
            <w:hideMark/>
          </w:tcPr>
          <w:p w14:paraId="11B96716" w14:textId="77777777" w:rsidR="00250639" w:rsidRPr="002943D4" w:rsidRDefault="00250639" w:rsidP="00C736AC">
            <w:pPr>
              <w:rPr>
                <w:rFonts w:ascii="Arial" w:hAnsi="Arial" w:cs="Arial"/>
                <w:color w:val="000000"/>
                <w:sz w:val="18"/>
                <w:szCs w:val="18"/>
              </w:rPr>
            </w:pPr>
            <w:r w:rsidRPr="002943D4">
              <w:rPr>
                <w:rFonts w:ascii="Arial" w:hAnsi="Arial" w:cs="Arial"/>
                <w:color w:val="000000"/>
                <w:sz w:val="18"/>
                <w:szCs w:val="18"/>
              </w:rPr>
              <w:t>Kentucky</w:t>
            </w:r>
          </w:p>
        </w:tc>
        <w:tc>
          <w:tcPr>
            <w:tcW w:w="2815" w:type="dxa"/>
            <w:noWrap/>
            <w:hideMark/>
          </w:tcPr>
          <w:p w14:paraId="10B4837F" w14:textId="77777777" w:rsidR="00250639" w:rsidRPr="002943D4" w:rsidRDefault="00250639" w:rsidP="00C736AC">
            <w:pPr>
              <w:jc w:val="right"/>
              <w:rPr>
                <w:rFonts w:ascii="Arial" w:hAnsi="Arial" w:cs="Arial"/>
                <w:color w:val="000000"/>
                <w:sz w:val="18"/>
                <w:szCs w:val="18"/>
              </w:rPr>
            </w:pPr>
            <w:r w:rsidRPr="002943D4">
              <w:rPr>
                <w:rFonts w:ascii="Arial" w:hAnsi="Arial" w:cs="Arial"/>
                <w:color w:val="000000"/>
                <w:sz w:val="18"/>
                <w:szCs w:val="18"/>
              </w:rPr>
              <w:t xml:space="preserve">$1,639,806 </w:t>
            </w:r>
          </w:p>
        </w:tc>
      </w:tr>
      <w:tr w:rsidR="00250639" w:rsidRPr="002943D4" w14:paraId="4B515FC8" w14:textId="77777777" w:rsidTr="00C91E7A">
        <w:trPr>
          <w:trHeight w:val="20"/>
        </w:trPr>
        <w:tc>
          <w:tcPr>
            <w:tcW w:w="2605" w:type="dxa"/>
            <w:noWrap/>
            <w:hideMark/>
          </w:tcPr>
          <w:p w14:paraId="4D7CE493" w14:textId="77777777" w:rsidR="00250639" w:rsidRPr="002943D4" w:rsidRDefault="00250639" w:rsidP="00C736AC">
            <w:pPr>
              <w:rPr>
                <w:rFonts w:ascii="Arial" w:hAnsi="Arial" w:cs="Arial"/>
                <w:color w:val="000000"/>
                <w:sz w:val="18"/>
                <w:szCs w:val="18"/>
              </w:rPr>
            </w:pPr>
            <w:r w:rsidRPr="002943D4">
              <w:rPr>
                <w:rFonts w:ascii="Arial" w:hAnsi="Arial" w:cs="Arial"/>
                <w:color w:val="000000"/>
                <w:sz w:val="18"/>
                <w:szCs w:val="18"/>
              </w:rPr>
              <w:t>Louisiana</w:t>
            </w:r>
          </w:p>
        </w:tc>
        <w:tc>
          <w:tcPr>
            <w:tcW w:w="2815" w:type="dxa"/>
            <w:noWrap/>
            <w:hideMark/>
          </w:tcPr>
          <w:p w14:paraId="4B59B3BE" w14:textId="77777777" w:rsidR="00250639" w:rsidRPr="002943D4" w:rsidRDefault="00250639" w:rsidP="00C736AC">
            <w:pPr>
              <w:jc w:val="right"/>
              <w:rPr>
                <w:rFonts w:ascii="Arial" w:hAnsi="Arial" w:cs="Arial"/>
                <w:color w:val="000000"/>
                <w:sz w:val="18"/>
                <w:szCs w:val="18"/>
              </w:rPr>
            </w:pPr>
            <w:r w:rsidRPr="002943D4">
              <w:rPr>
                <w:rFonts w:ascii="Arial" w:hAnsi="Arial" w:cs="Arial"/>
                <w:color w:val="000000"/>
                <w:sz w:val="18"/>
                <w:szCs w:val="18"/>
              </w:rPr>
              <w:t xml:space="preserve">$3,408,033 </w:t>
            </w:r>
          </w:p>
        </w:tc>
      </w:tr>
      <w:tr w:rsidR="00250639" w:rsidRPr="002943D4" w14:paraId="4EAC64EF" w14:textId="77777777" w:rsidTr="00C91E7A">
        <w:trPr>
          <w:trHeight w:val="20"/>
        </w:trPr>
        <w:tc>
          <w:tcPr>
            <w:tcW w:w="2605" w:type="dxa"/>
            <w:noWrap/>
            <w:hideMark/>
          </w:tcPr>
          <w:p w14:paraId="0BD45ABE" w14:textId="77777777" w:rsidR="00250639" w:rsidRPr="002943D4" w:rsidRDefault="00250639" w:rsidP="00C736AC">
            <w:pPr>
              <w:rPr>
                <w:rFonts w:ascii="Arial" w:hAnsi="Arial" w:cs="Arial"/>
                <w:color w:val="000000"/>
                <w:sz w:val="18"/>
                <w:szCs w:val="18"/>
              </w:rPr>
            </w:pPr>
            <w:r w:rsidRPr="002943D4">
              <w:rPr>
                <w:rFonts w:ascii="Arial" w:hAnsi="Arial" w:cs="Arial"/>
                <w:color w:val="000000"/>
                <w:sz w:val="18"/>
                <w:szCs w:val="18"/>
              </w:rPr>
              <w:t>Maine</w:t>
            </w:r>
          </w:p>
        </w:tc>
        <w:tc>
          <w:tcPr>
            <w:tcW w:w="2815" w:type="dxa"/>
            <w:noWrap/>
            <w:hideMark/>
          </w:tcPr>
          <w:p w14:paraId="6CA9F1C1" w14:textId="77777777" w:rsidR="00250639" w:rsidRPr="002943D4" w:rsidRDefault="00250639" w:rsidP="00C736AC">
            <w:pPr>
              <w:jc w:val="right"/>
              <w:rPr>
                <w:rFonts w:ascii="Arial" w:hAnsi="Arial" w:cs="Arial"/>
                <w:color w:val="000000"/>
                <w:sz w:val="18"/>
                <w:szCs w:val="18"/>
              </w:rPr>
            </w:pPr>
            <w:r w:rsidRPr="002943D4">
              <w:rPr>
                <w:rFonts w:ascii="Arial" w:hAnsi="Arial" w:cs="Arial"/>
                <w:color w:val="000000"/>
                <w:sz w:val="18"/>
                <w:szCs w:val="18"/>
              </w:rPr>
              <w:t xml:space="preserve">$595,649 </w:t>
            </w:r>
          </w:p>
        </w:tc>
      </w:tr>
      <w:tr w:rsidR="00250639" w:rsidRPr="002943D4" w14:paraId="554714EB" w14:textId="77777777" w:rsidTr="00C91E7A">
        <w:trPr>
          <w:trHeight w:val="20"/>
        </w:trPr>
        <w:tc>
          <w:tcPr>
            <w:tcW w:w="2605" w:type="dxa"/>
            <w:noWrap/>
            <w:hideMark/>
          </w:tcPr>
          <w:p w14:paraId="46A90D59" w14:textId="77777777" w:rsidR="00250639" w:rsidRPr="002943D4" w:rsidRDefault="00250639" w:rsidP="00C736AC">
            <w:pPr>
              <w:rPr>
                <w:rFonts w:ascii="Arial" w:hAnsi="Arial" w:cs="Arial"/>
                <w:color w:val="000000"/>
                <w:sz w:val="18"/>
                <w:szCs w:val="18"/>
              </w:rPr>
            </w:pPr>
            <w:r w:rsidRPr="002943D4">
              <w:rPr>
                <w:rFonts w:ascii="Arial" w:hAnsi="Arial" w:cs="Arial"/>
                <w:color w:val="000000"/>
                <w:sz w:val="18"/>
                <w:szCs w:val="18"/>
              </w:rPr>
              <w:t>Maryland</w:t>
            </w:r>
          </w:p>
        </w:tc>
        <w:tc>
          <w:tcPr>
            <w:tcW w:w="2815" w:type="dxa"/>
            <w:noWrap/>
            <w:hideMark/>
          </w:tcPr>
          <w:p w14:paraId="5E71F815" w14:textId="77777777" w:rsidR="00250639" w:rsidRPr="002943D4" w:rsidRDefault="00250639" w:rsidP="00C736AC">
            <w:pPr>
              <w:jc w:val="right"/>
              <w:rPr>
                <w:rFonts w:ascii="Arial" w:hAnsi="Arial" w:cs="Arial"/>
                <w:color w:val="000000"/>
                <w:sz w:val="18"/>
                <w:szCs w:val="18"/>
              </w:rPr>
            </w:pPr>
            <w:r w:rsidRPr="002943D4">
              <w:rPr>
                <w:rFonts w:ascii="Arial" w:hAnsi="Arial" w:cs="Arial"/>
                <w:color w:val="000000"/>
                <w:sz w:val="18"/>
                <w:szCs w:val="18"/>
              </w:rPr>
              <w:t xml:space="preserve">$1,627,181 </w:t>
            </w:r>
          </w:p>
        </w:tc>
      </w:tr>
      <w:tr w:rsidR="00250639" w:rsidRPr="002943D4" w14:paraId="12ABCA0E" w14:textId="77777777" w:rsidTr="00C91E7A">
        <w:trPr>
          <w:trHeight w:val="20"/>
        </w:trPr>
        <w:tc>
          <w:tcPr>
            <w:tcW w:w="2605" w:type="dxa"/>
            <w:noWrap/>
            <w:hideMark/>
          </w:tcPr>
          <w:p w14:paraId="22FA6CAA" w14:textId="77777777" w:rsidR="00250639" w:rsidRPr="002943D4" w:rsidRDefault="00250639" w:rsidP="00C736AC">
            <w:pPr>
              <w:rPr>
                <w:rFonts w:ascii="Arial" w:hAnsi="Arial" w:cs="Arial"/>
                <w:color w:val="000000"/>
                <w:sz w:val="18"/>
                <w:szCs w:val="18"/>
              </w:rPr>
            </w:pPr>
            <w:r w:rsidRPr="002943D4">
              <w:rPr>
                <w:rFonts w:ascii="Arial" w:hAnsi="Arial" w:cs="Arial"/>
                <w:color w:val="000000"/>
                <w:sz w:val="18"/>
                <w:szCs w:val="18"/>
              </w:rPr>
              <w:t>Massachusetts</w:t>
            </w:r>
          </w:p>
        </w:tc>
        <w:tc>
          <w:tcPr>
            <w:tcW w:w="2815" w:type="dxa"/>
            <w:noWrap/>
            <w:hideMark/>
          </w:tcPr>
          <w:p w14:paraId="7C2781CF" w14:textId="77777777" w:rsidR="00250639" w:rsidRPr="002943D4" w:rsidRDefault="00250639" w:rsidP="00C736AC">
            <w:pPr>
              <w:jc w:val="right"/>
              <w:rPr>
                <w:rFonts w:ascii="Arial" w:hAnsi="Arial" w:cs="Arial"/>
                <w:color w:val="000000"/>
                <w:sz w:val="18"/>
                <w:szCs w:val="18"/>
              </w:rPr>
            </w:pPr>
            <w:r w:rsidRPr="002943D4">
              <w:rPr>
                <w:rFonts w:ascii="Arial" w:hAnsi="Arial" w:cs="Arial"/>
                <w:color w:val="000000"/>
                <w:sz w:val="18"/>
                <w:szCs w:val="18"/>
              </w:rPr>
              <w:t xml:space="preserve">$5,122,935 </w:t>
            </w:r>
          </w:p>
        </w:tc>
      </w:tr>
      <w:tr w:rsidR="00250639" w:rsidRPr="002943D4" w14:paraId="17F9217F" w14:textId="77777777" w:rsidTr="00C91E7A">
        <w:trPr>
          <w:trHeight w:val="20"/>
        </w:trPr>
        <w:tc>
          <w:tcPr>
            <w:tcW w:w="2605" w:type="dxa"/>
            <w:noWrap/>
            <w:hideMark/>
          </w:tcPr>
          <w:p w14:paraId="63732545" w14:textId="77777777" w:rsidR="00250639" w:rsidRPr="002943D4" w:rsidRDefault="00250639" w:rsidP="00C736AC">
            <w:pPr>
              <w:rPr>
                <w:rFonts w:ascii="Arial" w:hAnsi="Arial" w:cs="Arial"/>
                <w:color w:val="000000"/>
                <w:sz w:val="18"/>
                <w:szCs w:val="18"/>
              </w:rPr>
            </w:pPr>
            <w:r w:rsidRPr="002943D4">
              <w:rPr>
                <w:rFonts w:ascii="Arial" w:hAnsi="Arial" w:cs="Arial"/>
                <w:color w:val="000000"/>
                <w:sz w:val="18"/>
                <w:szCs w:val="18"/>
              </w:rPr>
              <w:t>Michigan</w:t>
            </w:r>
          </w:p>
        </w:tc>
        <w:tc>
          <w:tcPr>
            <w:tcW w:w="2815" w:type="dxa"/>
            <w:noWrap/>
            <w:hideMark/>
          </w:tcPr>
          <w:p w14:paraId="5369AC05" w14:textId="77777777" w:rsidR="00250639" w:rsidRPr="002943D4" w:rsidRDefault="00250639" w:rsidP="00C736AC">
            <w:pPr>
              <w:jc w:val="right"/>
              <w:rPr>
                <w:rFonts w:ascii="Arial" w:hAnsi="Arial" w:cs="Arial"/>
                <w:color w:val="000000"/>
                <w:sz w:val="18"/>
                <w:szCs w:val="18"/>
              </w:rPr>
            </w:pPr>
            <w:r w:rsidRPr="002943D4">
              <w:rPr>
                <w:rFonts w:ascii="Arial" w:hAnsi="Arial" w:cs="Arial"/>
                <w:color w:val="000000"/>
                <w:sz w:val="18"/>
                <w:szCs w:val="18"/>
              </w:rPr>
              <w:t xml:space="preserve">$7,676,756 </w:t>
            </w:r>
          </w:p>
        </w:tc>
      </w:tr>
      <w:tr w:rsidR="00250639" w:rsidRPr="002943D4" w14:paraId="298767EC" w14:textId="77777777" w:rsidTr="00C91E7A">
        <w:trPr>
          <w:trHeight w:val="20"/>
        </w:trPr>
        <w:tc>
          <w:tcPr>
            <w:tcW w:w="2605" w:type="dxa"/>
            <w:noWrap/>
            <w:hideMark/>
          </w:tcPr>
          <w:p w14:paraId="4B86CB45" w14:textId="77777777" w:rsidR="00250639" w:rsidRPr="002943D4" w:rsidRDefault="00250639" w:rsidP="00C736AC">
            <w:pPr>
              <w:rPr>
                <w:rFonts w:ascii="Arial" w:hAnsi="Arial" w:cs="Arial"/>
                <w:color w:val="000000"/>
                <w:sz w:val="18"/>
                <w:szCs w:val="18"/>
              </w:rPr>
            </w:pPr>
            <w:r w:rsidRPr="002943D4">
              <w:rPr>
                <w:rFonts w:ascii="Arial" w:hAnsi="Arial" w:cs="Arial"/>
                <w:color w:val="000000"/>
                <w:sz w:val="18"/>
                <w:szCs w:val="18"/>
              </w:rPr>
              <w:t>Minnesota</w:t>
            </w:r>
          </w:p>
        </w:tc>
        <w:tc>
          <w:tcPr>
            <w:tcW w:w="2815" w:type="dxa"/>
            <w:noWrap/>
            <w:hideMark/>
          </w:tcPr>
          <w:p w14:paraId="0D30F082" w14:textId="77777777" w:rsidR="00250639" w:rsidRPr="002943D4" w:rsidRDefault="00250639" w:rsidP="00C736AC">
            <w:pPr>
              <w:jc w:val="right"/>
              <w:rPr>
                <w:rFonts w:ascii="Arial" w:hAnsi="Arial" w:cs="Arial"/>
                <w:color w:val="000000"/>
                <w:sz w:val="18"/>
                <w:szCs w:val="18"/>
              </w:rPr>
            </w:pPr>
            <w:r w:rsidRPr="002943D4">
              <w:rPr>
                <w:rFonts w:ascii="Arial" w:hAnsi="Arial" w:cs="Arial"/>
                <w:color w:val="000000"/>
                <w:sz w:val="18"/>
                <w:szCs w:val="18"/>
              </w:rPr>
              <w:t xml:space="preserve">$1,798,504 </w:t>
            </w:r>
          </w:p>
        </w:tc>
      </w:tr>
      <w:tr w:rsidR="00250639" w:rsidRPr="002943D4" w14:paraId="7BD53E0D" w14:textId="77777777" w:rsidTr="00C91E7A">
        <w:trPr>
          <w:trHeight w:val="20"/>
        </w:trPr>
        <w:tc>
          <w:tcPr>
            <w:tcW w:w="2605" w:type="dxa"/>
            <w:noWrap/>
            <w:hideMark/>
          </w:tcPr>
          <w:p w14:paraId="4AAA8128" w14:textId="77777777" w:rsidR="00250639" w:rsidRPr="002943D4" w:rsidRDefault="00250639" w:rsidP="00C736AC">
            <w:pPr>
              <w:rPr>
                <w:rFonts w:ascii="Arial" w:hAnsi="Arial" w:cs="Arial"/>
                <w:color w:val="000000"/>
                <w:sz w:val="18"/>
                <w:szCs w:val="18"/>
              </w:rPr>
            </w:pPr>
            <w:r w:rsidRPr="002943D4">
              <w:rPr>
                <w:rFonts w:ascii="Arial" w:hAnsi="Arial" w:cs="Arial"/>
                <w:color w:val="000000"/>
                <w:sz w:val="18"/>
                <w:szCs w:val="18"/>
              </w:rPr>
              <w:t>Mississippi</w:t>
            </w:r>
          </w:p>
        </w:tc>
        <w:tc>
          <w:tcPr>
            <w:tcW w:w="2815" w:type="dxa"/>
            <w:noWrap/>
            <w:hideMark/>
          </w:tcPr>
          <w:p w14:paraId="0A29ACC2" w14:textId="77777777" w:rsidR="00250639" w:rsidRPr="002943D4" w:rsidRDefault="00250639" w:rsidP="00C736AC">
            <w:pPr>
              <w:jc w:val="right"/>
              <w:rPr>
                <w:rFonts w:ascii="Arial" w:hAnsi="Arial" w:cs="Arial"/>
                <w:color w:val="000000"/>
                <w:sz w:val="18"/>
                <w:szCs w:val="18"/>
              </w:rPr>
            </w:pPr>
            <w:r w:rsidRPr="002943D4">
              <w:rPr>
                <w:rFonts w:ascii="Arial" w:hAnsi="Arial" w:cs="Arial"/>
                <w:color w:val="000000"/>
                <w:sz w:val="18"/>
                <w:szCs w:val="18"/>
              </w:rPr>
              <w:t xml:space="preserve">$1,520,183 </w:t>
            </w:r>
          </w:p>
        </w:tc>
      </w:tr>
      <w:tr w:rsidR="00250639" w:rsidRPr="002943D4" w14:paraId="7D7F9A8F" w14:textId="77777777" w:rsidTr="00C91E7A">
        <w:trPr>
          <w:trHeight w:val="20"/>
        </w:trPr>
        <w:tc>
          <w:tcPr>
            <w:tcW w:w="2605" w:type="dxa"/>
            <w:noWrap/>
            <w:hideMark/>
          </w:tcPr>
          <w:p w14:paraId="3EBA860A" w14:textId="77777777" w:rsidR="00250639" w:rsidRPr="002943D4" w:rsidRDefault="00250639" w:rsidP="00C736AC">
            <w:pPr>
              <w:rPr>
                <w:rFonts w:ascii="Arial" w:hAnsi="Arial" w:cs="Arial"/>
                <w:color w:val="000000"/>
                <w:sz w:val="18"/>
                <w:szCs w:val="18"/>
              </w:rPr>
            </w:pPr>
            <w:r w:rsidRPr="002943D4">
              <w:rPr>
                <w:rFonts w:ascii="Arial" w:hAnsi="Arial" w:cs="Arial"/>
                <w:color w:val="000000"/>
                <w:sz w:val="18"/>
                <w:szCs w:val="18"/>
              </w:rPr>
              <w:t>Missouri</w:t>
            </w:r>
          </w:p>
        </w:tc>
        <w:tc>
          <w:tcPr>
            <w:tcW w:w="2815" w:type="dxa"/>
            <w:noWrap/>
            <w:hideMark/>
          </w:tcPr>
          <w:p w14:paraId="14B4F74A" w14:textId="77777777" w:rsidR="00250639" w:rsidRPr="002943D4" w:rsidRDefault="00250639" w:rsidP="00C736AC">
            <w:pPr>
              <w:jc w:val="right"/>
              <w:rPr>
                <w:rFonts w:ascii="Arial" w:hAnsi="Arial" w:cs="Arial"/>
                <w:color w:val="000000"/>
                <w:sz w:val="18"/>
                <w:szCs w:val="18"/>
              </w:rPr>
            </w:pPr>
            <w:r w:rsidRPr="002943D4">
              <w:rPr>
                <w:rFonts w:ascii="Arial" w:hAnsi="Arial" w:cs="Arial"/>
                <w:color w:val="000000"/>
                <w:sz w:val="18"/>
                <w:szCs w:val="18"/>
              </w:rPr>
              <w:t xml:space="preserve">$3,981,217 </w:t>
            </w:r>
          </w:p>
        </w:tc>
      </w:tr>
      <w:tr w:rsidR="00250639" w:rsidRPr="002943D4" w14:paraId="4A0E3FA6" w14:textId="77777777" w:rsidTr="00C91E7A">
        <w:trPr>
          <w:trHeight w:val="20"/>
        </w:trPr>
        <w:tc>
          <w:tcPr>
            <w:tcW w:w="2605" w:type="dxa"/>
            <w:noWrap/>
            <w:hideMark/>
          </w:tcPr>
          <w:p w14:paraId="2359677F" w14:textId="77777777" w:rsidR="00250639" w:rsidRPr="002943D4" w:rsidRDefault="00250639" w:rsidP="00C736AC">
            <w:pPr>
              <w:rPr>
                <w:rFonts w:ascii="Arial" w:hAnsi="Arial" w:cs="Arial"/>
                <w:color w:val="000000"/>
                <w:sz w:val="18"/>
                <w:szCs w:val="18"/>
              </w:rPr>
            </w:pPr>
            <w:r w:rsidRPr="002943D4">
              <w:rPr>
                <w:rFonts w:ascii="Arial" w:hAnsi="Arial" w:cs="Arial"/>
                <w:color w:val="000000"/>
                <w:sz w:val="18"/>
                <w:szCs w:val="18"/>
              </w:rPr>
              <w:t>Montana</w:t>
            </w:r>
          </w:p>
        </w:tc>
        <w:tc>
          <w:tcPr>
            <w:tcW w:w="2815" w:type="dxa"/>
            <w:noWrap/>
            <w:hideMark/>
          </w:tcPr>
          <w:p w14:paraId="37E43D3E" w14:textId="77777777" w:rsidR="00250639" w:rsidRPr="002943D4" w:rsidRDefault="00250639" w:rsidP="00C736AC">
            <w:pPr>
              <w:jc w:val="right"/>
              <w:rPr>
                <w:rFonts w:ascii="Arial" w:hAnsi="Arial" w:cs="Arial"/>
                <w:color w:val="000000"/>
                <w:sz w:val="18"/>
                <w:szCs w:val="18"/>
              </w:rPr>
            </w:pPr>
            <w:r w:rsidRPr="002943D4">
              <w:rPr>
                <w:rFonts w:ascii="Arial" w:hAnsi="Arial" w:cs="Arial"/>
                <w:color w:val="000000"/>
                <w:sz w:val="18"/>
                <w:szCs w:val="18"/>
              </w:rPr>
              <w:t xml:space="preserve">$813,098 </w:t>
            </w:r>
          </w:p>
        </w:tc>
      </w:tr>
      <w:tr w:rsidR="00250639" w:rsidRPr="002943D4" w14:paraId="38FF1150" w14:textId="77777777" w:rsidTr="00C91E7A">
        <w:trPr>
          <w:trHeight w:val="20"/>
        </w:trPr>
        <w:tc>
          <w:tcPr>
            <w:tcW w:w="2605" w:type="dxa"/>
            <w:noWrap/>
            <w:hideMark/>
          </w:tcPr>
          <w:p w14:paraId="1FACB220" w14:textId="77777777" w:rsidR="00250639" w:rsidRPr="002943D4" w:rsidRDefault="00250639" w:rsidP="00C736AC">
            <w:pPr>
              <w:rPr>
                <w:rFonts w:ascii="Arial" w:hAnsi="Arial" w:cs="Arial"/>
                <w:color w:val="000000"/>
                <w:sz w:val="18"/>
                <w:szCs w:val="18"/>
              </w:rPr>
            </w:pPr>
            <w:r w:rsidRPr="002943D4">
              <w:rPr>
                <w:rFonts w:ascii="Arial" w:hAnsi="Arial" w:cs="Arial"/>
                <w:color w:val="000000"/>
                <w:sz w:val="18"/>
                <w:szCs w:val="18"/>
              </w:rPr>
              <w:t>Nebraska</w:t>
            </w:r>
          </w:p>
        </w:tc>
        <w:tc>
          <w:tcPr>
            <w:tcW w:w="2815" w:type="dxa"/>
            <w:noWrap/>
            <w:hideMark/>
          </w:tcPr>
          <w:p w14:paraId="3F3A41E7" w14:textId="77777777" w:rsidR="00250639" w:rsidRPr="002943D4" w:rsidRDefault="00250639" w:rsidP="00C736AC">
            <w:pPr>
              <w:jc w:val="right"/>
              <w:rPr>
                <w:rFonts w:ascii="Arial" w:hAnsi="Arial" w:cs="Arial"/>
                <w:color w:val="000000"/>
                <w:sz w:val="18"/>
                <w:szCs w:val="18"/>
              </w:rPr>
            </w:pPr>
            <w:r w:rsidRPr="002943D4">
              <w:rPr>
                <w:rFonts w:ascii="Arial" w:hAnsi="Arial" w:cs="Arial"/>
                <w:color w:val="000000"/>
                <w:sz w:val="18"/>
                <w:szCs w:val="18"/>
              </w:rPr>
              <w:t xml:space="preserve">$1,118,879 </w:t>
            </w:r>
          </w:p>
        </w:tc>
      </w:tr>
      <w:tr w:rsidR="00250639" w:rsidRPr="002943D4" w14:paraId="578FCA10" w14:textId="77777777" w:rsidTr="00C91E7A">
        <w:trPr>
          <w:trHeight w:val="20"/>
        </w:trPr>
        <w:tc>
          <w:tcPr>
            <w:tcW w:w="2605" w:type="dxa"/>
            <w:noWrap/>
            <w:hideMark/>
          </w:tcPr>
          <w:p w14:paraId="2C47EE19" w14:textId="77777777" w:rsidR="00250639" w:rsidRPr="002943D4" w:rsidRDefault="00250639" w:rsidP="00C736AC">
            <w:pPr>
              <w:rPr>
                <w:rFonts w:ascii="Arial" w:hAnsi="Arial" w:cs="Arial"/>
                <w:color w:val="000000"/>
                <w:sz w:val="18"/>
                <w:szCs w:val="18"/>
              </w:rPr>
            </w:pPr>
            <w:r w:rsidRPr="002943D4">
              <w:rPr>
                <w:rFonts w:ascii="Arial" w:hAnsi="Arial" w:cs="Arial"/>
                <w:color w:val="000000"/>
                <w:sz w:val="18"/>
                <w:szCs w:val="18"/>
              </w:rPr>
              <w:t>Nevada</w:t>
            </w:r>
          </w:p>
        </w:tc>
        <w:tc>
          <w:tcPr>
            <w:tcW w:w="2815" w:type="dxa"/>
            <w:noWrap/>
            <w:hideMark/>
          </w:tcPr>
          <w:p w14:paraId="5E860C39" w14:textId="77777777" w:rsidR="00250639" w:rsidRPr="002943D4" w:rsidRDefault="00250639" w:rsidP="00C736AC">
            <w:pPr>
              <w:jc w:val="right"/>
              <w:rPr>
                <w:rFonts w:ascii="Arial" w:hAnsi="Arial" w:cs="Arial"/>
                <w:color w:val="000000"/>
                <w:sz w:val="18"/>
                <w:szCs w:val="18"/>
              </w:rPr>
            </w:pPr>
            <w:r w:rsidRPr="002943D4">
              <w:rPr>
                <w:rFonts w:ascii="Arial" w:hAnsi="Arial" w:cs="Arial"/>
                <w:color w:val="000000"/>
                <w:sz w:val="18"/>
                <w:szCs w:val="18"/>
              </w:rPr>
              <w:t xml:space="preserve">$1,458,299 </w:t>
            </w:r>
          </w:p>
        </w:tc>
      </w:tr>
      <w:tr w:rsidR="00250639" w:rsidRPr="002943D4" w14:paraId="40A92816" w14:textId="77777777" w:rsidTr="00C91E7A">
        <w:trPr>
          <w:trHeight w:val="20"/>
        </w:trPr>
        <w:tc>
          <w:tcPr>
            <w:tcW w:w="2605" w:type="dxa"/>
            <w:noWrap/>
            <w:hideMark/>
          </w:tcPr>
          <w:p w14:paraId="42479C1B" w14:textId="77777777" w:rsidR="00250639" w:rsidRPr="002943D4" w:rsidRDefault="00250639" w:rsidP="00C736AC">
            <w:pPr>
              <w:rPr>
                <w:rFonts w:ascii="Arial" w:hAnsi="Arial" w:cs="Arial"/>
                <w:color w:val="000000"/>
                <w:sz w:val="18"/>
                <w:szCs w:val="18"/>
              </w:rPr>
            </w:pPr>
            <w:r w:rsidRPr="002943D4">
              <w:rPr>
                <w:rFonts w:ascii="Arial" w:hAnsi="Arial" w:cs="Arial"/>
                <w:color w:val="000000"/>
                <w:sz w:val="18"/>
                <w:szCs w:val="18"/>
              </w:rPr>
              <w:t>New Hampshire</w:t>
            </w:r>
          </w:p>
        </w:tc>
        <w:tc>
          <w:tcPr>
            <w:tcW w:w="2815" w:type="dxa"/>
            <w:noWrap/>
            <w:hideMark/>
          </w:tcPr>
          <w:p w14:paraId="503C9EE9" w14:textId="77777777" w:rsidR="00250639" w:rsidRPr="002943D4" w:rsidRDefault="00250639" w:rsidP="00C736AC">
            <w:pPr>
              <w:jc w:val="right"/>
              <w:rPr>
                <w:rFonts w:ascii="Arial" w:hAnsi="Arial" w:cs="Arial"/>
                <w:color w:val="000000"/>
                <w:sz w:val="18"/>
                <w:szCs w:val="18"/>
              </w:rPr>
            </w:pPr>
            <w:r w:rsidRPr="002943D4">
              <w:rPr>
                <w:rFonts w:ascii="Arial" w:hAnsi="Arial" w:cs="Arial"/>
                <w:color w:val="000000"/>
                <w:sz w:val="18"/>
                <w:szCs w:val="18"/>
              </w:rPr>
              <w:t xml:space="preserve">$1,332,416 </w:t>
            </w:r>
          </w:p>
        </w:tc>
      </w:tr>
      <w:tr w:rsidR="00250639" w:rsidRPr="002943D4" w14:paraId="2D55E989" w14:textId="77777777" w:rsidTr="00C91E7A">
        <w:trPr>
          <w:trHeight w:val="20"/>
        </w:trPr>
        <w:tc>
          <w:tcPr>
            <w:tcW w:w="2605" w:type="dxa"/>
            <w:noWrap/>
            <w:hideMark/>
          </w:tcPr>
          <w:p w14:paraId="3473ACDC" w14:textId="77777777" w:rsidR="00250639" w:rsidRPr="002943D4" w:rsidRDefault="00250639" w:rsidP="00C736AC">
            <w:pPr>
              <w:rPr>
                <w:rFonts w:ascii="Arial" w:hAnsi="Arial" w:cs="Arial"/>
                <w:color w:val="000000"/>
                <w:sz w:val="18"/>
                <w:szCs w:val="18"/>
              </w:rPr>
            </w:pPr>
            <w:r w:rsidRPr="002943D4">
              <w:rPr>
                <w:rFonts w:ascii="Arial" w:hAnsi="Arial" w:cs="Arial"/>
                <w:color w:val="000000"/>
                <w:sz w:val="18"/>
                <w:szCs w:val="18"/>
              </w:rPr>
              <w:t>New Jersey</w:t>
            </w:r>
          </w:p>
        </w:tc>
        <w:tc>
          <w:tcPr>
            <w:tcW w:w="2815" w:type="dxa"/>
            <w:noWrap/>
            <w:hideMark/>
          </w:tcPr>
          <w:p w14:paraId="54BB37BB" w14:textId="77777777" w:rsidR="00250639" w:rsidRPr="002943D4" w:rsidRDefault="00250639" w:rsidP="00C736AC">
            <w:pPr>
              <w:jc w:val="right"/>
              <w:rPr>
                <w:rFonts w:ascii="Arial" w:hAnsi="Arial" w:cs="Arial"/>
                <w:color w:val="000000"/>
                <w:sz w:val="18"/>
                <w:szCs w:val="18"/>
              </w:rPr>
            </w:pPr>
            <w:r w:rsidRPr="002943D4">
              <w:rPr>
                <w:rFonts w:ascii="Arial" w:hAnsi="Arial" w:cs="Arial"/>
                <w:color w:val="000000"/>
                <w:sz w:val="18"/>
                <w:szCs w:val="18"/>
              </w:rPr>
              <w:t xml:space="preserve">$3,558,963 </w:t>
            </w:r>
          </w:p>
        </w:tc>
      </w:tr>
      <w:tr w:rsidR="00250639" w:rsidRPr="002943D4" w14:paraId="6EB0E969" w14:textId="77777777" w:rsidTr="00C91E7A">
        <w:trPr>
          <w:trHeight w:val="20"/>
        </w:trPr>
        <w:tc>
          <w:tcPr>
            <w:tcW w:w="2605" w:type="dxa"/>
            <w:noWrap/>
            <w:hideMark/>
          </w:tcPr>
          <w:p w14:paraId="53ECF620" w14:textId="77777777" w:rsidR="00250639" w:rsidRPr="002943D4" w:rsidRDefault="00250639" w:rsidP="00C736AC">
            <w:pPr>
              <w:rPr>
                <w:rFonts w:ascii="Arial" w:hAnsi="Arial" w:cs="Arial"/>
                <w:color w:val="000000"/>
                <w:sz w:val="18"/>
                <w:szCs w:val="18"/>
              </w:rPr>
            </w:pPr>
            <w:r w:rsidRPr="002943D4">
              <w:rPr>
                <w:rFonts w:ascii="Arial" w:hAnsi="Arial" w:cs="Arial"/>
                <w:color w:val="000000"/>
                <w:sz w:val="18"/>
                <w:szCs w:val="18"/>
              </w:rPr>
              <w:t>New Mexico</w:t>
            </w:r>
          </w:p>
        </w:tc>
        <w:tc>
          <w:tcPr>
            <w:tcW w:w="2815" w:type="dxa"/>
            <w:noWrap/>
            <w:hideMark/>
          </w:tcPr>
          <w:p w14:paraId="44AAFCCC" w14:textId="77777777" w:rsidR="00250639" w:rsidRPr="002943D4" w:rsidRDefault="00250639" w:rsidP="00C736AC">
            <w:pPr>
              <w:jc w:val="right"/>
              <w:rPr>
                <w:rFonts w:ascii="Arial" w:hAnsi="Arial" w:cs="Arial"/>
                <w:color w:val="000000"/>
                <w:sz w:val="18"/>
                <w:szCs w:val="18"/>
              </w:rPr>
            </w:pPr>
            <w:r w:rsidRPr="002943D4">
              <w:rPr>
                <w:rFonts w:ascii="Arial" w:hAnsi="Arial" w:cs="Arial"/>
                <w:color w:val="000000"/>
                <w:sz w:val="18"/>
                <w:szCs w:val="18"/>
              </w:rPr>
              <w:t xml:space="preserve">$2,328,708 </w:t>
            </w:r>
          </w:p>
        </w:tc>
      </w:tr>
      <w:tr w:rsidR="00250639" w:rsidRPr="002943D4" w14:paraId="02CC2403" w14:textId="77777777" w:rsidTr="00C91E7A">
        <w:trPr>
          <w:trHeight w:val="20"/>
        </w:trPr>
        <w:tc>
          <w:tcPr>
            <w:tcW w:w="2605" w:type="dxa"/>
            <w:noWrap/>
            <w:hideMark/>
          </w:tcPr>
          <w:p w14:paraId="13F7500B" w14:textId="77777777" w:rsidR="00250639" w:rsidRPr="002943D4" w:rsidRDefault="00250639" w:rsidP="00C736AC">
            <w:pPr>
              <w:rPr>
                <w:rFonts w:ascii="Arial" w:hAnsi="Arial" w:cs="Arial"/>
                <w:color w:val="000000"/>
                <w:sz w:val="18"/>
                <w:szCs w:val="18"/>
              </w:rPr>
            </w:pPr>
            <w:r w:rsidRPr="002943D4">
              <w:rPr>
                <w:rFonts w:ascii="Arial" w:hAnsi="Arial" w:cs="Arial"/>
                <w:color w:val="000000"/>
                <w:sz w:val="18"/>
                <w:szCs w:val="18"/>
              </w:rPr>
              <w:t>New York</w:t>
            </w:r>
          </w:p>
        </w:tc>
        <w:tc>
          <w:tcPr>
            <w:tcW w:w="2815" w:type="dxa"/>
            <w:noWrap/>
            <w:hideMark/>
          </w:tcPr>
          <w:p w14:paraId="11C662E2" w14:textId="77777777" w:rsidR="00250639" w:rsidRPr="002943D4" w:rsidRDefault="00250639" w:rsidP="00C736AC">
            <w:pPr>
              <w:jc w:val="right"/>
              <w:rPr>
                <w:rFonts w:ascii="Arial" w:hAnsi="Arial" w:cs="Arial"/>
                <w:color w:val="000000"/>
                <w:sz w:val="18"/>
                <w:szCs w:val="18"/>
              </w:rPr>
            </w:pPr>
            <w:r w:rsidRPr="002943D4">
              <w:rPr>
                <w:rFonts w:ascii="Arial" w:hAnsi="Arial" w:cs="Arial"/>
                <w:color w:val="000000"/>
                <w:sz w:val="18"/>
                <w:szCs w:val="18"/>
              </w:rPr>
              <w:t xml:space="preserve">$16,520,195 </w:t>
            </w:r>
          </w:p>
        </w:tc>
      </w:tr>
      <w:tr w:rsidR="00250639" w:rsidRPr="002943D4" w14:paraId="74162816" w14:textId="77777777" w:rsidTr="00C91E7A">
        <w:trPr>
          <w:trHeight w:val="20"/>
        </w:trPr>
        <w:tc>
          <w:tcPr>
            <w:tcW w:w="2605" w:type="dxa"/>
            <w:noWrap/>
            <w:hideMark/>
          </w:tcPr>
          <w:p w14:paraId="6C8E4B7F" w14:textId="77777777" w:rsidR="00250639" w:rsidRPr="002943D4" w:rsidRDefault="00250639" w:rsidP="00C736AC">
            <w:pPr>
              <w:rPr>
                <w:rFonts w:ascii="Arial" w:hAnsi="Arial" w:cs="Arial"/>
                <w:color w:val="000000"/>
                <w:sz w:val="18"/>
                <w:szCs w:val="18"/>
              </w:rPr>
            </w:pPr>
            <w:r w:rsidRPr="002943D4">
              <w:rPr>
                <w:rFonts w:ascii="Arial" w:hAnsi="Arial" w:cs="Arial"/>
                <w:color w:val="000000"/>
                <w:sz w:val="18"/>
                <w:szCs w:val="18"/>
              </w:rPr>
              <w:t>North Carolina</w:t>
            </w:r>
          </w:p>
        </w:tc>
        <w:tc>
          <w:tcPr>
            <w:tcW w:w="2815" w:type="dxa"/>
            <w:noWrap/>
            <w:hideMark/>
          </w:tcPr>
          <w:p w14:paraId="29F34120" w14:textId="77777777" w:rsidR="00250639" w:rsidRPr="002943D4" w:rsidRDefault="00250639" w:rsidP="00C736AC">
            <w:pPr>
              <w:jc w:val="right"/>
              <w:rPr>
                <w:rFonts w:ascii="Arial" w:hAnsi="Arial" w:cs="Arial"/>
                <w:color w:val="000000"/>
                <w:sz w:val="18"/>
                <w:szCs w:val="18"/>
              </w:rPr>
            </w:pPr>
            <w:r w:rsidRPr="002943D4">
              <w:rPr>
                <w:rFonts w:ascii="Arial" w:hAnsi="Arial" w:cs="Arial"/>
                <w:color w:val="000000"/>
                <w:sz w:val="18"/>
                <w:szCs w:val="18"/>
              </w:rPr>
              <w:t xml:space="preserve">$3,295,202 </w:t>
            </w:r>
          </w:p>
        </w:tc>
      </w:tr>
      <w:tr w:rsidR="00250639" w:rsidRPr="002943D4" w14:paraId="51B5F84B" w14:textId="77777777" w:rsidTr="00C91E7A">
        <w:trPr>
          <w:trHeight w:val="20"/>
        </w:trPr>
        <w:tc>
          <w:tcPr>
            <w:tcW w:w="2605" w:type="dxa"/>
            <w:noWrap/>
            <w:hideMark/>
          </w:tcPr>
          <w:p w14:paraId="110CCE6E" w14:textId="77777777" w:rsidR="00250639" w:rsidRPr="002943D4" w:rsidRDefault="00250639" w:rsidP="00C736AC">
            <w:pPr>
              <w:rPr>
                <w:rFonts w:ascii="Arial" w:hAnsi="Arial" w:cs="Arial"/>
                <w:color w:val="000000"/>
                <w:sz w:val="18"/>
                <w:szCs w:val="18"/>
              </w:rPr>
            </w:pPr>
            <w:r w:rsidRPr="002943D4">
              <w:rPr>
                <w:rFonts w:ascii="Arial" w:hAnsi="Arial" w:cs="Arial"/>
                <w:color w:val="000000"/>
                <w:sz w:val="18"/>
                <w:szCs w:val="18"/>
              </w:rPr>
              <w:t>North Dakota</w:t>
            </w:r>
          </w:p>
        </w:tc>
        <w:tc>
          <w:tcPr>
            <w:tcW w:w="2815" w:type="dxa"/>
            <w:noWrap/>
            <w:hideMark/>
          </w:tcPr>
          <w:p w14:paraId="3357FDF2" w14:textId="77777777" w:rsidR="00250639" w:rsidRPr="002943D4" w:rsidRDefault="00250639" w:rsidP="00C736AC">
            <w:pPr>
              <w:jc w:val="right"/>
              <w:rPr>
                <w:rFonts w:ascii="Arial" w:hAnsi="Arial" w:cs="Arial"/>
                <w:color w:val="000000"/>
                <w:sz w:val="18"/>
                <w:szCs w:val="18"/>
              </w:rPr>
            </w:pPr>
            <w:r w:rsidRPr="002943D4">
              <w:rPr>
                <w:rFonts w:ascii="Arial" w:hAnsi="Arial" w:cs="Arial"/>
                <w:color w:val="000000"/>
                <w:sz w:val="18"/>
                <w:szCs w:val="18"/>
              </w:rPr>
              <w:t xml:space="preserve">$805,159 </w:t>
            </w:r>
          </w:p>
        </w:tc>
      </w:tr>
      <w:tr w:rsidR="00250639" w:rsidRPr="002943D4" w14:paraId="448CAE3C" w14:textId="77777777" w:rsidTr="00C91E7A">
        <w:trPr>
          <w:trHeight w:val="20"/>
        </w:trPr>
        <w:tc>
          <w:tcPr>
            <w:tcW w:w="2605" w:type="dxa"/>
            <w:noWrap/>
            <w:hideMark/>
          </w:tcPr>
          <w:p w14:paraId="4D0324BF" w14:textId="77777777" w:rsidR="00250639" w:rsidRPr="002943D4" w:rsidRDefault="00250639" w:rsidP="00C736AC">
            <w:pPr>
              <w:rPr>
                <w:rFonts w:ascii="Arial" w:hAnsi="Arial" w:cs="Arial"/>
                <w:color w:val="000000"/>
                <w:sz w:val="18"/>
                <w:szCs w:val="18"/>
              </w:rPr>
            </w:pPr>
            <w:r w:rsidRPr="002943D4">
              <w:rPr>
                <w:rFonts w:ascii="Arial" w:hAnsi="Arial" w:cs="Arial"/>
                <w:color w:val="000000"/>
                <w:sz w:val="18"/>
                <w:szCs w:val="18"/>
              </w:rPr>
              <w:t>Ohio</w:t>
            </w:r>
          </w:p>
        </w:tc>
        <w:tc>
          <w:tcPr>
            <w:tcW w:w="2815" w:type="dxa"/>
            <w:noWrap/>
            <w:hideMark/>
          </w:tcPr>
          <w:p w14:paraId="0CA58284" w14:textId="77777777" w:rsidR="00250639" w:rsidRPr="002943D4" w:rsidRDefault="00250639" w:rsidP="00C736AC">
            <w:pPr>
              <w:jc w:val="right"/>
              <w:rPr>
                <w:rFonts w:ascii="Arial" w:hAnsi="Arial" w:cs="Arial"/>
                <w:color w:val="000000"/>
                <w:sz w:val="18"/>
                <w:szCs w:val="18"/>
              </w:rPr>
            </w:pPr>
            <w:r w:rsidRPr="002943D4">
              <w:rPr>
                <w:rFonts w:ascii="Arial" w:hAnsi="Arial" w:cs="Arial"/>
                <w:color w:val="000000"/>
                <w:sz w:val="18"/>
                <w:szCs w:val="18"/>
              </w:rPr>
              <w:t xml:space="preserve">$5,678,193 </w:t>
            </w:r>
          </w:p>
        </w:tc>
      </w:tr>
      <w:tr w:rsidR="00250639" w:rsidRPr="002943D4" w14:paraId="0FB6A349" w14:textId="77777777" w:rsidTr="00C91E7A">
        <w:trPr>
          <w:trHeight w:val="20"/>
        </w:trPr>
        <w:tc>
          <w:tcPr>
            <w:tcW w:w="2605" w:type="dxa"/>
            <w:noWrap/>
            <w:hideMark/>
          </w:tcPr>
          <w:p w14:paraId="64051B0C" w14:textId="77777777" w:rsidR="00250639" w:rsidRPr="002943D4" w:rsidRDefault="00250639" w:rsidP="00C736AC">
            <w:pPr>
              <w:rPr>
                <w:rFonts w:ascii="Arial" w:hAnsi="Arial" w:cs="Arial"/>
                <w:color w:val="000000"/>
                <w:sz w:val="18"/>
                <w:szCs w:val="18"/>
              </w:rPr>
            </w:pPr>
            <w:r w:rsidRPr="002943D4">
              <w:rPr>
                <w:rFonts w:ascii="Arial" w:hAnsi="Arial" w:cs="Arial"/>
                <w:color w:val="000000"/>
                <w:sz w:val="18"/>
                <w:szCs w:val="18"/>
              </w:rPr>
              <w:t>Oklahoma</w:t>
            </w:r>
          </w:p>
        </w:tc>
        <w:tc>
          <w:tcPr>
            <w:tcW w:w="2815" w:type="dxa"/>
            <w:noWrap/>
            <w:hideMark/>
          </w:tcPr>
          <w:p w14:paraId="32EB80BD" w14:textId="77777777" w:rsidR="00250639" w:rsidRPr="002943D4" w:rsidRDefault="00250639" w:rsidP="00C736AC">
            <w:pPr>
              <w:jc w:val="right"/>
              <w:rPr>
                <w:rFonts w:ascii="Arial" w:hAnsi="Arial" w:cs="Arial"/>
                <w:color w:val="000000"/>
                <w:sz w:val="18"/>
                <w:szCs w:val="18"/>
              </w:rPr>
            </w:pPr>
            <w:r w:rsidRPr="002943D4">
              <w:rPr>
                <w:rFonts w:ascii="Arial" w:hAnsi="Arial" w:cs="Arial"/>
                <w:color w:val="000000"/>
                <w:sz w:val="18"/>
                <w:szCs w:val="18"/>
              </w:rPr>
              <w:t xml:space="preserve">$2,058,212 </w:t>
            </w:r>
          </w:p>
        </w:tc>
      </w:tr>
      <w:tr w:rsidR="00250639" w:rsidRPr="002943D4" w14:paraId="7358114F" w14:textId="77777777" w:rsidTr="00C91E7A">
        <w:trPr>
          <w:trHeight w:val="20"/>
        </w:trPr>
        <w:tc>
          <w:tcPr>
            <w:tcW w:w="2605" w:type="dxa"/>
            <w:noWrap/>
            <w:hideMark/>
          </w:tcPr>
          <w:p w14:paraId="6CA2EC14" w14:textId="77777777" w:rsidR="00250639" w:rsidRPr="002943D4" w:rsidRDefault="00250639" w:rsidP="00C736AC">
            <w:pPr>
              <w:rPr>
                <w:rFonts w:ascii="Arial" w:hAnsi="Arial" w:cs="Arial"/>
                <w:color w:val="000000"/>
                <w:sz w:val="18"/>
                <w:szCs w:val="18"/>
              </w:rPr>
            </w:pPr>
            <w:r w:rsidRPr="002943D4">
              <w:rPr>
                <w:rFonts w:ascii="Arial" w:hAnsi="Arial" w:cs="Arial"/>
                <w:color w:val="000000"/>
                <w:sz w:val="18"/>
                <w:szCs w:val="18"/>
              </w:rPr>
              <w:t>Oregon</w:t>
            </w:r>
          </w:p>
        </w:tc>
        <w:tc>
          <w:tcPr>
            <w:tcW w:w="2815" w:type="dxa"/>
            <w:noWrap/>
            <w:hideMark/>
          </w:tcPr>
          <w:p w14:paraId="41479CD3" w14:textId="77777777" w:rsidR="00250639" w:rsidRPr="002943D4" w:rsidRDefault="00250639" w:rsidP="00C736AC">
            <w:pPr>
              <w:jc w:val="right"/>
              <w:rPr>
                <w:rFonts w:ascii="Arial" w:hAnsi="Arial" w:cs="Arial"/>
                <w:color w:val="000000"/>
                <w:sz w:val="18"/>
                <w:szCs w:val="18"/>
              </w:rPr>
            </w:pPr>
            <w:r w:rsidRPr="002943D4">
              <w:rPr>
                <w:rFonts w:ascii="Arial" w:hAnsi="Arial" w:cs="Arial"/>
                <w:color w:val="000000"/>
                <w:sz w:val="18"/>
                <w:szCs w:val="18"/>
              </w:rPr>
              <w:t xml:space="preserve">$1,889,136 </w:t>
            </w:r>
          </w:p>
        </w:tc>
      </w:tr>
      <w:tr w:rsidR="00250639" w:rsidRPr="002943D4" w14:paraId="22F7EDE5" w14:textId="77777777" w:rsidTr="00C91E7A">
        <w:trPr>
          <w:trHeight w:val="20"/>
        </w:trPr>
        <w:tc>
          <w:tcPr>
            <w:tcW w:w="2605" w:type="dxa"/>
            <w:noWrap/>
            <w:hideMark/>
          </w:tcPr>
          <w:p w14:paraId="149CE88E" w14:textId="77777777" w:rsidR="00250639" w:rsidRPr="002943D4" w:rsidRDefault="00250639" w:rsidP="00C736AC">
            <w:pPr>
              <w:rPr>
                <w:rFonts w:ascii="Arial" w:hAnsi="Arial" w:cs="Arial"/>
                <w:color w:val="000000"/>
                <w:sz w:val="18"/>
                <w:szCs w:val="18"/>
              </w:rPr>
            </w:pPr>
            <w:r w:rsidRPr="002943D4">
              <w:rPr>
                <w:rFonts w:ascii="Arial" w:hAnsi="Arial" w:cs="Arial"/>
                <w:color w:val="000000"/>
                <w:sz w:val="18"/>
                <w:szCs w:val="18"/>
              </w:rPr>
              <w:t>Pennsylvania</w:t>
            </w:r>
          </w:p>
        </w:tc>
        <w:tc>
          <w:tcPr>
            <w:tcW w:w="2815" w:type="dxa"/>
            <w:noWrap/>
            <w:hideMark/>
          </w:tcPr>
          <w:p w14:paraId="629255F1" w14:textId="77777777" w:rsidR="00250639" w:rsidRPr="002943D4" w:rsidRDefault="00250639" w:rsidP="00C736AC">
            <w:pPr>
              <w:jc w:val="right"/>
              <w:rPr>
                <w:rFonts w:ascii="Arial" w:hAnsi="Arial" w:cs="Arial"/>
                <w:color w:val="000000"/>
                <w:sz w:val="18"/>
                <w:szCs w:val="18"/>
              </w:rPr>
            </w:pPr>
            <w:r w:rsidRPr="002943D4">
              <w:rPr>
                <w:rFonts w:ascii="Arial" w:hAnsi="Arial" w:cs="Arial"/>
                <w:color w:val="000000"/>
                <w:sz w:val="18"/>
                <w:szCs w:val="18"/>
              </w:rPr>
              <w:t xml:space="preserve">$6,349,218 </w:t>
            </w:r>
          </w:p>
        </w:tc>
      </w:tr>
      <w:tr w:rsidR="00250639" w:rsidRPr="002943D4" w14:paraId="630C7FBF" w14:textId="77777777" w:rsidTr="00C91E7A">
        <w:trPr>
          <w:trHeight w:val="20"/>
        </w:trPr>
        <w:tc>
          <w:tcPr>
            <w:tcW w:w="2605" w:type="dxa"/>
            <w:noWrap/>
            <w:hideMark/>
          </w:tcPr>
          <w:p w14:paraId="1C6E40E3" w14:textId="77777777" w:rsidR="00250639" w:rsidRPr="002943D4" w:rsidRDefault="00250639" w:rsidP="00C736AC">
            <w:pPr>
              <w:rPr>
                <w:rFonts w:ascii="Arial" w:hAnsi="Arial" w:cs="Arial"/>
                <w:color w:val="000000"/>
                <w:sz w:val="18"/>
                <w:szCs w:val="18"/>
              </w:rPr>
            </w:pPr>
            <w:r w:rsidRPr="002943D4">
              <w:rPr>
                <w:rFonts w:ascii="Arial" w:hAnsi="Arial" w:cs="Arial"/>
                <w:color w:val="000000"/>
                <w:sz w:val="18"/>
                <w:szCs w:val="18"/>
              </w:rPr>
              <w:t>Rhode Island</w:t>
            </w:r>
          </w:p>
        </w:tc>
        <w:tc>
          <w:tcPr>
            <w:tcW w:w="2815" w:type="dxa"/>
            <w:noWrap/>
            <w:hideMark/>
          </w:tcPr>
          <w:p w14:paraId="4CBBFE02" w14:textId="77777777" w:rsidR="00250639" w:rsidRPr="002943D4" w:rsidRDefault="00250639" w:rsidP="00C736AC">
            <w:pPr>
              <w:jc w:val="right"/>
              <w:rPr>
                <w:rFonts w:ascii="Arial" w:hAnsi="Arial" w:cs="Arial"/>
                <w:color w:val="000000"/>
                <w:sz w:val="18"/>
                <w:szCs w:val="18"/>
              </w:rPr>
            </w:pPr>
            <w:r w:rsidRPr="002943D4">
              <w:rPr>
                <w:rFonts w:ascii="Arial" w:hAnsi="Arial" w:cs="Arial"/>
                <w:color w:val="000000"/>
                <w:sz w:val="18"/>
                <w:szCs w:val="18"/>
              </w:rPr>
              <w:t xml:space="preserve">$424,242 </w:t>
            </w:r>
          </w:p>
        </w:tc>
      </w:tr>
      <w:tr w:rsidR="00250639" w:rsidRPr="002943D4" w14:paraId="0E0FD66B" w14:textId="77777777" w:rsidTr="00C91E7A">
        <w:trPr>
          <w:trHeight w:val="20"/>
        </w:trPr>
        <w:tc>
          <w:tcPr>
            <w:tcW w:w="2605" w:type="dxa"/>
            <w:noWrap/>
            <w:hideMark/>
          </w:tcPr>
          <w:p w14:paraId="718DA73D" w14:textId="77777777" w:rsidR="00250639" w:rsidRPr="002943D4" w:rsidRDefault="00250639" w:rsidP="00C736AC">
            <w:pPr>
              <w:rPr>
                <w:rFonts w:ascii="Arial" w:hAnsi="Arial" w:cs="Arial"/>
                <w:color w:val="000000"/>
                <w:sz w:val="18"/>
                <w:szCs w:val="18"/>
              </w:rPr>
            </w:pPr>
            <w:r w:rsidRPr="002943D4">
              <w:rPr>
                <w:rFonts w:ascii="Arial" w:hAnsi="Arial" w:cs="Arial"/>
                <w:color w:val="000000"/>
                <w:sz w:val="18"/>
                <w:szCs w:val="18"/>
              </w:rPr>
              <w:t>South Carolina</w:t>
            </w:r>
          </w:p>
        </w:tc>
        <w:tc>
          <w:tcPr>
            <w:tcW w:w="2815" w:type="dxa"/>
            <w:noWrap/>
            <w:hideMark/>
          </w:tcPr>
          <w:p w14:paraId="6255BBBB" w14:textId="77777777" w:rsidR="00250639" w:rsidRPr="002943D4" w:rsidRDefault="00250639" w:rsidP="00C736AC">
            <w:pPr>
              <w:jc w:val="right"/>
              <w:rPr>
                <w:rFonts w:ascii="Arial" w:hAnsi="Arial" w:cs="Arial"/>
                <w:color w:val="000000"/>
                <w:sz w:val="18"/>
                <w:szCs w:val="18"/>
              </w:rPr>
            </w:pPr>
            <w:r w:rsidRPr="002943D4">
              <w:rPr>
                <w:rFonts w:ascii="Arial" w:hAnsi="Arial" w:cs="Arial"/>
                <w:color w:val="000000"/>
                <w:sz w:val="18"/>
                <w:szCs w:val="18"/>
              </w:rPr>
              <w:t xml:space="preserve">$1,701,588 </w:t>
            </w:r>
          </w:p>
        </w:tc>
      </w:tr>
      <w:tr w:rsidR="00250639" w:rsidRPr="002943D4" w14:paraId="7BA0EA25" w14:textId="77777777" w:rsidTr="00C91E7A">
        <w:trPr>
          <w:trHeight w:val="20"/>
        </w:trPr>
        <w:tc>
          <w:tcPr>
            <w:tcW w:w="2605" w:type="dxa"/>
            <w:noWrap/>
            <w:hideMark/>
          </w:tcPr>
          <w:p w14:paraId="10A1866A" w14:textId="77777777" w:rsidR="00250639" w:rsidRPr="002943D4" w:rsidRDefault="00250639" w:rsidP="00C736AC">
            <w:pPr>
              <w:rPr>
                <w:rFonts w:ascii="Arial" w:hAnsi="Arial" w:cs="Arial"/>
                <w:color w:val="000000"/>
                <w:sz w:val="18"/>
                <w:szCs w:val="18"/>
              </w:rPr>
            </w:pPr>
            <w:r w:rsidRPr="002943D4">
              <w:rPr>
                <w:rFonts w:ascii="Arial" w:hAnsi="Arial" w:cs="Arial"/>
                <w:color w:val="000000"/>
                <w:sz w:val="18"/>
                <w:szCs w:val="18"/>
              </w:rPr>
              <w:t>South Dakota</w:t>
            </w:r>
          </w:p>
        </w:tc>
        <w:tc>
          <w:tcPr>
            <w:tcW w:w="2815" w:type="dxa"/>
            <w:noWrap/>
            <w:hideMark/>
          </w:tcPr>
          <w:p w14:paraId="1FAE452F" w14:textId="77777777" w:rsidR="00250639" w:rsidRPr="002943D4" w:rsidRDefault="00250639" w:rsidP="00C736AC">
            <w:pPr>
              <w:jc w:val="right"/>
              <w:rPr>
                <w:rFonts w:ascii="Arial" w:hAnsi="Arial" w:cs="Arial"/>
                <w:color w:val="000000"/>
                <w:sz w:val="18"/>
                <w:szCs w:val="18"/>
              </w:rPr>
            </w:pPr>
            <w:r w:rsidRPr="002943D4">
              <w:rPr>
                <w:rFonts w:ascii="Arial" w:hAnsi="Arial" w:cs="Arial"/>
                <w:color w:val="000000"/>
                <w:sz w:val="18"/>
                <w:szCs w:val="18"/>
              </w:rPr>
              <w:t xml:space="preserve">$885,224 </w:t>
            </w:r>
          </w:p>
        </w:tc>
      </w:tr>
      <w:tr w:rsidR="00250639" w:rsidRPr="002943D4" w14:paraId="22848935" w14:textId="77777777" w:rsidTr="00C91E7A">
        <w:trPr>
          <w:trHeight w:val="20"/>
        </w:trPr>
        <w:tc>
          <w:tcPr>
            <w:tcW w:w="2605" w:type="dxa"/>
            <w:noWrap/>
            <w:hideMark/>
          </w:tcPr>
          <w:p w14:paraId="674397FB" w14:textId="77777777" w:rsidR="00250639" w:rsidRPr="002943D4" w:rsidRDefault="00250639" w:rsidP="00C736AC">
            <w:pPr>
              <w:rPr>
                <w:rFonts w:ascii="Arial" w:hAnsi="Arial" w:cs="Arial"/>
                <w:color w:val="000000"/>
                <w:sz w:val="18"/>
                <w:szCs w:val="18"/>
              </w:rPr>
            </w:pPr>
            <w:r w:rsidRPr="002943D4">
              <w:rPr>
                <w:rFonts w:ascii="Arial" w:hAnsi="Arial" w:cs="Arial"/>
                <w:color w:val="000000"/>
                <w:sz w:val="18"/>
                <w:szCs w:val="18"/>
              </w:rPr>
              <w:t>Tennessee</w:t>
            </w:r>
          </w:p>
        </w:tc>
        <w:tc>
          <w:tcPr>
            <w:tcW w:w="2815" w:type="dxa"/>
            <w:noWrap/>
            <w:hideMark/>
          </w:tcPr>
          <w:p w14:paraId="272A72D8" w14:textId="77777777" w:rsidR="00250639" w:rsidRPr="002943D4" w:rsidRDefault="00250639" w:rsidP="00C736AC">
            <w:pPr>
              <w:jc w:val="right"/>
              <w:rPr>
                <w:rFonts w:ascii="Arial" w:hAnsi="Arial" w:cs="Arial"/>
                <w:color w:val="000000"/>
                <w:sz w:val="18"/>
                <w:szCs w:val="18"/>
              </w:rPr>
            </w:pPr>
            <w:r w:rsidRPr="002943D4">
              <w:rPr>
                <w:rFonts w:ascii="Arial" w:hAnsi="Arial" w:cs="Arial"/>
                <w:color w:val="000000"/>
                <w:sz w:val="18"/>
                <w:szCs w:val="18"/>
              </w:rPr>
              <w:t xml:space="preserve">$1,628,108 </w:t>
            </w:r>
          </w:p>
        </w:tc>
      </w:tr>
      <w:tr w:rsidR="00250639" w:rsidRPr="002943D4" w14:paraId="4BD22B37" w14:textId="77777777" w:rsidTr="00C91E7A">
        <w:trPr>
          <w:trHeight w:val="20"/>
        </w:trPr>
        <w:tc>
          <w:tcPr>
            <w:tcW w:w="2605" w:type="dxa"/>
            <w:noWrap/>
            <w:hideMark/>
          </w:tcPr>
          <w:p w14:paraId="51908DB2" w14:textId="77777777" w:rsidR="00250639" w:rsidRPr="002943D4" w:rsidRDefault="00250639" w:rsidP="00C736AC">
            <w:pPr>
              <w:rPr>
                <w:rFonts w:ascii="Arial" w:hAnsi="Arial" w:cs="Arial"/>
                <w:color w:val="000000"/>
                <w:sz w:val="18"/>
                <w:szCs w:val="18"/>
              </w:rPr>
            </w:pPr>
            <w:r w:rsidRPr="002943D4">
              <w:rPr>
                <w:rFonts w:ascii="Arial" w:hAnsi="Arial" w:cs="Arial"/>
                <w:color w:val="000000"/>
                <w:sz w:val="18"/>
                <w:szCs w:val="18"/>
              </w:rPr>
              <w:t>Texas</w:t>
            </w:r>
          </w:p>
        </w:tc>
        <w:tc>
          <w:tcPr>
            <w:tcW w:w="2815" w:type="dxa"/>
            <w:noWrap/>
            <w:hideMark/>
          </w:tcPr>
          <w:p w14:paraId="3198BE88" w14:textId="77777777" w:rsidR="00250639" w:rsidRPr="002943D4" w:rsidRDefault="00250639" w:rsidP="00C736AC">
            <w:pPr>
              <w:jc w:val="right"/>
              <w:rPr>
                <w:rFonts w:ascii="Arial" w:hAnsi="Arial" w:cs="Arial"/>
                <w:color w:val="000000"/>
                <w:sz w:val="18"/>
                <w:szCs w:val="18"/>
              </w:rPr>
            </w:pPr>
            <w:r w:rsidRPr="002943D4">
              <w:rPr>
                <w:rFonts w:ascii="Arial" w:hAnsi="Arial" w:cs="Arial"/>
                <w:color w:val="000000"/>
                <w:sz w:val="18"/>
                <w:szCs w:val="18"/>
              </w:rPr>
              <w:t xml:space="preserve">$11,447,247 </w:t>
            </w:r>
          </w:p>
        </w:tc>
      </w:tr>
      <w:tr w:rsidR="00250639" w:rsidRPr="002943D4" w14:paraId="058A9E39" w14:textId="77777777" w:rsidTr="00C91E7A">
        <w:trPr>
          <w:trHeight w:val="20"/>
        </w:trPr>
        <w:tc>
          <w:tcPr>
            <w:tcW w:w="2605" w:type="dxa"/>
            <w:noWrap/>
            <w:hideMark/>
          </w:tcPr>
          <w:p w14:paraId="58D0C594" w14:textId="77777777" w:rsidR="00250639" w:rsidRPr="002943D4" w:rsidRDefault="00250639" w:rsidP="00C736AC">
            <w:pPr>
              <w:rPr>
                <w:rFonts w:ascii="Arial" w:hAnsi="Arial" w:cs="Arial"/>
                <w:color w:val="000000"/>
                <w:sz w:val="18"/>
                <w:szCs w:val="18"/>
              </w:rPr>
            </w:pPr>
            <w:r w:rsidRPr="002943D4">
              <w:rPr>
                <w:rFonts w:ascii="Arial" w:hAnsi="Arial" w:cs="Arial"/>
                <w:color w:val="000000"/>
                <w:sz w:val="18"/>
                <w:szCs w:val="18"/>
              </w:rPr>
              <w:t>Utah</w:t>
            </w:r>
          </w:p>
        </w:tc>
        <w:tc>
          <w:tcPr>
            <w:tcW w:w="2815" w:type="dxa"/>
            <w:noWrap/>
            <w:hideMark/>
          </w:tcPr>
          <w:p w14:paraId="5C38AE7B" w14:textId="77777777" w:rsidR="00250639" w:rsidRPr="002943D4" w:rsidRDefault="00250639" w:rsidP="00C736AC">
            <w:pPr>
              <w:jc w:val="right"/>
              <w:rPr>
                <w:rFonts w:ascii="Arial" w:hAnsi="Arial" w:cs="Arial"/>
                <w:color w:val="000000"/>
                <w:sz w:val="18"/>
                <w:szCs w:val="18"/>
              </w:rPr>
            </w:pPr>
            <w:r w:rsidRPr="002943D4">
              <w:rPr>
                <w:rFonts w:ascii="Arial" w:hAnsi="Arial" w:cs="Arial"/>
                <w:color w:val="000000"/>
                <w:sz w:val="18"/>
                <w:szCs w:val="18"/>
              </w:rPr>
              <w:t xml:space="preserve">$1,307,393 </w:t>
            </w:r>
          </w:p>
        </w:tc>
      </w:tr>
      <w:tr w:rsidR="00250639" w:rsidRPr="002943D4" w14:paraId="2844E9FD" w14:textId="77777777" w:rsidTr="00C91E7A">
        <w:trPr>
          <w:trHeight w:val="20"/>
        </w:trPr>
        <w:tc>
          <w:tcPr>
            <w:tcW w:w="2605" w:type="dxa"/>
            <w:noWrap/>
            <w:hideMark/>
          </w:tcPr>
          <w:p w14:paraId="31E495A6" w14:textId="77777777" w:rsidR="00250639" w:rsidRPr="002943D4" w:rsidRDefault="00250639" w:rsidP="00C736AC">
            <w:pPr>
              <w:rPr>
                <w:rFonts w:ascii="Arial" w:hAnsi="Arial" w:cs="Arial"/>
                <w:color w:val="000000"/>
                <w:sz w:val="18"/>
                <w:szCs w:val="18"/>
              </w:rPr>
            </w:pPr>
            <w:r w:rsidRPr="002943D4">
              <w:rPr>
                <w:rFonts w:ascii="Arial" w:hAnsi="Arial" w:cs="Arial"/>
                <w:color w:val="000000"/>
                <w:sz w:val="18"/>
                <w:szCs w:val="18"/>
              </w:rPr>
              <w:t>Vermont</w:t>
            </w:r>
          </w:p>
        </w:tc>
        <w:tc>
          <w:tcPr>
            <w:tcW w:w="2815" w:type="dxa"/>
            <w:noWrap/>
            <w:hideMark/>
          </w:tcPr>
          <w:p w14:paraId="294DC9D6" w14:textId="77777777" w:rsidR="00250639" w:rsidRPr="002943D4" w:rsidRDefault="00250639" w:rsidP="00C736AC">
            <w:pPr>
              <w:jc w:val="right"/>
              <w:rPr>
                <w:rFonts w:ascii="Arial" w:hAnsi="Arial" w:cs="Arial"/>
                <w:color w:val="000000"/>
                <w:sz w:val="18"/>
                <w:szCs w:val="18"/>
              </w:rPr>
            </w:pPr>
            <w:r w:rsidRPr="002943D4">
              <w:rPr>
                <w:rFonts w:ascii="Arial" w:hAnsi="Arial" w:cs="Arial"/>
                <w:color w:val="000000"/>
                <w:sz w:val="18"/>
                <w:szCs w:val="18"/>
              </w:rPr>
              <w:t xml:space="preserve">$810,909 </w:t>
            </w:r>
          </w:p>
        </w:tc>
      </w:tr>
      <w:tr w:rsidR="00250639" w:rsidRPr="002943D4" w14:paraId="200DC4BE" w14:textId="77777777" w:rsidTr="00C91E7A">
        <w:trPr>
          <w:trHeight w:val="20"/>
        </w:trPr>
        <w:tc>
          <w:tcPr>
            <w:tcW w:w="2605" w:type="dxa"/>
            <w:noWrap/>
            <w:hideMark/>
          </w:tcPr>
          <w:p w14:paraId="76D1612E" w14:textId="77777777" w:rsidR="00250639" w:rsidRPr="002943D4" w:rsidRDefault="00250639" w:rsidP="00C736AC">
            <w:pPr>
              <w:rPr>
                <w:rFonts w:ascii="Arial" w:hAnsi="Arial" w:cs="Arial"/>
                <w:color w:val="000000"/>
                <w:sz w:val="18"/>
                <w:szCs w:val="18"/>
              </w:rPr>
            </w:pPr>
            <w:r w:rsidRPr="002943D4">
              <w:rPr>
                <w:rFonts w:ascii="Arial" w:hAnsi="Arial" w:cs="Arial"/>
                <w:color w:val="000000"/>
                <w:sz w:val="18"/>
                <w:szCs w:val="18"/>
              </w:rPr>
              <w:t>Virginia</w:t>
            </w:r>
          </w:p>
        </w:tc>
        <w:tc>
          <w:tcPr>
            <w:tcW w:w="2815" w:type="dxa"/>
            <w:noWrap/>
            <w:hideMark/>
          </w:tcPr>
          <w:p w14:paraId="598A0C7C" w14:textId="77777777" w:rsidR="00250639" w:rsidRPr="002943D4" w:rsidRDefault="00250639" w:rsidP="00C736AC">
            <w:pPr>
              <w:jc w:val="right"/>
              <w:rPr>
                <w:rFonts w:ascii="Arial" w:hAnsi="Arial" w:cs="Arial"/>
                <w:color w:val="000000"/>
                <w:sz w:val="18"/>
                <w:szCs w:val="18"/>
              </w:rPr>
            </w:pPr>
            <w:r w:rsidRPr="002943D4">
              <w:rPr>
                <w:rFonts w:ascii="Arial" w:hAnsi="Arial" w:cs="Arial"/>
                <w:color w:val="000000"/>
                <w:sz w:val="18"/>
                <w:szCs w:val="18"/>
              </w:rPr>
              <w:t xml:space="preserve">$2,019,748 </w:t>
            </w:r>
          </w:p>
        </w:tc>
      </w:tr>
      <w:tr w:rsidR="00250639" w:rsidRPr="002943D4" w14:paraId="0B9AD969" w14:textId="77777777" w:rsidTr="00C91E7A">
        <w:trPr>
          <w:trHeight w:val="20"/>
        </w:trPr>
        <w:tc>
          <w:tcPr>
            <w:tcW w:w="2605" w:type="dxa"/>
            <w:noWrap/>
            <w:hideMark/>
          </w:tcPr>
          <w:p w14:paraId="4B4182BE" w14:textId="77777777" w:rsidR="00250639" w:rsidRPr="002943D4" w:rsidRDefault="00250639" w:rsidP="00C736AC">
            <w:pPr>
              <w:rPr>
                <w:rFonts w:ascii="Arial" w:hAnsi="Arial" w:cs="Arial"/>
                <w:color w:val="000000"/>
                <w:sz w:val="18"/>
                <w:szCs w:val="18"/>
              </w:rPr>
            </w:pPr>
            <w:r w:rsidRPr="002943D4">
              <w:rPr>
                <w:rFonts w:ascii="Arial" w:hAnsi="Arial" w:cs="Arial"/>
                <w:color w:val="000000"/>
                <w:sz w:val="18"/>
                <w:szCs w:val="18"/>
              </w:rPr>
              <w:t>Washington</w:t>
            </w:r>
          </w:p>
        </w:tc>
        <w:tc>
          <w:tcPr>
            <w:tcW w:w="2815" w:type="dxa"/>
            <w:noWrap/>
            <w:hideMark/>
          </w:tcPr>
          <w:p w14:paraId="2B418512" w14:textId="77777777" w:rsidR="00250639" w:rsidRPr="002943D4" w:rsidRDefault="00250639" w:rsidP="00C736AC">
            <w:pPr>
              <w:jc w:val="right"/>
              <w:rPr>
                <w:rFonts w:ascii="Arial" w:hAnsi="Arial" w:cs="Arial"/>
                <w:color w:val="000000"/>
                <w:sz w:val="18"/>
                <w:szCs w:val="18"/>
              </w:rPr>
            </w:pPr>
            <w:r w:rsidRPr="002943D4">
              <w:rPr>
                <w:rFonts w:ascii="Arial" w:hAnsi="Arial" w:cs="Arial"/>
                <w:color w:val="000000"/>
                <w:sz w:val="18"/>
                <w:szCs w:val="18"/>
              </w:rPr>
              <w:t xml:space="preserve">$2,248,459 </w:t>
            </w:r>
          </w:p>
        </w:tc>
      </w:tr>
      <w:tr w:rsidR="00250639" w:rsidRPr="002943D4" w14:paraId="614DBBBF" w14:textId="77777777" w:rsidTr="00C91E7A">
        <w:trPr>
          <w:trHeight w:val="20"/>
        </w:trPr>
        <w:tc>
          <w:tcPr>
            <w:tcW w:w="2605" w:type="dxa"/>
            <w:noWrap/>
            <w:hideMark/>
          </w:tcPr>
          <w:p w14:paraId="4E934AC4" w14:textId="77777777" w:rsidR="00250639" w:rsidRPr="002943D4" w:rsidRDefault="00250639" w:rsidP="00C736AC">
            <w:pPr>
              <w:rPr>
                <w:rFonts w:ascii="Arial" w:hAnsi="Arial" w:cs="Arial"/>
                <w:color w:val="000000"/>
                <w:sz w:val="18"/>
                <w:szCs w:val="18"/>
              </w:rPr>
            </w:pPr>
            <w:r w:rsidRPr="002943D4">
              <w:rPr>
                <w:rFonts w:ascii="Arial" w:hAnsi="Arial" w:cs="Arial"/>
                <w:color w:val="000000"/>
                <w:sz w:val="18"/>
                <w:szCs w:val="18"/>
              </w:rPr>
              <w:t>West Virginia</w:t>
            </w:r>
          </w:p>
        </w:tc>
        <w:tc>
          <w:tcPr>
            <w:tcW w:w="2815" w:type="dxa"/>
            <w:noWrap/>
            <w:hideMark/>
          </w:tcPr>
          <w:p w14:paraId="03A80ED5" w14:textId="77777777" w:rsidR="00250639" w:rsidRPr="002943D4" w:rsidRDefault="00250639" w:rsidP="00C736AC">
            <w:pPr>
              <w:jc w:val="right"/>
              <w:rPr>
                <w:rFonts w:ascii="Arial" w:hAnsi="Arial" w:cs="Arial"/>
                <w:color w:val="000000"/>
                <w:sz w:val="18"/>
                <w:szCs w:val="18"/>
              </w:rPr>
            </w:pPr>
            <w:r w:rsidRPr="002943D4">
              <w:rPr>
                <w:rFonts w:ascii="Arial" w:hAnsi="Arial" w:cs="Arial"/>
                <w:color w:val="000000"/>
                <w:sz w:val="18"/>
                <w:szCs w:val="18"/>
              </w:rPr>
              <w:t xml:space="preserve">$1,520,860 </w:t>
            </w:r>
          </w:p>
        </w:tc>
      </w:tr>
      <w:tr w:rsidR="00250639" w:rsidRPr="002943D4" w14:paraId="75EAAE9B" w14:textId="77777777" w:rsidTr="00C91E7A">
        <w:trPr>
          <w:trHeight w:val="20"/>
        </w:trPr>
        <w:tc>
          <w:tcPr>
            <w:tcW w:w="2605" w:type="dxa"/>
            <w:noWrap/>
            <w:hideMark/>
          </w:tcPr>
          <w:p w14:paraId="7E287B54" w14:textId="77777777" w:rsidR="00250639" w:rsidRPr="002943D4" w:rsidRDefault="00250639" w:rsidP="00C736AC">
            <w:pPr>
              <w:rPr>
                <w:rFonts w:ascii="Arial" w:hAnsi="Arial" w:cs="Arial"/>
                <w:color w:val="000000"/>
                <w:sz w:val="18"/>
                <w:szCs w:val="18"/>
              </w:rPr>
            </w:pPr>
            <w:r w:rsidRPr="002943D4">
              <w:rPr>
                <w:rFonts w:ascii="Arial" w:hAnsi="Arial" w:cs="Arial"/>
                <w:color w:val="000000"/>
                <w:sz w:val="18"/>
                <w:szCs w:val="18"/>
              </w:rPr>
              <w:t>Wisconsin</w:t>
            </w:r>
          </w:p>
        </w:tc>
        <w:tc>
          <w:tcPr>
            <w:tcW w:w="2815" w:type="dxa"/>
            <w:noWrap/>
            <w:hideMark/>
          </w:tcPr>
          <w:p w14:paraId="721049C3" w14:textId="77777777" w:rsidR="00250639" w:rsidRPr="002943D4" w:rsidRDefault="00250639" w:rsidP="00C736AC">
            <w:pPr>
              <w:jc w:val="right"/>
              <w:rPr>
                <w:rFonts w:ascii="Arial" w:hAnsi="Arial" w:cs="Arial"/>
                <w:color w:val="000000"/>
                <w:sz w:val="18"/>
                <w:szCs w:val="18"/>
              </w:rPr>
            </w:pPr>
            <w:r w:rsidRPr="002943D4">
              <w:rPr>
                <w:rFonts w:ascii="Arial" w:hAnsi="Arial" w:cs="Arial"/>
                <w:color w:val="000000"/>
                <w:sz w:val="18"/>
                <w:szCs w:val="18"/>
              </w:rPr>
              <w:t xml:space="preserve">$2,795,630 </w:t>
            </w:r>
          </w:p>
        </w:tc>
      </w:tr>
      <w:tr w:rsidR="00250639" w:rsidRPr="002943D4" w14:paraId="762D49CE" w14:textId="77777777" w:rsidTr="00C91E7A">
        <w:trPr>
          <w:trHeight w:val="20"/>
        </w:trPr>
        <w:tc>
          <w:tcPr>
            <w:tcW w:w="2605" w:type="dxa"/>
            <w:noWrap/>
            <w:hideMark/>
          </w:tcPr>
          <w:p w14:paraId="47395862" w14:textId="77777777" w:rsidR="00250639" w:rsidRPr="002943D4" w:rsidRDefault="00250639" w:rsidP="00C736AC">
            <w:pPr>
              <w:rPr>
                <w:rFonts w:ascii="Arial" w:hAnsi="Arial" w:cs="Arial"/>
                <w:color w:val="000000"/>
                <w:sz w:val="18"/>
                <w:szCs w:val="18"/>
              </w:rPr>
            </w:pPr>
            <w:r w:rsidRPr="002943D4">
              <w:rPr>
                <w:rFonts w:ascii="Arial" w:hAnsi="Arial" w:cs="Arial"/>
                <w:color w:val="000000"/>
                <w:sz w:val="18"/>
                <w:szCs w:val="18"/>
              </w:rPr>
              <w:t>Wyoming</w:t>
            </w:r>
          </w:p>
        </w:tc>
        <w:tc>
          <w:tcPr>
            <w:tcW w:w="2815" w:type="dxa"/>
            <w:noWrap/>
            <w:hideMark/>
          </w:tcPr>
          <w:p w14:paraId="7E008CFA" w14:textId="77777777" w:rsidR="00250639" w:rsidRPr="002943D4" w:rsidRDefault="00250639" w:rsidP="00C736AC">
            <w:pPr>
              <w:jc w:val="right"/>
              <w:rPr>
                <w:rFonts w:ascii="Arial" w:hAnsi="Arial" w:cs="Arial"/>
                <w:color w:val="000000"/>
                <w:sz w:val="18"/>
                <w:szCs w:val="18"/>
              </w:rPr>
            </w:pPr>
            <w:r w:rsidRPr="002943D4">
              <w:rPr>
                <w:rFonts w:ascii="Arial" w:hAnsi="Arial" w:cs="Arial"/>
                <w:color w:val="000000"/>
                <w:sz w:val="18"/>
                <w:szCs w:val="18"/>
              </w:rPr>
              <w:t xml:space="preserve">$855,934 </w:t>
            </w:r>
          </w:p>
        </w:tc>
      </w:tr>
      <w:tr w:rsidR="00250639" w:rsidRPr="002943D4" w14:paraId="2E36E1A6" w14:textId="77777777" w:rsidTr="00C91E7A">
        <w:trPr>
          <w:trHeight w:val="20"/>
        </w:trPr>
        <w:tc>
          <w:tcPr>
            <w:tcW w:w="2605" w:type="dxa"/>
            <w:noWrap/>
          </w:tcPr>
          <w:p w14:paraId="42754EC2" w14:textId="77777777" w:rsidR="00250639" w:rsidRPr="002943D4" w:rsidRDefault="00250639" w:rsidP="00C736AC">
            <w:pPr>
              <w:rPr>
                <w:rFonts w:ascii="Arial" w:hAnsi="Arial" w:cs="Arial"/>
                <w:color w:val="000000"/>
                <w:sz w:val="18"/>
                <w:szCs w:val="18"/>
              </w:rPr>
            </w:pPr>
            <w:r w:rsidRPr="002943D4">
              <w:rPr>
                <w:rFonts w:ascii="Arial" w:hAnsi="Arial" w:cs="Arial"/>
                <w:color w:val="000000"/>
                <w:sz w:val="18"/>
                <w:szCs w:val="18"/>
              </w:rPr>
              <w:t>American Samoa</w:t>
            </w:r>
          </w:p>
        </w:tc>
        <w:tc>
          <w:tcPr>
            <w:tcW w:w="2815" w:type="dxa"/>
            <w:noWrap/>
          </w:tcPr>
          <w:p w14:paraId="295B4A1C" w14:textId="77777777" w:rsidR="00250639" w:rsidRPr="002943D4" w:rsidRDefault="00250639" w:rsidP="00C736AC">
            <w:pPr>
              <w:jc w:val="right"/>
              <w:rPr>
                <w:rFonts w:ascii="Arial" w:hAnsi="Arial" w:cs="Arial"/>
                <w:color w:val="000000"/>
                <w:sz w:val="18"/>
                <w:szCs w:val="18"/>
              </w:rPr>
            </w:pPr>
            <w:r w:rsidRPr="002943D4">
              <w:rPr>
                <w:rFonts w:ascii="Arial" w:hAnsi="Arial" w:cs="Arial"/>
                <w:color w:val="000000"/>
                <w:sz w:val="18"/>
                <w:szCs w:val="18"/>
              </w:rPr>
              <w:t xml:space="preserve">$135,437 </w:t>
            </w:r>
          </w:p>
        </w:tc>
      </w:tr>
      <w:tr w:rsidR="00250639" w:rsidRPr="002943D4" w14:paraId="577B8833" w14:textId="77777777" w:rsidTr="00C91E7A">
        <w:trPr>
          <w:trHeight w:val="20"/>
        </w:trPr>
        <w:tc>
          <w:tcPr>
            <w:tcW w:w="2605" w:type="dxa"/>
            <w:noWrap/>
            <w:hideMark/>
          </w:tcPr>
          <w:p w14:paraId="0A7B701B" w14:textId="77777777" w:rsidR="00250639" w:rsidRPr="002943D4" w:rsidRDefault="00250639" w:rsidP="00C736AC">
            <w:pPr>
              <w:rPr>
                <w:rFonts w:ascii="Arial" w:hAnsi="Arial" w:cs="Arial"/>
                <w:color w:val="000000"/>
                <w:sz w:val="18"/>
                <w:szCs w:val="18"/>
              </w:rPr>
            </w:pPr>
            <w:r w:rsidRPr="002943D4">
              <w:rPr>
                <w:rFonts w:ascii="Arial" w:hAnsi="Arial" w:cs="Arial"/>
                <w:color w:val="000000"/>
                <w:sz w:val="18"/>
                <w:szCs w:val="18"/>
              </w:rPr>
              <w:t>Guam</w:t>
            </w:r>
          </w:p>
        </w:tc>
        <w:tc>
          <w:tcPr>
            <w:tcW w:w="2815" w:type="dxa"/>
            <w:noWrap/>
            <w:hideMark/>
          </w:tcPr>
          <w:p w14:paraId="3C886445" w14:textId="77777777" w:rsidR="00250639" w:rsidRPr="002943D4" w:rsidRDefault="00250639" w:rsidP="00C736AC">
            <w:pPr>
              <w:jc w:val="right"/>
              <w:rPr>
                <w:rFonts w:ascii="Arial" w:hAnsi="Arial" w:cs="Arial"/>
                <w:color w:val="000000"/>
                <w:sz w:val="18"/>
                <w:szCs w:val="18"/>
              </w:rPr>
            </w:pPr>
            <w:r w:rsidRPr="002943D4">
              <w:rPr>
                <w:rFonts w:ascii="Arial" w:hAnsi="Arial" w:cs="Arial"/>
                <w:color w:val="000000"/>
                <w:sz w:val="18"/>
                <w:szCs w:val="18"/>
              </w:rPr>
              <w:t xml:space="preserve">$400,139 </w:t>
            </w:r>
          </w:p>
        </w:tc>
      </w:tr>
      <w:tr w:rsidR="00250639" w:rsidRPr="002943D4" w14:paraId="07C1DD0F" w14:textId="77777777" w:rsidTr="00C91E7A">
        <w:trPr>
          <w:trHeight w:val="20"/>
        </w:trPr>
        <w:tc>
          <w:tcPr>
            <w:tcW w:w="2605" w:type="dxa"/>
            <w:noWrap/>
            <w:hideMark/>
          </w:tcPr>
          <w:p w14:paraId="39250443" w14:textId="77777777" w:rsidR="00250639" w:rsidRPr="002943D4" w:rsidRDefault="00250639" w:rsidP="00C736AC">
            <w:pPr>
              <w:rPr>
                <w:rFonts w:ascii="Arial" w:hAnsi="Arial" w:cs="Arial"/>
                <w:color w:val="000000"/>
                <w:sz w:val="18"/>
                <w:szCs w:val="18"/>
              </w:rPr>
            </w:pPr>
            <w:r w:rsidRPr="002943D4">
              <w:rPr>
                <w:rFonts w:ascii="Arial" w:hAnsi="Arial" w:cs="Arial"/>
                <w:color w:val="000000"/>
                <w:sz w:val="18"/>
                <w:szCs w:val="18"/>
              </w:rPr>
              <w:t>Northern Mariana Islands</w:t>
            </w:r>
          </w:p>
        </w:tc>
        <w:tc>
          <w:tcPr>
            <w:tcW w:w="2815" w:type="dxa"/>
            <w:noWrap/>
            <w:hideMark/>
          </w:tcPr>
          <w:p w14:paraId="5C216238" w14:textId="77777777" w:rsidR="00250639" w:rsidRPr="002943D4" w:rsidRDefault="00250639" w:rsidP="00C736AC">
            <w:pPr>
              <w:jc w:val="right"/>
              <w:rPr>
                <w:rFonts w:ascii="Arial" w:hAnsi="Arial" w:cs="Arial"/>
                <w:color w:val="000000"/>
                <w:sz w:val="18"/>
                <w:szCs w:val="18"/>
              </w:rPr>
            </w:pPr>
            <w:r w:rsidRPr="002943D4">
              <w:rPr>
                <w:rFonts w:ascii="Arial" w:hAnsi="Arial" w:cs="Arial"/>
                <w:color w:val="000000"/>
                <w:sz w:val="18"/>
                <w:szCs w:val="18"/>
              </w:rPr>
              <w:t xml:space="preserve">$48,929 </w:t>
            </w:r>
          </w:p>
        </w:tc>
      </w:tr>
      <w:tr w:rsidR="00250639" w:rsidRPr="002943D4" w14:paraId="26F889B3" w14:textId="77777777" w:rsidTr="00C91E7A">
        <w:trPr>
          <w:trHeight w:val="20"/>
        </w:trPr>
        <w:tc>
          <w:tcPr>
            <w:tcW w:w="2605" w:type="dxa"/>
            <w:noWrap/>
            <w:hideMark/>
          </w:tcPr>
          <w:p w14:paraId="334A2C57" w14:textId="77777777" w:rsidR="00250639" w:rsidRPr="002943D4" w:rsidRDefault="00250639" w:rsidP="00C736AC">
            <w:pPr>
              <w:rPr>
                <w:rFonts w:ascii="Arial" w:hAnsi="Arial" w:cs="Arial"/>
                <w:color w:val="000000"/>
                <w:sz w:val="18"/>
                <w:szCs w:val="18"/>
              </w:rPr>
            </w:pPr>
            <w:r w:rsidRPr="002943D4">
              <w:rPr>
                <w:rFonts w:ascii="Arial" w:hAnsi="Arial" w:cs="Arial"/>
                <w:color w:val="000000"/>
                <w:sz w:val="18"/>
                <w:szCs w:val="18"/>
              </w:rPr>
              <w:t>Puerto Rico</w:t>
            </w:r>
          </w:p>
        </w:tc>
        <w:tc>
          <w:tcPr>
            <w:tcW w:w="2815" w:type="dxa"/>
            <w:noWrap/>
            <w:hideMark/>
          </w:tcPr>
          <w:p w14:paraId="3F93DFAB" w14:textId="77777777" w:rsidR="00250639" w:rsidRPr="002943D4" w:rsidRDefault="00250639" w:rsidP="00C736AC">
            <w:pPr>
              <w:jc w:val="right"/>
              <w:rPr>
                <w:rFonts w:ascii="Arial" w:hAnsi="Arial" w:cs="Arial"/>
                <w:color w:val="000000"/>
                <w:sz w:val="18"/>
                <w:szCs w:val="18"/>
              </w:rPr>
            </w:pPr>
            <w:r w:rsidRPr="002943D4">
              <w:rPr>
                <w:rFonts w:ascii="Arial" w:hAnsi="Arial" w:cs="Arial"/>
                <w:color w:val="000000"/>
                <w:sz w:val="18"/>
                <w:szCs w:val="18"/>
              </w:rPr>
              <w:t xml:space="preserve">$2,932,078 </w:t>
            </w:r>
          </w:p>
        </w:tc>
      </w:tr>
      <w:tr w:rsidR="00250639" w:rsidRPr="002943D4" w14:paraId="72171EDF" w14:textId="77777777" w:rsidTr="00C91E7A">
        <w:trPr>
          <w:trHeight w:val="20"/>
        </w:trPr>
        <w:tc>
          <w:tcPr>
            <w:tcW w:w="2605" w:type="dxa"/>
            <w:noWrap/>
            <w:hideMark/>
          </w:tcPr>
          <w:p w14:paraId="27C7650E" w14:textId="77777777" w:rsidR="00250639" w:rsidRPr="002943D4" w:rsidRDefault="00250639" w:rsidP="00C736AC">
            <w:pPr>
              <w:rPr>
                <w:rFonts w:ascii="Arial" w:hAnsi="Arial" w:cs="Arial"/>
                <w:color w:val="000000"/>
                <w:sz w:val="18"/>
                <w:szCs w:val="18"/>
              </w:rPr>
            </w:pPr>
            <w:r w:rsidRPr="002943D4">
              <w:rPr>
                <w:rFonts w:ascii="Arial" w:hAnsi="Arial" w:cs="Arial"/>
                <w:color w:val="000000"/>
                <w:sz w:val="18"/>
                <w:szCs w:val="18"/>
              </w:rPr>
              <w:t>Virgin Islands</w:t>
            </w:r>
          </w:p>
        </w:tc>
        <w:tc>
          <w:tcPr>
            <w:tcW w:w="2815" w:type="dxa"/>
            <w:noWrap/>
            <w:hideMark/>
          </w:tcPr>
          <w:p w14:paraId="277C9970" w14:textId="77777777" w:rsidR="00250639" w:rsidRPr="002943D4" w:rsidRDefault="00250639" w:rsidP="00C736AC">
            <w:pPr>
              <w:jc w:val="right"/>
              <w:rPr>
                <w:rFonts w:ascii="Arial" w:hAnsi="Arial" w:cs="Arial"/>
                <w:color w:val="000000"/>
                <w:sz w:val="18"/>
                <w:szCs w:val="18"/>
              </w:rPr>
            </w:pPr>
            <w:r w:rsidRPr="002943D4">
              <w:rPr>
                <w:rFonts w:ascii="Arial" w:hAnsi="Arial" w:cs="Arial"/>
                <w:color w:val="000000"/>
                <w:sz w:val="18"/>
                <w:szCs w:val="18"/>
              </w:rPr>
              <w:t xml:space="preserve">$182,777 </w:t>
            </w:r>
          </w:p>
        </w:tc>
      </w:tr>
      <w:tr w:rsidR="00250639" w:rsidRPr="002943D4" w14:paraId="0F37967A" w14:textId="77777777" w:rsidTr="00C91E7A">
        <w:trPr>
          <w:trHeight w:val="20"/>
        </w:trPr>
        <w:tc>
          <w:tcPr>
            <w:tcW w:w="2605" w:type="dxa"/>
            <w:noWrap/>
            <w:hideMark/>
          </w:tcPr>
          <w:p w14:paraId="7C085242" w14:textId="77777777" w:rsidR="00250639" w:rsidRPr="00250639" w:rsidRDefault="00250639" w:rsidP="00C736AC">
            <w:pPr>
              <w:rPr>
                <w:rFonts w:ascii="Arial" w:hAnsi="Arial" w:cs="Arial"/>
                <w:b/>
                <w:bCs/>
                <w:color w:val="000000"/>
                <w:sz w:val="20"/>
                <w:szCs w:val="20"/>
              </w:rPr>
            </w:pPr>
            <w:r w:rsidRPr="00250639">
              <w:rPr>
                <w:rFonts w:ascii="Arial" w:hAnsi="Arial" w:cs="Arial"/>
                <w:b/>
                <w:bCs/>
                <w:color w:val="000000"/>
                <w:sz w:val="20"/>
                <w:szCs w:val="20"/>
              </w:rPr>
              <w:t>TOTAL</w:t>
            </w:r>
          </w:p>
        </w:tc>
        <w:tc>
          <w:tcPr>
            <w:tcW w:w="2815" w:type="dxa"/>
            <w:noWrap/>
            <w:hideMark/>
          </w:tcPr>
          <w:p w14:paraId="6648BAEA" w14:textId="77777777" w:rsidR="00250639" w:rsidRPr="00250639" w:rsidRDefault="00250639" w:rsidP="00C736AC">
            <w:pPr>
              <w:jc w:val="right"/>
              <w:rPr>
                <w:rFonts w:ascii="Arial" w:hAnsi="Arial" w:cs="Arial"/>
                <w:color w:val="000000"/>
                <w:sz w:val="20"/>
                <w:szCs w:val="20"/>
              </w:rPr>
            </w:pPr>
            <w:r w:rsidRPr="00250639">
              <w:rPr>
                <w:rFonts w:ascii="Arial" w:hAnsi="Arial" w:cs="Arial"/>
                <w:b/>
                <w:bCs/>
                <w:color w:val="000000"/>
                <w:sz w:val="20"/>
                <w:szCs w:val="20"/>
              </w:rPr>
              <w:t xml:space="preserve">$152,379,461 </w:t>
            </w:r>
          </w:p>
        </w:tc>
      </w:tr>
    </w:tbl>
    <w:p w14:paraId="4A38FF11" w14:textId="77777777" w:rsidR="00055A42" w:rsidRDefault="00055A42">
      <w:pPr>
        <w:rPr>
          <w:b/>
          <w:sz w:val="18"/>
          <w:szCs w:val="18"/>
        </w:rPr>
      </w:pPr>
    </w:p>
    <w:p w14:paraId="5636DFD4" w14:textId="77777777" w:rsidR="00055A42" w:rsidRDefault="00055A42">
      <w:pPr>
        <w:rPr>
          <w:b/>
          <w:sz w:val="18"/>
          <w:szCs w:val="18"/>
        </w:rPr>
      </w:pPr>
    </w:p>
    <w:p w14:paraId="312A023A" w14:textId="22547035" w:rsidR="00250639" w:rsidRDefault="00250639">
      <w:pPr>
        <w:rPr>
          <w:b/>
          <w:sz w:val="18"/>
          <w:szCs w:val="18"/>
        </w:rPr>
      </w:pPr>
      <w:r>
        <w:rPr>
          <w:b/>
          <w:sz w:val="18"/>
          <w:szCs w:val="18"/>
        </w:rPr>
        <w:br w:type="page"/>
      </w:r>
    </w:p>
    <w:p w14:paraId="492CCD9C" w14:textId="77777777" w:rsidR="00055A42" w:rsidRDefault="00055A42">
      <w:pPr>
        <w:rPr>
          <w:b/>
          <w:sz w:val="18"/>
          <w:szCs w:val="18"/>
        </w:rPr>
      </w:pPr>
    </w:p>
    <w:tbl>
      <w:tblPr>
        <w:tblStyle w:val="TableGrid"/>
        <w:tblW w:w="11025" w:type="dxa"/>
        <w:tblInd w:w="-95" w:type="dxa"/>
        <w:tblLook w:val="04A0" w:firstRow="1" w:lastRow="0" w:firstColumn="1" w:lastColumn="0" w:noHBand="0" w:noVBand="1"/>
      </w:tblPr>
      <w:tblGrid>
        <w:gridCol w:w="900"/>
        <w:gridCol w:w="1080"/>
        <w:gridCol w:w="5400"/>
        <w:gridCol w:w="1304"/>
        <w:gridCol w:w="1216"/>
        <w:gridCol w:w="1125"/>
      </w:tblGrid>
      <w:tr w:rsidR="00F17BF1" w:rsidRPr="002246ED" w14:paraId="7B1598E6" w14:textId="77777777" w:rsidTr="002246ED">
        <w:trPr>
          <w:trHeight w:hRule="exact" w:val="259"/>
        </w:trPr>
        <w:tc>
          <w:tcPr>
            <w:tcW w:w="900" w:type="dxa"/>
            <w:noWrap/>
            <w:hideMark/>
          </w:tcPr>
          <w:p w14:paraId="0BBD25CA" w14:textId="77777777" w:rsidR="00F17BF1" w:rsidRPr="002246ED" w:rsidRDefault="00F17BF1" w:rsidP="00F17BF1">
            <w:pPr>
              <w:spacing w:after="200" w:line="276" w:lineRule="auto"/>
              <w:contextualSpacing/>
              <w:rPr>
                <w:rFonts w:ascii="Arial" w:hAnsi="Arial" w:cs="Arial"/>
                <w:b/>
                <w:bCs/>
                <w:sz w:val="18"/>
                <w:szCs w:val="18"/>
              </w:rPr>
            </w:pPr>
            <w:r w:rsidRPr="002246ED">
              <w:rPr>
                <w:rFonts w:ascii="Arial" w:hAnsi="Arial" w:cs="Arial"/>
                <w:b/>
                <w:bCs/>
                <w:sz w:val="18"/>
                <w:szCs w:val="18"/>
              </w:rPr>
              <w:t>State</w:t>
            </w:r>
          </w:p>
        </w:tc>
        <w:tc>
          <w:tcPr>
            <w:tcW w:w="1080" w:type="dxa"/>
            <w:noWrap/>
            <w:hideMark/>
          </w:tcPr>
          <w:p w14:paraId="725F66A2" w14:textId="77777777" w:rsidR="00F17BF1" w:rsidRPr="002246ED" w:rsidRDefault="00F17BF1" w:rsidP="00F17BF1">
            <w:pPr>
              <w:spacing w:after="200" w:line="276" w:lineRule="auto"/>
              <w:contextualSpacing/>
              <w:rPr>
                <w:rFonts w:ascii="Arial" w:hAnsi="Arial" w:cs="Arial"/>
                <w:b/>
                <w:bCs/>
                <w:sz w:val="18"/>
                <w:szCs w:val="18"/>
              </w:rPr>
            </w:pPr>
            <w:r w:rsidRPr="002246ED">
              <w:rPr>
                <w:rFonts w:ascii="Arial" w:hAnsi="Arial" w:cs="Arial"/>
                <w:b/>
                <w:bCs/>
                <w:sz w:val="18"/>
                <w:szCs w:val="18"/>
              </w:rPr>
              <w:t>Tribe No.</w:t>
            </w:r>
          </w:p>
        </w:tc>
        <w:tc>
          <w:tcPr>
            <w:tcW w:w="5400" w:type="dxa"/>
            <w:noWrap/>
            <w:hideMark/>
          </w:tcPr>
          <w:p w14:paraId="50F15427" w14:textId="77777777" w:rsidR="00F17BF1" w:rsidRPr="002246ED" w:rsidRDefault="00F17BF1" w:rsidP="00F17BF1">
            <w:pPr>
              <w:spacing w:after="200" w:line="276" w:lineRule="auto"/>
              <w:contextualSpacing/>
              <w:rPr>
                <w:rFonts w:ascii="Arial" w:hAnsi="Arial" w:cs="Arial"/>
                <w:b/>
                <w:bCs/>
                <w:sz w:val="18"/>
                <w:szCs w:val="18"/>
              </w:rPr>
            </w:pPr>
            <w:r w:rsidRPr="002246ED">
              <w:rPr>
                <w:rFonts w:ascii="Arial" w:hAnsi="Arial" w:cs="Arial"/>
                <w:b/>
                <w:bCs/>
                <w:sz w:val="18"/>
                <w:szCs w:val="18"/>
              </w:rPr>
              <w:t>Grantee Name</w:t>
            </w:r>
          </w:p>
        </w:tc>
        <w:tc>
          <w:tcPr>
            <w:tcW w:w="1304" w:type="dxa"/>
            <w:noWrap/>
            <w:hideMark/>
          </w:tcPr>
          <w:p w14:paraId="55364D62" w14:textId="77777777" w:rsidR="00F17BF1" w:rsidRPr="002246ED" w:rsidRDefault="00F17BF1" w:rsidP="00F17BF1">
            <w:pPr>
              <w:spacing w:after="200" w:line="276" w:lineRule="auto"/>
              <w:contextualSpacing/>
              <w:rPr>
                <w:rFonts w:ascii="Arial" w:hAnsi="Arial" w:cs="Arial"/>
                <w:b/>
                <w:bCs/>
                <w:sz w:val="18"/>
                <w:szCs w:val="18"/>
              </w:rPr>
            </w:pPr>
            <w:r w:rsidRPr="002246ED">
              <w:rPr>
                <w:rFonts w:ascii="Arial" w:hAnsi="Arial" w:cs="Arial"/>
                <w:b/>
                <w:bCs/>
                <w:sz w:val="18"/>
                <w:szCs w:val="18"/>
              </w:rPr>
              <w:t xml:space="preserve"> TITLE6 A/B</w:t>
            </w:r>
          </w:p>
        </w:tc>
        <w:tc>
          <w:tcPr>
            <w:tcW w:w="1216" w:type="dxa"/>
            <w:noWrap/>
            <w:hideMark/>
          </w:tcPr>
          <w:p w14:paraId="1F43940D" w14:textId="77777777" w:rsidR="00F17BF1" w:rsidRPr="002246ED" w:rsidRDefault="00F17BF1" w:rsidP="00F17BF1">
            <w:pPr>
              <w:spacing w:after="200" w:line="276" w:lineRule="auto"/>
              <w:contextualSpacing/>
              <w:rPr>
                <w:rFonts w:ascii="Arial" w:hAnsi="Arial" w:cs="Arial"/>
                <w:b/>
                <w:bCs/>
                <w:sz w:val="18"/>
                <w:szCs w:val="18"/>
              </w:rPr>
            </w:pPr>
            <w:r w:rsidRPr="002246ED">
              <w:rPr>
                <w:rFonts w:ascii="Arial" w:hAnsi="Arial" w:cs="Arial"/>
                <w:b/>
                <w:bCs/>
                <w:sz w:val="18"/>
                <w:szCs w:val="18"/>
              </w:rPr>
              <w:t xml:space="preserve"> TITLE6 C</w:t>
            </w:r>
          </w:p>
        </w:tc>
        <w:tc>
          <w:tcPr>
            <w:tcW w:w="1125" w:type="dxa"/>
            <w:noWrap/>
            <w:hideMark/>
          </w:tcPr>
          <w:p w14:paraId="7E937C54" w14:textId="77777777" w:rsidR="00F17BF1" w:rsidRPr="002246ED" w:rsidRDefault="00F17BF1" w:rsidP="00F17BF1">
            <w:pPr>
              <w:spacing w:after="200" w:line="276" w:lineRule="auto"/>
              <w:contextualSpacing/>
              <w:rPr>
                <w:rFonts w:ascii="Arial" w:hAnsi="Arial" w:cs="Arial"/>
                <w:b/>
                <w:bCs/>
                <w:sz w:val="18"/>
                <w:szCs w:val="18"/>
              </w:rPr>
            </w:pPr>
            <w:r w:rsidRPr="002246ED">
              <w:rPr>
                <w:rFonts w:ascii="Arial" w:hAnsi="Arial" w:cs="Arial"/>
                <w:b/>
                <w:bCs/>
                <w:sz w:val="18"/>
                <w:szCs w:val="18"/>
              </w:rPr>
              <w:t>NSIP</w:t>
            </w:r>
          </w:p>
        </w:tc>
      </w:tr>
      <w:tr w:rsidR="00F17BF1" w:rsidRPr="002246ED" w14:paraId="534E148E" w14:textId="77777777" w:rsidTr="002246ED">
        <w:trPr>
          <w:trHeight w:hRule="exact" w:val="230"/>
        </w:trPr>
        <w:tc>
          <w:tcPr>
            <w:tcW w:w="900" w:type="dxa"/>
            <w:noWrap/>
            <w:hideMark/>
          </w:tcPr>
          <w:p w14:paraId="0697AF7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AK</w:t>
            </w:r>
          </w:p>
        </w:tc>
        <w:tc>
          <w:tcPr>
            <w:tcW w:w="1080" w:type="dxa"/>
            <w:noWrap/>
            <w:hideMark/>
          </w:tcPr>
          <w:p w14:paraId="0432F7B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01</w:t>
            </w:r>
          </w:p>
        </w:tc>
        <w:tc>
          <w:tcPr>
            <w:tcW w:w="5400" w:type="dxa"/>
            <w:noWrap/>
            <w:hideMark/>
          </w:tcPr>
          <w:p w14:paraId="3256FE8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Aleutian Pribilof Islands Association, Inc.</w:t>
            </w:r>
          </w:p>
        </w:tc>
        <w:tc>
          <w:tcPr>
            <w:tcW w:w="1304" w:type="dxa"/>
            <w:noWrap/>
            <w:hideMark/>
          </w:tcPr>
          <w:p w14:paraId="4E6E637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$107,430</w:t>
            </w:r>
          </w:p>
        </w:tc>
        <w:tc>
          <w:tcPr>
            <w:tcW w:w="1216" w:type="dxa"/>
            <w:noWrap/>
            <w:hideMark/>
          </w:tcPr>
          <w:p w14:paraId="7BEACCC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$34,550</w:t>
            </w:r>
          </w:p>
        </w:tc>
        <w:tc>
          <w:tcPr>
            <w:tcW w:w="1125" w:type="dxa"/>
            <w:noWrap/>
            <w:hideMark/>
          </w:tcPr>
          <w:p w14:paraId="79BFEF5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$8,230</w:t>
            </w:r>
          </w:p>
        </w:tc>
      </w:tr>
      <w:tr w:rsidR="00F17BF1" w:rsidRPr="002246ED" w14:paraId="747C53AC" w14:textId="77777777" w:rsidTr="002246ED">
        <w:trPr>
          <w:trHeight w:hRule="exact" w:val="230"/>
        </w:trPr>
        <w:tc>
          <w:tcPr>
            <w:tcW w:w="900" w:type="dxa"/>
            <w:noWrap/>
            <w:hideMark/>
          </w:tcPr>
          <w:p w14:paraId="757762B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AK</w:t>
            </w:r>
          </w:p>
        </w:tc>
        <w:tc>
          <w:tcPr>
            <w:tcW w:w="1080" w:type="dxa"/>
            <w:noWrap/>
            <w:hideMark/>
          </w:tcPr>
          <w:p w14:paraId="00135CE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02</w:t>
            </w:r>
          </w:p>
        </w:tc>
        <w:tc>
          <w:tcPr>
            <w:tcW w:w="5400" w:type="dxa"/>
            <w:noWrap/>
            <w:hideMark/>
          </w:tcPr>
          <w:p w14:paraId="01E0C48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Association of Village Council Presidents</w:t>
            </w:r>
          </w:p>
        </w:tc>
        <w:tc>
          <w:tcPr>
            <w:tcW w:w="1304" w:type="dxa"/>
            <w:noWrap/>
            <w:hideMark/>
          </w:tcPr>
          <w:p w14:paraId="26E0D72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$137,640</w:t>
            </w:r>
          </w:p>
        </w:tc>
        <w:tc>
          <w:tcPr>
            <w:tcW w:w="1216" w:type="dxa"/>
            <w:noWrap/>
            <w:hideMark/>
          </w:tcPr>
          <w:p w14:paraId="1AAB8FD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w:t>
            </w:r>
          </w:p>
        </w:tc>
        <w:tc>
          <w:tcPr>
            <w:tcW w:w="1125" w:type="dxa"/>
            <w:noWrap/>
            <w:hideMark/>
          </w:tcPr>
          <w:p w14:paraId="42B9FF1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$21,307</w:t>
            </w:r>
          </w:p>
        </w:tc>
      </w:tr>
      <w:tr w:rsidR="00F17BF1" w:rsidRPr="002246ED" w14:paraId="3B6E4F4C" w14:textId="77777777" w:rsidTr="002246ED">
        <w:trPr>
          <w:trHeight w:hRule="exact" w:val="230"/>
        </w:trPr>
        <w:tc>
          <w:tcPr>
            <w:tcW w:w="900" w:type="dxa"/>
            <w:noWrap/>
            <w:hideMark/>
          </w:tcPr>
          <w:p w14:paraId="60A2D56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AK</w:t>
            </w:r>
          </w:p>
        </w:tc>
        <w:tc>
          <w:tcPr>
            <w:tcW w:w="1080" w:type="dxa"/>
            <w:noWrap/>
            <w:hideMark/>
          </w:tcPr>
          <w:p w14:paraId="61E1F49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03</w:t>
            </w:r>
          </w:p>
        </w:tc>
        <w:tc>
          <w:tcPr>
            <w:tcW w:w="5400" w:type="dxa"/>
            <w:noWrap/>
            <w:hideMark/>
          </w:tcPr>
          <w:p w14:paraId="3470F75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Bristol Bay Native Association</w:t>
            </w:r>
          </w:p>
        </w:tc>
        <w:tc>
          <w:tcPr>
            <w:tcW w:w="1304" w:type="dxa"/>
            <w:noWrap/>
            <w:hideMark/>
          </w:tcPr>
          <w:p w14:paraId="6CCE483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$137,640</w:t>
            </w:r>
          </w:p>
        </w:tc>
        <w:tc>
          <w:tcPr>
            <w:tcW w:w="1216" w:type="dxa"/>
            <w:noWrap/>
            <w:hideMark/>
          </w:tcPr>
          <w:p w14:paraId="40B5E80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$48,380</w:t>
            </w:r>
          </w:p>
        </w:tc>
        <w:tc>
          <w:tcPr>
            <w:tcW w:w="1125" w:type="dxa"/>
            <w:noWrap/>
            <w:hideMark/>
          </w:tcPr>
          <w:p w14:paraId="1D936AA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$5,673</w:t>
            </w:r>
          </w:p>
        </w:tc>
      </w:tr>
      <w:tr w:rsidR="00F17BF1" w:rsidRPr="002246ED" w14:paraId="151E294C" w14:textId="77777777" w:rsidTr="002246ED">
        <w:trPr>
          <w:trHeight w:hRule="exact" w:val="230"/>
        </w:trPr>
        <w:tc>
          <w:tcPr>
            <w:tcW w:w="900" w:type="dxa"/>
            <w:noWrap/>
            <w:hideMark/>
          </w:tcPr>
          <w:p w14:paraId="11E4E1E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AK</w:t>
            </w:r>
          </w:p>
        </w:tc>
        <w:tc>
          <w:tcPr>
            <w:tcW w:w="1080" w:type="dxa"/>
            <w:noWrap/>
            <w:hideMark/>
          </w:tcPr>
          <w:p w14:paraId="14BB968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04</w:t>
            </w:r>
          </w:p>
        </w:tc>
        <w:tc>
          <w:tcPr>
            <w:tcW w:w="5400" w:type="dxa"/>
            <w:noWrap/>
            <w:hideMark/>
          </w:tcPr>
          <w:p w14:paraId="7B8AFF6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Central Council Tlingit &amp; Haida Indian Tribes of AK</w:t>
            </w:r>
          </w:p>
        </w:tc>
        <w:tc>
          <w:tcPr>
            <w:tcW w:w="1304" w:type="dxa"/>
            <w:noWrap/>
            <w:hideMark/>
          </w:tcPr>
          <w:p w14:paraId="1E73FE8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$180,720</w:t>
            </w:r>
          </w:p>
        </w:tc>
        <w:tc>
          <w:tcPr>
            <w:tcW w:w="1216" w:type="dxa"/>
            <w:noWrap/>
            <w:hideMark/>
          </w:tcPr>
          <w:p w14:paraId="62F7AC2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$55,280</w:t>
            </w:r>
          </w:p>
        </w:tc>
        <w:tc>
          <w:tcPr>
            <w:tcW w:w="1125" w:type="dxa"/>
            <w:noWrap/>
            <w:hideMark/>
          </w:tcPr>
          <w:p w14:paraId="52940F5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$1,368</w:t>
            </w:r>
          </w:p>
        </w:tc>
      </w:tr>
      <w:tr w:rsidR="00F17BF1" w:rsidRPr="002246ED" w14:paraId="3AECE0DA" w14:textId="77777777" w:rsidTr="002246ED">
        <w:trPr>
          <w:trHeight w:hRule="exact" w:val="230"/>
        </w:trPr>
        <w:tc>
          <w:tcPr>
            <w:tcW w:w="900" w:type="dxa"/>
            <w:noWrap/>
            <w:hideMark/>
          </w:tcPr>
          <w:p w14:paraId="4122F92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AK</w:t>
            </w:r>
          </w:p>
        </w:tc>
        <w:tc>
          <w:tcPr>
            <w:tcW w:w="1080" w:type="dxa"/>
            <w:noWrap/>
            <w:hideMark/>
          </w:tcPr>
          <w:p w14:paraId="75BD8EB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06</w:t>
            </w:r>
          </w:p>
        </w:tc>
        <w:tc>
          <w:tcPr>
            <w:tcW w:w="5400" w:type="dxa"/>
            <w:noWrap/>
            <w:hideMark/>
          </w:tcPr>
          <w:p w14:paraId="0418966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Copper River Native Association</w:t>
            </w:r>
          </w:p>
        </w:tc>
        <w:tc>
          <w:tcPr>
            <w:tcW w:w="1304" w:type="dxa"/>
            <w:noWrap/>
            <w:hideMark/>
          </w:tcPr>
          <w:p w14:paraId="3E4F204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7C95E70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hideMark/>
          </w:tcPr>
          <w:p w14:paraId="1DCC1FC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$7,428</w:t>
            </w:r>
          </w:p>
        </w:tc>
      </w:tr>
      <w:tr w:rsidR="00F17BF1" w:rsidRPr="002246ED" w14:paraId="7DDDEBA0" w14:textId="77777777" w:rsidTr="002246ED">
        <w:trPr>
          <w:trHeight w:hRule="exact" w:val="230"/>
        </w:trPr>
        <w:tc>
          <w:tcPr>
            <w:tcW w:w="900" w:type="dxa"/>
            <w:noWrap/>
            <w:hideMark/>
          </w:tcPr>
          <w:p w14:paraId="2C7ADBD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AK</w:t>
            </w:r>
          </w:p>
        </w:tc>
        <w:tc>
          <w:tcPr>
            <w:tcW w:w="1080" w:type="dxa"/>
            <w:noWrap/>
            <w:hideMark/>
          </w:tcPr>
          <w:p w14:paraId="004FCBD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07</w:t>
            </w:r>
          </w:p>
        </w:tc>
        <w:tc>
          <w:tcPr>
            <w:tcW w:w="5400" w:type="dxa"/>
            <w:noWrap/>
            <w:hideMark/>
          </w:tcPr>
          <w:p w14:paraId="104C256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Hoonah Indian Association</w:t>
            </w:r>
          </w:p>
        </w:tc>
        <w:tc>
          <w:tcPr>
            <w:tcW w:w="1304" w:type="dxa"/>
            <w:noWrap/>
            <w:hideMark/>
          </w:tcPr>
          <w:p w14:paraId="544333D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31287E0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hideMark/>
          </w:tcPr>
          <w:p w14:paraId="7977A41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$1,453</w:t>
            </w:r>
          </w:p>
        </w:tc>
      </w:tr>
      <w:tr w:rsidR="00F17BF1" w:rsidRPr="002246ED" w14:paraId="3FE547DB" w14:textId="77777777" w:rsidTr="002246ED">
        <w:trPr>
          <w:trHeight w:hRule="exact" w:val="230"/>
        </w:trPr>
        <w:tc>
          <w:tcPr>
            <w:tcW w:w="900" w:type="dxa"/>
            <w:noWrap/>
            <w:hideMark/>
          </w:tcPr>
          <w:p w14:paraId="45A5560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AK</w:t>
            </w:r>
          </w:p>
        </w:tc>
        <w:tc>
          <w:tcPr>
            <w:tcW w:w="1080" w:type="dxa"/>
            <w:noWrap/>
            <w:hideMark/>
          </w:tcPr>
          <w:p w14:paraId="72E242F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08</w:t>
            </w:r>
          </w:p>
        </w:tc>
        <w:tc>
          <w:tcPr>
            <w:tcW w:w="5400" w:type="dxa"/>
            <w:noWrap/>
            <w:hideMark/>
          </w:tcPr>
          <w:p w14:paraId="6D2F608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Kodiak Area Native Association - Northern Region</w:t>
            </w:r>
          </w:p>
        </w:tc>
        <w:tc>
          <w:tcPr>
            <w:tcW w:w="1304" w:type="dxa"/>
            <w:noWrap/>
            <w:hideMark/>
          </w:tcPr>
          <w:p w14:paraId="4D963B5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$73,990</w:t>
            </w:r>
          </w:p>
        </w:tc>
        <w:tc>
          <w:tcPr>
            <w:tcW w:w="1216" w:type="dxa"/>
            <w:noWrap/>
            <w:hideMark/>
          </w:tcPr>
          <w:p w14:paraId="1770141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$13,820</w:t>
            </w:r>
          </w:p>
        </w:tc>
        <w:tc>
          <w:tcPr>
            <w:tcW w:w="1125" w:type="dxa"/>
            <w:noWrap/>
            <w:hideMark/>
          </w:tcPr>
          <w:p w14:paraId="41BE62E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$2,671</w:t>
            </w:r>
          </w:p>
        </w:tc>
      </w:tr>
      <w:tr w:rsidR="00F17BF1" w:rsidRPr="002246ED" w14:paraId="6D6B32CC" w14:textId="77777777" w:rsidTr="002246ED">
        <w:trPr>
          <w:trHeight w:hRule="exact" w:val="230"/>
        </w:trPr>
        <w:tc>
          <w:tcPr>
            <w:tcW w:w="900" w:type="dxa"/>
            <w:noWrap/>
            <w:hideMark/>
          </w:tcPr>
          <w:p w14:paraId="5A0273C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AK</w:t>
            </w:r>
          </w:p>
        </w:tc>
        <w:tc>
          <w:tcPr>
            <w:tcW w:w="1080" w:type="dxa"/>
            <w:noWrap/>
            <w:hideMark/>
          </w:tcPr>
          <w:p w14:paraId="2B205D4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09</w:t>
            </w:r>
          </w:p>
        </w:tc>
        <w:tc>
          <w:tcPr>
            <w:tcW w:w="5400" w:type="dxa"/>
            <w:noWrap/>
            <w:hideMark/>
          </w:tcPr>
          <w:p w14:paraId="13A656C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Kodiak Area Native Association - Southern Region</w:t>
            </w:r>
          </w:p>
        </w:tc>
        <w:tc>
          <w:tcPr>
            <w:tcW w:w="1304" w:type="dxa"/>
            <w:noWrap/>
            <w:hideMark/>
          </w:tcPr>
          <w:p w14:paraId="6F5C447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$73,990</w:t>
            </w:r>
          </w:p>
        </w:tc>
        <w:tc>
          <w:tcPr>
            <w:tcW w:w="1216" w:type="dxa"/>
            <w:noWrap/>
            <w:hideMark/>
          </w:tcPr>
          <w:p w14:paraId="41BC900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$13,820</w:t>
            </w:r>
          </w:p>
        </w:tc>
        <w:tc>
          <w:tcPr>
            <w:tcW w:w="1125" w:type="dxa"/>
            <w:noWrap/>
            <w:hideMark/>
          </w:tcPr>
          <w:p w14:paraId="79EF53B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$3,568</w:t>
            </w:r>
          </w:p>
        </w:tc>
      </w:tr>
      <w:tr w:rsidR="00F17BF1" w:rsidRPr="002246ED" w14:paraId="0539A968" w14:textId="77777777" w:rsidTr="002246ED">
        <w:trPr>
          <w:trHeight w:hRule="exact" w:val="230"/>
        </w:trPr>
        <w:tc>
          <w:tcPr>
            <w:tcW w:w="900" w:type="dxa"/>
            <w:noWrap/>
            <w:hideMark/>
          </w:tcPr>
          <w:p w14:paraId="4488B99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AK</w:t>
            </w:r>
          </w:p>
        </w:tc>
        <w:tc>
          <w:tcPr>
            <w:tcW w:w="1080" w:type="dxa"/>
            <w:noWrap/>
            <w:hideMark/>
          </w:tcPr>
          <w:p w14:paraId="4C459F7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10</w:t>
            </w:r>
          </w:p>
        </w:tc>
        <w:tc>
          <w:tcPr>
            <w:tcW w:w="5400" w:type="dxa"/>
            <w:noWrap/>
            <w:hideMark/>
          </w:tcPr>
          <w:p w14:paraId="2603737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Metlakatla Indian Community</w:t>
            </w:r>
          </w:p>
        </w:tc>
        <w:tc>
          <w:tcPr>
            <w:tcW w:w="1304" w:type="dxa"/>
            <w:noWrap/>
            <w:hideMark/>
          </w:tcPr>
          <w:p w14:paraId="6D728BC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$95,340</w:t>
            </w:r>
          </w:p>
        </w:tc>
        <w:tc>
          <w:tcPr>
            <w:tcW w:w="1216" w:type="dxa"/>
            <w:noWrap/>
            <w:hideMark/>
          </w:tcPr>
          <w:p w14:paraId="5E6842E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$27,640</w:t>
            </w:r>
          </w:p>
        </w:tc>
        <w:tc>
          <w:tcPr>
            <w:tcW w:w="1125" w:type="dxa"/>
            <w:noWrap/>
            <w:hideMark/>
          </w:tcPr>
          <w:p w14:paraId="60DC79C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$2,857</w:t>
            </w:r>
          </w:p>
        </w:tc>
      </w:tr>
      <w:tr w:rsidR="00F17BF1" w:rsidRPr="002246ED" w14:paraId="6C929F2E" w14:textId="77777777" w:rsidTr="002246ED">
        <w:trPr>
          <w:trHeight w:hRule="exact" w:val="230"/>
        </w:trPr>
        <w:tc>
          <w:tcPr>
            <w:tcW w:w="900" w:type="dxa"/>
            <w:noWrap/>
            <w:hideMark/>
          </w:tcPr>
          <w:p w14:paraId="1024BEE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AK</w:t>
            </w:r>
          </w:p>
        </w:tc>
        <w:tc>
          <w:tcPr>
            <w:tcW w:w="1080" w:type="dxa"/>
            <w:noWrap/>
            <w:hideMark/>
          </w:tcPr>
          <w:p w14:paraId="6CBC0EF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11</w:t>
            </w:r>
          </w:p>
        </w:tc>
        <w:tc>
          <w:tcPr>
            <w:tcW w:w="5400" w:type="dxa"/>
            <w:noWrap/>
            <w:hideMark/>
          </w:tcPr>
          <w:p w14:paraId="0595EC6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Native Village of Barrow</w:t>
            </w:r>
          </w:p>
        </w:tc>
        <w:tc>
          <w:tcPr>
            <w:tcW w:w="1304" w:type="dxa"/>
            <w:noWrap/>
            <w:hideMark/>
          </w:tcPr>
          <w:p w14:paraId="639BBFF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$118,820</w:t>
            </w:r>
          </w:p>
        </w:tc>
        <w:tc>
          <w:tcPr>
            <w:tcW w:w="1216" w:type="dxa"/>
            <w:noWrap/>
            <w:hideMark/>
          </w:tcPr>
          <w:p w14:paraId="6920C45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$41,470</w:t>
            </w:r>
          </w:p>
        </w:tc>
        <w:tc>
          <w:tcPr>
            <w:tcW w:w="1125" w:type="dxa"/>
            <w:noWrap/>
            <w:hideMark/>
          </w:tcPr>
          <w:p w14:paraId="291A2F3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$24,672</w:t>
            </w:r>
          </w:p>
        </w:tc>
      </w:tr>
      <w:tr w:rsidR="00F17BF1" w:rsidRPr="002246ED" w14:paraId="0AA2C71F" w14:textId="77777777" w:rsidTr="002246ED">
        <w:trPr>
          <w:trHeight w:hRule="exact" w:val="230"/>
        </w:trPr>
        <w:tc>
          <w:tcPr>
            <w:tcW w:w="900" w:type="dxa"/>
            <w:noWrap/>
            <w:hideMark/>
          </w:tcPr>
          <w:p w14:paraId="4FF1A31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AK</w:t>
            </w:r>
          </w:p>
        </w:tc>
        <w:tc>
          <w:tcPr>
            <w:tcW w:w="1080" w:type="dxa"/>
            <w:noWrap/>
            <w:hideMark/>
          </w:tcPr>
          <w:p w14:paraId="040B960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12</w:t>
            </w:r>
          </w:p>
        </w:tc>
        <w:tc>
          <w:tcPr>
            <w:tcW w:w="5400" w:type="dxa"/>
            <w:noWrap/>
            <w:hideMark/>
          </w:tcPr>
          <w:p w14:paraId="4B878C7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Tanana Chiefs Conference for Kuskokwim subregion</w:t>
            </w:r>
          </w:p>
        </w:tc>
        <w:tc>
          <w:tcPr>
            <w:tcW w:w="1304" w:type="dxa"/>
            <w:noWrap/>
            <w:hideMark/>
          </w:tcPr>
          <w:p w14:paraId="2A24B01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5C84035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hideMark/>
          </w:tcPr>
          <w:p w14:paraId="4F805DF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$316</w:t>
            </w:r>
          </w:p>
        </w:tc>
      </w:tr>
      <w:tr w:rsidR="00F17BF1" w:rsidRPr="002246ED" w14:paraId="6B682C40" w14:textId="77777777" w:rsidTr="002246ED">
        <w:trPr>
          <w:trHeight w:hRule="exact" w:val="230"/>
        </w:trPr>
        <w:tc>
          <w:tcPr>
            <w:tcW w:w="900" w:type="dxa"/>
            <w:noWrap/>
            <w:hideMark/>
          </w:tcPr>
          <w:p w14:paraId="21BDAEA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AK</w:t>
            </w:r>
          </w:p>
        </w:tc>
        <w:tc>
          <w:tcPr>
            <w:tcW w:w="1080" w:type="dxa"/>
            <w:noWrap/>
            <w:hideMark/>
          </w:tcPr>
          <w:p w14:paraId="04E3087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w:t>
            </w:r>
          </w:p>
        </w:tc>
        <w:tc>
          <w:tcPr>
            <w:tcW w:w="5400" w:type="dxa"/>
            <w:noWrap/>
            <w:hideMark/>
          </w:tcPr>
          <w:p w14:paraId="14C8094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Tanana Chiefs Conference for Lower Yukon Subregion</w:t>
            </w:r>
          </w:p>
        </w:tc>
        <w:tc>
          <w:tcPr>
            <w:tcW w:w="1304" w:type="dxa"/>
            <w:noWrap/>
            <w:hideMark/>
          </w:tcPr>
          <w:p w14:paraId="5919D3E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$73,990</w:t>
            </w:r>
          </w:p>
        </w:tc>
        <w:tc>
          <w:tcPr>
            <w:tcW w:w="1216" w:type="dxa"/>
            <w:noWrap/>
            <w:hideMark/>
          </w:tcPr>
          <w:p w14:paraId="4EE2DAD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$13,820</w:t>
            </w:r>
          </w:p>
        </w:tc>
        <w:tc>
          <w:tcPr>
            <w:tcW w:w="1125" w:type="dxa"/>
            <w:noWrap/>
            <w:hideMark/>
          </w:tcPr>
          <w:p w14:paraId="6FF37F5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$3,028</w:t>
            </w:r>
          </w:p>
        </w:tc>
      </w:tr>
      <w:tr w:rsidR="00F17BF1" w:rsidRPr="002246ED" w14:paraId="7EB6E5BD" w14:textId="77777777" w:rsidTr="002246ED">
        <w:trPr>
          <w:trHeight w:hRule="exact" w:val="230"/>
        </w:trPr>
        <w:tc>
          <w:tcPr>
            <w:tcW w:w="900" w:type="dxa"/>
            <w:noWrap/>
            <w:hideMark/>
          </w:tcPr>
          <w:p w14:paraId="16768DC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AK</w:t>
            </w:r>
          </w:p>
        </w:tc>
        <w:tc>
          <w:tcPr>
            <w:tcW w:w="1080" w:type="dxa"/>
            <w:noWrap/>
            <w:hideMark/>
          </w:tcPr>
          <w:p w14:paraId="5D2924B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14</w:t>
            </w:r>
          </w:p>
        </w:tc>
        <w:tc>
          <w:tcPr>
            <w:tcW w:w="5400" w:type="dxa"/>
            <w:noWrap/>
            <w:hideMark/>
          </w:tcPr>
          <w:p w14:paraId="0E72672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Tanana Chiefs Conference for Yukon Flats Subregion</w:t>
            </w:r>
          </w:p>
        </w:tc>
        <w:tc>
          <w:tcPr>
            <w:tcW w:w="1304" w:type="dxa"/>
            <w:noWrap/>
            <w:hideMark/>
          </w:tcPr>
          <w:p w14:paraId="55EB575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$73,990</w:t>
            </w:r>
          </w:p>
        </w:tc>
        <w:tc>
          <w:tcPr>
            <w:tcW w:w="1216" w:type="dxa"/>
            <w:noWrap/>
            <w:hideMark/>
          </w:tcPr>
          <w:p w14:paraId="4082BC8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$13,820</w:t>
            </w:r>
          </w:p>
        </w:tc>
        <w:tc>
          <w:tcPr>
            <w:tcW w:w="1125" w:type="dxa"/>
            <w:noWrap/>
            <w:hideMark/>
          </w:tcPr>
          <w:p w14:paraId="7288A1D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$1,289</w:t>
            </w:r>
          </w:p>
        </w:tc>
      </w:tr>
      <w:tr w:rsidR="00F17BF1" w:rsidRPr="002246ED" w14:paraId="333D4C14" w14:textId="77777777" w:rsidTr="002246ED">
        <w:trPr>
          <w:trHeight w:hRule="exact" w:val="230"/>
        </w:trPr>
        <w:tc>
          <w:tcPr>
            <w:tcW w:w="900" w:type="dxa"/>
            <w:noWrap/>
            <w:hideMark/>
          </w:tcPr>
          <w:p w14:paraId="49987C1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AK</w:t>
            </w:r>
          </w:p>
        </w:tc>
        <w:tc>
          <w:tcPr>
            <w:tcW w:w="1080" w:type="dxa"/>
            <w:noWrap/>
            <w:hideMark/>
          </w:tcPr>
          <w:p w14:paraId="79DC947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15</w:t>
            </w:r>
          </w:p>
        </w:tc>
        <w:tc>
          <w:tcPr>
            <w:tcW w:w="5400" w:type="dxa"/>
            <w:noWrap/>
            <w:hideMark/>
          </w:tcPr>
          <w:p w14:paraId="1E3919A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Tanana Chiefs Conference for Yukon Koyukuk Subregion</w:t>
            </w:r>
          </w:p>
        </w:tc>
        <w:tc>
          <w:tcPr>
            <w:tcW w:w="1304" w:type="dxa"/>
            <w:noWrap/>
            <w:hideMark/>
          </w:tcPr>
          <w:p w14:paraId="0F994BD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070072B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hideMark/>
          </w:tcPr>
          <w:p w14:paraId="373CD17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$1,721</w:t>
            </w:r>
          </w:p>
        </w:tc>
      </w:tr>
      <w:tr w:rsidR="00F17BF1" w:rsidRPr="002246ED" w14:paraId="5D7AF758" w14:textId="77777777" w:rsidTr="002246ED">
        <w:trPr>
          <w:trHeight w:hRule="exact" w:val="230"/>
        </w:trPr>
        <w:tc>
          <w:tcPr>
            <w:tcW w:w="900" w:type="dxa"/>
            <w:noWrap/>
            <w:hideMark/>
          </w:tcPr>
          <w:p w14:paraId="519C606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AK</w:t>
            </w:r>
          </w:p>
        </w:tc>
        <w:tc>
          <w:tcPr>
            <w:tcW w:w="1080" w:type="dxa"/>
            <w:noWrap/>
            <w:hideMark/>
          </w:tcPr>
          <w:p w14:paraId="772C022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16</w:t>
            </w:r>
          </w:p>
        </w:tc>
        <w:tc>
          <w:tcPr>
            <w:tcW w:w="5400" w:type="dxa"/>
            <w:noWrap/>
            <w:hideMark/>
          </w:tcPr>
          <w:p w14:paraId="6E5C443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Tanana Chiefs Conference for Yukon Tanana Subregion</w:t>
            </w:r>
          </w:p>
        </w:tc>
        <w:tc>
          <w:tcPr>
            <w:tcW w:w="1304" w:type="dxa"/>
            <w:noWrap/>
            <w:hideMark/>
          </w:tcPr>
          <w:p w14:paraId="64B3253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$73,990</w:t>
            </w:r>
          </w:p>
        </w:tc>
        <w:tc>
          <w:tcPr>
            <w:tcW w:w="1216" w:type="dxa"/>
            <w:noWrap/>
            <w:hideMark/>
          </w:tcPr>
          <w:p w14:paraId="47A874D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$13,820</w:t>
            </w:r>
          </w:p>
        </w:tc>
        <w:tc>
          <w:tcPr>
            <w:tcW w:w="1125" w:type="dxa"/>
            <w:noWrap/>
            <w:hideMark/>
          </w:tcPr>
          <w:p w14:paraId="24975A9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$394</w:t>
            </w:r>
          </w:p>
        </w:tc>
      </w:tr>
      <w:tr w:rsidR="00F17BF1" w:rsidRPr="002246ED" w14:paraId="1F3CD4C3" w14:textId="77777777" w:rsidTr="002246ED">
        <w:trPr>
          <w:trHeight w:hRule="exact" w:val="230"/>
        </w:trPr>
        <w:tc>
          <w:tcPr>
            <w:tcW w:w="900" w:type="dxa"/>
            <w:noWrap/>
            <w:hideMark/>
          </w:tcPr>
          <w:p w14:paraId="516FD66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AK</w:t>
            </w:r>
          </w:p>
        </w:tc>
        <w:tc>
          <w:tcPr>
            <w:tcW w:w="1080" w:type="dxa"/>
            <w:noWrap/>
            <w:hideMark/>
          </w:tcPr>
          <w:p w14:paraId="4A818C7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17</w:t>
            </w:r>
          </w:p>
        </w:tc>
        <w:tc>
          <w:tcPr>
            <w:tcW w:w="5400" w:type="dxa"/>
            <w:noWrap/>
            <w:hideMark/>
          </w:tcPr>
          <w:p w14:paraId="66F71AB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Fairbanks Native Association</w:t>
            </w:r>
          </w:p>
        </w:tc>
        <w:tc>
          <w:tcPr>
            <w:tcW w:w="1304" w:type="dxa"/>
            <w:noWrap/>
            <w:hideMark/>
          </w:tcPr>
          <w:p w14:paraId="30C86B4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$137,640</w:t>
            </w:r>
          </w:p>
        </w:tc>
        <w:tc>
          <w:tcPr>
            <w:tcW w:w="1216" w:type="dxa"/>
            <w:noWrap/>
            <w:hideMark/>
          </w:tcPr>
          <w:p w14:paraId="13C8F86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$48,380</w:t>
            </w:r>
          </w:p>
        </w:tc>
        <w:tc>
          <w:tcPr>
            <w:tcW w:w="1125" w:type="dxa"/>
            <w:noWrap/>
            <w:hideMark/>
          </w:tcPr>
          <w:p w14:paraId="1FEE97A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$3,467</w:t>
            </w:r>
          </w:p>
        </w:tc>
      </w:tr>
      <w:tr w:rsidR="00F17BF1" w:rsidRPr="002246ED" w14:paraId="17ACFEE6" w14:textId="77777777" w:rsidTr="002246ED">
        <w:trPr>
          <w:trHeight w:hRule="exact" w:val="230"/>
        </w:trPr>
        <w:tc>
          <w:tcPr>
            <w:tcW w:w="900" w:type="dxa"/>
            <w:noWrap/>
            <w:hideMark/>
          </w:tcPr>
          <w:p w14:paraId="7BBAF05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AK</w:t>
            </w:r>
          </w:p>
        </w:tc>
        <w:tc>
          <w:tcPr>
            <w:tcW w:w="1080" w:type="dxa"/>
            <w:noWrap/>
            <w:hideMark/>
          </w:tcPr>
          <w:p w14:paraId="4DA2251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19</w:t>
            </w:r>
          </w:p>
        </w:tc>
        <w:tc>
          <w:tcPr>
            <w:tcW w:w="5400" w:type="dxa"/>
            <w:noWrap/>
            <w:hideMark/>
          </w:tcPr>
          <w:p w14:paraId="6076099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Maniilaq Association</w:t>
            </w:r>
          </w:p>
        </w:tc>
        <w:tc>
          <w:tcPr>
            <w:tcW w:w="1304" w:type="dxa"/>
            <w:noWrap/>
            <w:hideMark/>
          </w:tcPr>
          <w:p w14:paraId="2B5BF4E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$137,640</w:t>
            </w:r>
          </w:p>
        </w:tc>
        <w:tc>
          <w:tcPr>
            <w:tcW w:w="1216" w:type="dxa"/>
            <w:noWrap/>
            <w:hideMark/>
          </w:tcPr>
          <w:p w14:paraId="01CFEB9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$48,380</w:t>
            </w:r>
          </w:p>
        </w:tc>
        <w:tc>
          <w:tcPr>
            <w:tcW w:w="1125" w:type="dxa"/>
            <w:noWrap/>
            <w:hideMark/>
          </w:tcPr>
          <w:p w14:paraId="208E8C6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$14,102</w:t>
            </w:r>
          </w:p>
        </w:tc>
      </w:tr>
      <w:tr w:rsidR="00F17BF1" w:rsidRPr="002246ED" w14:paraId="672C309B" w14:textId="77777777" w:rsidTr="002246ED">
        <w:trPr>
          <w:trHeight w:hRule="exact" w:val="230"/>
        </w:trPr>
        <w:tc>
          <w:tcPr>
            <w:tcW w:w="900" w:type="dxa"/>
            <w:noWrap/>
            <w:hideMark/>
          </w:tcPr>
          <w:p w14:paraId="62BB7FD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AK</w:t>
            </w:r>
          </w:p>
        </w:tc>
        <w:tc>
          <w:tcPr>
            <w:tcW w:w="1080" w:type="dxa"/>
            <w:noWrap/>
            <w:hideMark/>
          </w:tcPr>
          <w:p w14:paraId="4E2537F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w:t>
            </w:r>
          </w:p>
        </w:tc>
        <w:tc>
          <w:tcPr>
            <w:tcW w:w="5400" w:type="dxa"/>
            <w:noWrap/>
            <w:hideMark/>
          </w:tcPr>
          <w:p w14:paraId="04E11A8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Native Villiage of Unalakleet</w:t>
            </w:r>
          </w:p>
        </w:tc>
        <w:tc>
          <w:tcPr>
            <w:tcW w:w="1304" w:type="dxa"/>
            <w:noWrap/>
            <w:hideMark/>
          </w:tcPr>
          <w:p w14:paraId="4AC2B8E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2B3C614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hideMark/>
          </w:tcPr>
          <w:p w14:paraId="466D38E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$7,171</w:t>
            </w:r>
          </w:p>
        </w:tc>
      </w:tr>
      <w:tr w:rsidR="00F17BF1" w:rsidRPr="002246ED" w14:paraId="51B11D64" w14:textId="77777777" w:rsidTr="002246ED">
        <w:trPr>
          <w:trHeight w:hRule="exact" w:val="230"/>
        </w:trPr>
        <w:tc>
          <w:tcPr>
            <w:tcW w:w="900" w:type="dxa"/>
            <w:noWrap/>
            <w:hideMark/>
          </w:tcPr>
          <w:p w14:paraId="2551A9D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AK</w:t>
            </w:r>
          </w:p>
        </w:tc>
        <w:tc>
          <w:tcPr>
            <w:tcW w:w="1080" w:type="dxa"/>
            <w:noWrap/>
            <w:hideMark/>
          </w:tcPr>
          <w:p w14:paraId="48ED566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21</w:t>
            </w:r>
          </w:p>
        </w:tc>
        <w:tc>
          <w:tcPr>
            <w:tcW w:w="5400" w:type="dxa"/>
            <w:noWrap/>
            <w:hideMark/>
          </w:tcPr>
          <w:p w14:paraId="54196BB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Chugachmiut</w:t>
            </w:r>
          </w:p>
        </w:tc>
        <w:tc>
          <w:tcPr>
            <w:tcW w:w="1304" w:type="dxa"/>
            <w:noWrap/>
            <w:hideMark/>
          </w:tcPr>
          <w:p w14:paraId="6E46165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11D3A65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hideMark/>
          </w:tcPr>
          <w:p w14:paraId="7FA0AA4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$2,382</w:t>
            </w:r>
          </w:p>
        </w:tc>
      </w:tr>
      <w:tr w:rsidR="00F17BF1" w:rsidRPr="002246ED" w14:paraId="7A4B3224" w14:textId="77777777" w:rsidTr="002246ED">
        <w:trPr>
          <w:trHeight w:hRule="exact" w:val="230"/>
        </w:trPr>
        <w:tc>
          <w:tcPr>
            <w:tcW w:w="900" w:type="dxa"/>
            <w:noWrap/>
            <w:hideMark/>
          </w:tcPr>
          <w:p w14:paraId="12C156C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AK</w:t>
            </w:r>
          </w:p>
        </w:tc>
        <w:tc>
          <w:tcPr>
            <w:tcW w:w="1080" w:type="dxa"/>
            <w:noWrap/>
            <w:hideMark/>
          </w:tcPr>
          <w:p w14:paraId="1E2AD4C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22</w:t>
            </w:r>
          </w:p>
        </w:tc>
        <w:tc>
          <w:tcPr>
            <w:tcW w:w="5400" w:type="dxa"/>
            <w:noWrap/>
            <w:hideMark/>
          </w:tcPr>
          <w:p w14:paraId="6C31B0E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Arctic Slope Native Association, Limited</w:t>
            </w:r>
          </w:p>
        </w:tc>
        <w:tc>
          <w:tcPr>
            <w:tcW w:w="1304" w:type="dxa"/>
            <w:noWrap/>
            <w:hideMark/>
          </w:tcPr>
          <w:p w14:paraId="495B98B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59FF147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hideMark/>
          </w:tcPr>
          <w:p w14:paraId="29C15E4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$20,312</w:t>
            </w:r>
          </w:p>
        </w:tc>
      </w:tr>
      <w:tr w:rsidR="00F17BF1" w:rsidRPr="002246ED" w14:paraId="5DBE9796" w14:textId="77777777" w:rsidTr="002246ED">
        <w:trPr>
          <w:trHeight w:hRule="exact" w:val="230"/>
        </w:trPr>
        <w:tc>
          <w:tcPr>
            <w:tcW w:w="900" w:type="dxa"/>
            <w:noWrap/>
            <w:hideMark/>
          </w:tcPr>
          <w:p w14:paraId="31CF998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AK</w:t>
            </w:r>
          </w:p>
        </w:tc>
        <w:tc>
          <w:tcPr>
            <w:tcW w:w="1080" w:type="dxa"/>
            <w:noWrap/>
            <w:hideMark/>
          </w:tcPr>
          <w:p w14:paraId="04425D1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23</w:t>
            </w:r>
          </w:p>
        </w:tc>
        <w:tc>
          <w:tcPr>
            <w:tcW w:w="5400" w:type="dxa"/>
            <w:noWrap/>
            <w:hideMark/>
          </w:tcPr>
          <w:p w14:paraId="00FADF6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Denakkanaaga, Inc.</w:t>
            </w:r>
          </w:p>
        </w:tc>
        <w:tc>
          <w:tcPr>
            <w:tcW w:w="1304" w:type="dxa"/>
            <w:noWrap/>
            <w:hideMark/>
          </w:tcPr>
          <w:p w14:paraId="335A33C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$95,340</w:t>
            </w:r>
          </w:p>
        </w:tc>
        <w:tc>
          <w:tcPr>
            <w:tcW w:w="1216" w:type="dxa"/>
            <w:noWrap/>
            <w:hideMark/>
          </w:tcPr>
          <w:p w14:paraId="2681820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$27,640</w:t>
            </w:r>
          </w:p>
        </w:tc>
        <w:tc>
          <w:tcPr>
            <w:tcW w:w="1125" w:type="dxa"/>
            <w:noWrap/>
            <w:hideMark/>
          </w:tcPr>
          <w:p w14:paraId="5166545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$155</w:t>
            </w:r>
          </w:p>
        </w:tc>
      </w:tr>
      <w:tr w:rsidR="00F17BF1" w:rsidRPr="002246ED" w14:paraId="336BAE04" w14:textId="77777777" w:rsidTr="002246ED">
        <w:trPr>
          <w:trHeight w:hRule="exact" w:val="230"/>
        </w:trPr>
        <w:tc>
          <w:tcPr>
            <w:tcW w:w="900" w:type="dxa"/>
            <w:noWrap/>
            <w:hideMark/>
          </w:tcPr>
          <w:p w14:paraId="73CA2EF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AK</w:t>
            </w:r>
          </w:p>
        </w:tc>
        <w:tc>
          <w:tcPr>
            <w:tcW w:w="1080" w:type="dxa"/>
            <w:noWrap/>
            <w:hideMark/>
          </w:tcPr>
          <w:p w14:paraId="2E78423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24</w:t>
            </w:r>
          </w:p>
        </w:tc>
        <w:tc>
          <w:tcPr>
            <w:tcW w:w="5400" w:type="dxa"/>
            <w:noWrap/>
            <w:hideMark/>
          </w:tcPr>
          <w:p w14:paraId="5690663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Klawock Cooperative Association</w:t>
            </w:r>
          </w:p>
        </w:tc>
        <w:tc>
          <w:tcPr>
            <w:tcW w:w="1304" w:type="dxa"/>
            <w:noWrap/>
            <w:hideMark/>
          </w:tcPr>
          <w:p w14:paraId="7CAEDF1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$73,990</w:t>
            </w:r>
          </w:p>
        </w:tc>
        <w:tc>
          <w:tcPr>
            <w:tcW w:w="1216" w:type="dxa"/>
            <w:noWrap/>
            <w:hideMark/>
          </w:tcPr>
          <w:p w14:paraId="5BB25B2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$13,820</w:t>
            </w:r>
          </w:p>
        </w:tc>
        <w:tc>
          <w:tcPr>
            <w:tcW w:w="1125" w:type="dxa"/>
            <w:noWrap/>
            <w:hideMark/>
          </w:tcPr>
          <w:p w14:paraId="645F347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$1,033</w:t>
            </w:r>
          </w:p>
        </w:tc>
      </w:tr>
      <w:tr w:rsidR="00F17BF1" w:rsidRPr="002246ED" w14:paraId="280AD9F5" w14:textId="77777777" w:rsidTr="002246ED">
        <w:trPr>
          <w:trHeight w:hRule="exact" w:val="230"/>
        </w:trPr>
        <w:tc>
          <w:tcPr>
            <w:tcW w:w="900" w:type="dxa"/>
            <w:noWrap/>
            <w:hideMark/>
          </w:tcPr>
          <w:p w14:paraId="44FF968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AK</w:t>
            </w:r>
          </w:p>
        </w:tc>
        <w:tc>
          <w:tcPr>
            <w:tcW w:w="1080" w:type="dxa"/>
            <w:noWrap/>
            <w:hideMark/>
          </w:tcPr>
          <w:p w14:paraId="1C3FD44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25</w:t>
            </w:r>
          </w:p>
        </w:tc>
        <w:tc>
          <w:tcPr>
            <w:tcW w:w="5400" w:type="dxa"/>
            <w:noWrap/>
            <w:hideMark/>
          </w:tcPr>
          <w:p w14:paraId="57BE6F1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Kootznoowoo Inc.</w:t>
            </w:r>
          </w:p>
        </w:tc>
        <w:tc>
          <w:tcPr>
            <w:tcW w:w="1304" w:type="dxa"/>
            <w:noWrap/>
            <w:hideMark/>
          </w:tcPr>
          <w:p w14:paraId="3FB8CF6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$73,990</w:t>
            </w:r>
          </w:p>
        </w:tc>
        <w:tc>
          <w:tcPr>
            <w:tcW w:w="1216" w:type="dxa"/>
            <w:noWrap/>
            <w:hideMark/>
          </w:tcPr>
          <w:p w14:paraId="2FF85FA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$13,820</w:t>
            </w:r>
          </w:p>
        </w:tc>
        <w:tc>
          <w:tcPr>
            <w:tcW w:w="1125" w:type="dxa"/>
            <w:noWrap/>
            <w:hideMark/>
          </w:tcPr>
          <w:p w14:paraId="667B6CD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$1,595</w:t>
            </w:r>
          </w:p>
        </w:tc>
      </w:tr>
      <w:tr w:rsidR="00F17BF1" w:rsidRPr="002246ED" w14:paraId="78219B4A" w14:textId="77777777" w:rsidTr="002246ED">
        <w:trPr>
          <w:trHeight w:hRule="exact" w:val="230"/>
        </w:trPr>
        <w:tc>
          <w:tcPr>
            <w:tcW w:w="900" w:type="dxa"/>
            <w:noWrap/>
            <w:hideMark/>
          </w:tcPr>
          <w:p w14:paraId="435856C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AK</w:t>
            </w:r>
          </w:p>
        </w:tc>
        <w:tc>
          <w:tcPr>
            <w:tcW w:w="1080" w:type="dxa"/>
            <w:noWrap/>
            <w:hideMark/>
          </w:tcPr>
          <w:p w14:paraId="2F061B2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26</w:t>
            </w:r>
          </w:p>
        </w:tc>
        <w:tc>
          <w:tcPr>
            <w:tcW w:w="5400" w:type="dxa"/>
            <w:noWrap/>
            <w:hideMark/>
          </w:tcPr>
          <w:p w14:paraId="184BD77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Gwichyaa Zhee Gwich'in Tribal Government</w:t>
            </w:r>
          </w:p>
        </w:tc>
        <w:tc>
          <w:tcPr>
            <w:tcW w:w="1304" w:type="dxa"/>
            <w:noWrap/>
            <w:hideMark/>
          </w:tcPr>
          <w:p w14:paraId="3095001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$73,990</w:t>
            </w:r>
          </w:p>
        </w:tc>
        <w:tc>
          <w:tcPr>
            <w:tcW w:w="1216" w:type="dxa"/>
            <w:noWrap/>
            <w:hideMark/>
          </w:tcPr>
          <w:p w14:paraId="5F3042D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$13,820</w:t>
            </w:r>
          </w:p>
        </w:tc>
        <w:tc>
          <w:tcPr>
            <w:tcW w:w="1125" w:type="dxa"/>
            <w:noWrap/>
            <w:hideMark/>
          </w:tcPr>
          <w:p w14:paraId="598255C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$5,518</w:t>
            </w:r>
          </w:p>
        </w:tc>
      </w:tr>
      <w:tr w:rsidR="00F17BF1" w:rsidRPr="002246ED" w14:paraId="45372C91" w14:textId="77777777" w:rsidTr="002246ED">
        <w:trPr>
          <w:trHeight w:hRule="exact" w:val="230"/>
        </w:trPr>
        <w:tc>
          <w:tcPr>
            <w:tcW w:w="900" w:type="dxa"/>
            <w:noWrap/>
            <w:hideMark/>
          </w:tcPr>
          <w:p w14:paraId="3C4F6A9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AK</w:t>
            </w:r>
          </w:p>
        </w:tc>
        <w:tc>
          <w:tcPr>
            <w:tcW w:w="1080" w:type="dxa"/>
            <w:noWrap/>
            <w:hideMark/>
          </w:tcPr>
          <w:p w14:paraId="4DB8A3F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27</w:t>
            </w:r>
          </w:p>
        </w:tc>
        <w:tc>
          <w:tcPr>
            <w:tcW w:w="5400" w:type="dxa"/>
            <w:noWrap/>
            <w:hideMark/>
          </w:tcPr>
          <w:p w14:paraId="3F77A37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Native Village of Point Hope</w:t>
            </w:r>
          </w:p>
        </w:tc>
        <w:tc>
          <w:tcPr>
            <w:tcW w:w="1304" w:type="dxa"/>
            <w:noWrap/>
            <w:hideMark/>
          </w:tcPr>
          <w:p w14:paraId="6BC6A01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$73,990</w:t>
            </w:r>
          </w:p>
        </w:tc>
        <w:tc>
          <w:tcPr>
            <w:tcW w:w="1216" w:type="dxa"/>
            <w:noWrap/>
            <w:hideMark/>
          </w:tcPr>
          <w:p w14:paraId="3DF84B0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$13,820</w:t>
            </w:r>
          </w:p>
        </w:tc>
        <w:tc>
          <w:tcPr>
            <w:tcW w:w="1125" w:type="dxa"/>
            <w:noWrap/>
            <w:hideMark/>
          </w:tcPr>
          <w:p w14:paraId="7962252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$3,184</w:t>
            </w:r>
          </w:p>
        </w:tc>
      </w:tr>
      <w:tr w:rsidR="00F17BF1" w:rsidRPr="002246ED" w14:paraId="011697DC" w14:textId="77777777" w:rsidTr="002246ED">
        <w:trPr>
          <w:trHeight w:hRule="exact" w:val="230"/>
        </w:trPr>
        <w:tc>
          <w:tcPr>
            <w:tcW w:w="900" w:type="dxa"/>
            <w:noWrap/>
            <w:hideMark/>
          </w:tcPr>
          <w:p w14:paraId="70B59EE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AK</w:t>
            </w:r>
          </w:p>
        </w:tc>
        <w:tc>
          <w:tcPr>
            <w:tcW w:w="1080" w:type="dxa"/>
            <w:noWrap/>
            <w:hideMark/>
          </w:tcPr>
          <w:p w14:paraId="029DD0C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28</w:t>
            </w:r>
          </w:p>
        </w:tc>
        <w:tc>
          <w:tcPr>
            <w:tcW w:w="5400" w:type="dxa"/>
            <w:noWrap/>
            <w:hideMark/>
          </w:tcPr>
          <w:p w14:paraId="7B5FE3A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Seldovia Village Tribe</w:t>
            </w:r>
          </w:p>
        </w:tc>
        <w:tc>
          <w:tcPr>
            <w:tcW w:w="1304" w:type="dxa"/>
            <w:noWrap/>
            <w:hideMark/>
          </w:tcPr>
          <w:p w14:paraId="28AE14D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$73,990</w:t>
            </w:r>
          </w:p>
        </w:tc>
        <w:tc>
          <w:tcPr>
            <w:tcW w:w="1216" w:type="dxa"/>
            <w:noWrap/>
            <w:hideMark/>
          </w:tcPr>
          <w:p w14:paraId="3962D82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$13,820</w:t>
            </w:r>
          </w:p>
        </w:tc>
        <w:tc>
          <w:tcPr>
            <w:tcW w:w="1125" w:type="dxa"/>
            <w:noWrap/>
            <w:hideMark/>
          </w:tcPr>
          <w:p w14:paraId="200BD5D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$1,331</w:t>
            </w:r>
          </w:p>
        </w:tc>
      </w:tr>
      <w:tr w:rsidR="00F17BF1" w:rsidRPr="002246ED" w14:paraId="0AB735C4" w14:textId="77777777" w:rsidTr="002246ED">
        <w:trPr>
          <w:trHeight w:hRule="exact" w:val="230"/>
        </w:trPr>
        <w:tc>
          <w:tcPr>
            <w:tcW w:w="900" w:type="dxa"/>
            <w:noWrap/>
            <w:hideMark/>
          </w:tcPr>
          <w:p w14:paraId="5ACC79B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AK</w:t>
            </w:r>
          </w:p>
        </w:tc>
        <w:tc>
          <w:tcPr>
            <w:tcW w:w="1080" w:type="dxa"/>
            <w:noWrap/>
            <w:hideMark/>
          </w:tcPr>
          <w:p w14:paraId="7166FE9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30</w:t>
            </w:r>
          </w:p>
        </w:tc>
        <w:tc>
          <w:tcPr>
            <w:tcW w:w="5400" w:type="dxa"/>
            <w:noWrap/>
            <w:hideMark/>
          </w:tcPr>
          <w:p w14:paraId="174184E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Sitka Tribes of Alaska</w:t>
            </w:r>
          </w:p>
        </w:tc>
        <w:tc>
          <w:tcPr>
            <w:tcW w:w="1304" w:type="dxa"/>
            <w:noWrap/>
            <w:hideMark/>
          </w:tcPr>
          <w:p w14:paraId="4794659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$107,430</w:t>
            </w:r>
          </w:p>
        </w:tc>
        <w:tc>
          <w:tcPr>
            <w:tcW w:w="1216" w:type="dxa"/>
            <w:noWrap/>
            <w:hideMark/>
          </w:tcPr>
          <w:p w14:paraId="230B0DC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$34,550</w:t>
            </w:r>
          </w:p>
        </w:tc>
        <w:tc>
          <w:tcPr>
            <w:tcW w:w="1125" w:type="dxa"/>
            <w:noWrap/>
            <w:hideMark/>
          </w:tcPr>
          <w:p w14:paraId="7A1B772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$1,223</w:t>
            </w:r>
          </w:p>
        </w:tc>
      </w:tr>
      <w:tr w:rsidR="00F17BF1" w:rsidRPr="002246ED" w14:paraId="2EFFF16B" w14:textId="77777777" w:rsidTr="002246ED">
        <w:trPr>
          <w:trHeight w:hRule="exact" w:val="230"/>
        </w:trPr>
        <w:tc>
          <w:tcPr>
            <w:tcW w:w="900" w:type="dxa"/>
            <w:noWrap/>
            <w:hideMark/>
          </w:tcPr>
          <w:p w14:paraId="319659F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AK</w:t>
            </w:r>
          </w:p>
        </w:tc>
        <w:tc>
          <w:tcPr>
            <w:tcW w:w="1080" w:type="dxa"/>
            <w:noWrap/>
            <w:hideMark/>
          </w:tcPr>
          <w:p w14:paraId="7006810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32</w:t>
            </w:r>
          </w:p>
        </w:tc>
        <w:tc>
          <w:tcPr>
            <w:tcW w:w="5400" w:type="dxa"/>
            <w:noWrap/>
            <w:hideMark/>
          </w:tcPr>
          <w:p w14:paraId="4490754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Ketchikan Indian Community</w:t>
            </w:r>
          </w:p>
        </w:tc>
        <w:tc>
          <w:tcPr>
            <w:tcW w:w="1304" w:type="dxa"/>
            <w:noWrap/>
            <w:hideMark/>
          </w:tcPr>
          <w:p w14:paraId="74F11F1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$137,640</w:t>
            </w:r>
          </w:p>
        </w:tc>
        <w:tc>
          <w:tcPr>
            <w:tcW w:w="1216" w:type="dxa"/>
            <w:noWrap/>
            <w:hideMark/>
          </w:tcPr>
          <w:p w14:paraId="61432C9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$48,380</w:t>
            </w:r>
          </w:p>
        </w:tc>
        <w:tc>
          <w:tcPr>
            <w:tcW w:w="1125" w:type="dxa"/>
            <w:noWrap/>
            <w:hideMark/>
          </w:tcPr>
          <w:p w14:paraId="6913931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$7,300</w:t>
            </w:r>
          </w:p>
        </w:tc>
      </w:tr>
      <w:tr w:rsidR="00F17BF1" w:rsidRPr="002246ED" w14:paraId="06BBE6B7" w14:textId="77777777" w:rsidTr="002246ED">
        <w:trPr>
          <w:trHeight w:hRule="exact" w:val="230"/>
        </w:trPr>
        <w:tc>
          <w:tcPr>
            <w:tcW w:w="900" w:type="dxa"/>
            <w:noWrap/>
            <w:hideMark/>
          </w:tcPr>
          <w:p w14:paraId="2BDD519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AK</w:t>
            </w:r>
          </w:p>
        </w:tc>
        <w:tc>
          <w:tcPr>
            <w:tcW w:w="1080" w:type="dxa"/>
            <w:noWrap/>
            <w:hideMark/>
          </w:tcPr>
          <w:p w14:paraId="648FDEC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35</w:t>
            </w:r>
          </w:p>
        </w:tc>
        <w:tc>
          <w:tcPr>
            <w:tcW w:w="5400" w:type="dxa"/>
            <w:noWrap/>
            <w:hideMark/>
          </w:tcPr>
          <w:p w14:paraId="7E6258B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Southcentral Foundation</w:t>
            </w:r>
          </w:p>
        </w:tc>
        <w:tc>
          <w:tcPr>
            <w:tcW w:w="1304" w:type="dxa"/>
            <w:noWrap/>
            <w:hideMark/>
          </w:tcPr>
          <w:p w14:paraId="1DF2A8A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$180,720</w:t>
            </w:r>
          </w:p>
        </w:tc>
        <w:tc>
          <w:tcPr>
            <w:tcW w:w="1216" w:type="dxa"/>
            <w:noWrap/>
            <w:hideMark/>
          </w:tcPr>
          <w:p w14:paraId="013C8A1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$55,280</w:t>
            </w:r>
          </w:p>
        </w:tc>
        <w:tc>
          <w:tcPr>
            <w:tcW w:w="1125" w:type="dxa"/>
            <w:noWrap/>
            <w:hideMark/>
          </w:tcPr>
          <w:p w14:paraId="0A8AB7D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$16,622</w:t>
            </w:r>
          </w:p>
        </w:tc>
      </w:tr>
      <w:tr w:rsidR="00F17BF1" w:rsidRPr="002246ED" w14:paraId="1D0F1FE7" w14:textId="77777777" w:rsidTr="002246ED">
        <w:trPr>
          <w:trHeight w:hRule="exact" w:val="230"/>
        </w:trPr>
        <w:tc>
          <w:tcPr>
            <w:tcW w:w="900" w:type="dxa"/>
            <w:noWrap/>
            <w:hideMark/>
          </w:tcPr>
          <w:p w14:paraId="718EA22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AK</w:t>
            </w:r>
          </w:p>
        </w:tc>
        <w:tc>
          <w:tcPr>
            <w:tcW w:w="1080" w:type="dxa"/>
            <w:noWrap/>
            <w:hideMark/>
          </w:tcPr>
          <w:p w14:paraId="07EFA60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36</w:t>
            </w:r>
          </w:p>
        </w:tc>
        <w:tc>
          <w:tcPr>
            <w:tcW w:w="5400" w:type="dxa"/>
            <w:noWrap/>
            <w:hideMark/>
          </w:tcPr>
          <w:p w14:paraId="0FC1DD9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Kenaitze Indian Tribe</w:t>
            </w:r>
          </w:p>
        </w:tc>
        <w:tc>
          <w:tcPr>
            <w:tcW w:w="1304" w:type="dxa"/>
            <w:noWrap/>
            <w:hideMark/>
          </w:tcPr>
          <w:p w14:paraId="1B5E014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$137,640</w:t>
            </w:r>
          </w:p>
        </w:tc>
        <w:tc>
          <w:tcPr>
            <w:tcW w:w="1216" w:type="dxa"/>
            <w:noWrap/>
            <w:hideMark/>
          </w:tcPr>
          <w:p w14:paraId="006304F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$48,380</w:t>
            </w:r>
          </w:p>
        </w:tc>
        <w:tc>
          <w:tcPr>
            <w:tcW w:w="1125" w:type="dxa"/>
            <w:noWrap/>
            <w:hideMark/>
          </w:tcPr>
          <w:p w14:paraId="71C13B5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$6,690</w:t>
            </w:r>
          </w:p>
        </w:tc>
      </w:tr>
      <w:tr w:rsidR="00F17BF1" w:rsidRPr="002246ED" w14:paraId="671927B7" w14:textId="77777777" w:rsidTr="002246ED">
        <w:trPr>
          <w:trHeight w:hRule="exact" w:val="230"/>
        </w:trPr>
        <w:tc>
          <w:tcPr>
            <w:tcW w:w="900" w:type="dxa"/>
            <w:noWrap/>
            <w:hideMark/>
          </w:tcPr>
          <w:p w14:paraId="68479CE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AK</w:t>
            </w:r>
          </w:p>
        </w:tc>
        <w:tc>
          <w:tcPr>
            <w:tcW w:w="1080" w:type="dxa"/>
            <w:noWrap/>
            <w:hideMark/>
          </w:tcPr>
          <w:p w14:paraId="1E5C699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37</w:t>
            </w:r>
          </w:p>
        </w:tc>
        <w:tc>
          <w:tcPr>
            <w:tcW w:w="5400" w:type="dxa"/>
            <w:noWrap/>
            <w:hideMark/>
          </w:tcPr>
          <w:p w14:paraId="5A4CC8B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Wrangell Cooperative Association</w:t>
            </w:r>
          </w:p>
        </w:tc>
        <w:tc>
          <w:tcPr>
            <w:tcW w:w="1304" w:type="dxa"/>
            <w:noWrap/>
            <w:hideMark/>
          </w:tcPr>
          <w:p w14:paraId="4EBCC0B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3A39003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hideMark/>
          </w:tcPr>
          <w:p w14:paraId="37CA4DD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$1,489</w:t>
            </w:r>
          </w:p>
        </w:tc>
      </w:tr>
      <w:tr w:rsidR="00F17BF1" w:rsidRPr="002246ED" w14:paraId="5BE223BA" w14:textId="77777777" w:rsidTr="002246ED">
        <w:trPr>
          <w:trHeight w:hRule="exact" w:val="230"/>
        </w:trPr>
        <w:tc>
          <w:tcPr>
            <w:tcW w:w="900" w:type="dxa"/>
            <w:noWrap/>
            <w:hideMark/>
          </w:tcPr>
          <w:p w14:paraId="4B1585E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AK</w:t>
            </w:r>
          </w:p>
        </w:tc>
        <w:tc>
          <w:tcPr>
            <w:tcW w:w="1080" w:type="dxa"/>
            <w:noWrap/>
            <w:hideMark/>
          </w:tcPr>
          <w:p w14:paraId="13BFA4E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38</w:t>
            </w:r>
          </w:p>
        </w:tc>
        <w:tc>
          <w:tcPr>
            <w:tcW w:w="5400" w:type="dxa"/>
            <w:noWrap/>
            <w:hideMark/>
          </w:tcPr>
          <w:p w14:paraId="3A25D03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Native Village of Savoonga</w:t>
            </w:r>
          </w:p>
        </w:tc>
        <w:tc>
          <w:tcPr>
            <w:tcW w:w="1304" w:type="dxa"/>
            <w:noWrap/>
            <w:hideMark/>
          </w:tcPr>
          <w:p w14:paraId="57B0A9F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2F752B1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hideMark/>
          </w:tcPr>
          <w:p w14:paraId="3D03F53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$11,821</w:t>
            </w:r>
          </w:p>
        </w:tc>
      </w:tr>
      <w:tr w:rsidR="00F17BF1" w:rsidRPr="002246ED" w14:paraId="6DEF8529" w14:textId="77777777" w:rsidTr="002246ED">
        <w:trPr>
          <w:trHeight w:hRule="exact" w:val="230"/>
        </w:trPr>
        <w:tc>
          <w:tcPr>
            <w:tcW w:w="900" w:type="dxa"/>
            <w:noWrap/>
            <w:hideMark/>
          </w:tcPr>
          <w:p w14:paraId="0D8188F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AK</w:t>
            </w:r>
          </w:p>
        </w:tc>
        <w:tc>
          <w:tcPr>
            <w:tcW w:w="1080" w:type="dxa"/>
            <w:noWrap/>
            <w:hideMark/>
          </w:tcPr>
          <w:p w14:paraId="3D71136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39</w:t>
            </w:r>
          </w:p>
        </w:tc>
        <w:tc>
          <w:tcPr>
            <w:tcW w:w="5400" w:type="dxa"/>
            <w:noWrap/>
            <w:hideMark/>
          </w:tcPr>
          <w:p w14:paraId="3602007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Native Village of Gambell</w:t>
            </w:r>
          </w:p>
        </w:tc>
        <w:tc>
          <w:tcPr>
            <w:tcW w:w="1304" w:type="dxa"/>
            <w:noWrap/>
            <w:hideMark/>
          </w:tcPr>
          <w:p w14:paraId="05D8382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52EF447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hideMark/>
          </w:tcPr>
          <w:p w14:paraId="4021DB8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$4,911</w:t>
            </w:r>
          </w:p>
        </w:tc>
      </w:tr>
      <w:tr w:rsidR="00F17BF1" w:rsidRPr="002246ED" w14:paraId="3E106A8C" w14:textId="77777777" w:rsidTr="002246ED">
        <w:trPr>
          <w:trHeight w:hRule="exact" w:val="230"/>
        </w:trPr>
        <w:tc>
          <w:tcPr>
            <w:tcW w:w="900" w:type="dxa"/>
            <w:noWrap/>
            <w:hideMark/>
          </w:tcPr>
          <w:p w14:paraId="18D45BC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AK</w:t>
            </w:r>
          </w:p>
        </w:tc>
        <w:tc>
          <w:tcPr>
            <w:tcW w:w="1080" w:type="dxa"/>
            <w:noWrap/>
            <w:hideMark/>
          </w:tcPr>
          <w:p w14:paraId="25D27C2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40</w:t>
            </w:r>
          </w:p>
        </w:tc>
        <w:tc>
          <w:tcPr>
            <w:tcW w:w="5400" w:type="dxa"/>
            <w:noWrap/>
            <w:hideMark/>
          </w:tcPr>
          <w:p w14:paraId="16F18BE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Native Village of Eyak Traditional Council</w:t>
            </w:r>
          </w:p>
        </w:tc>
        <w:tc>
          <w:tcPr>
            <w:tcW w:w="1304" w:type="dxa"/>
            <w:noWrap/>
            <w:hideMark/>
          </w:tcPr>
          <w:p w14:paraId="4B901AE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$73,990</w:t>
            </w:r>
          </w:p>
        </w:tc>
        <w:tc>
          <w:tcPr>
            <w:tcW w:w="1216" w:type="dxa"/>
            <w:noWrap/>
            <w:hideMark/>
          </w:tcPr>
          <w:p w14:paraId="72657D9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$13,820</w:t>
            </w:r>
          </w:p>
        </w:tc>
        <w:tc>
          <w:tcPr>
            <w:tcW w:w="1125" w:type="dxa"/>
            <w:noWrap/>
            <w:hideMark/>
          </w:tcPr>
          <w:p w14:paraId="3A8FE9F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$1,760</w:t>
            </w:r>
          </w:p>
        </w:tc>
      </w:tr>
      <w:tr w:rsidR="00F17BF1" w:rsidRPr="002246ED" w14:paraId="2B19FB0E" w14:textId="77777777" w:rsidTr="002246ED">
        <w:trPr>
          <w:trHeight w:hRule="exact" w:val="230"/>
        </w:trPr>
        <w:tc>
          <w:tcPr>
            <w:tcW w:w="900" w:type="dxa"/>
            <w:noWrap/>
            <w:hideMark/>
          </w:tcPr>
          <w:p w14:paraId="16D45C5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AK</w:t>
            </w:r>
          </w:p>
        </w:tc>
        <w:tc>
          <w:tcPr>
            <w:tcW w:w="1080" w:type="dxa"/>
            <w:noWrap/>
            <w:hideMark/>
          </w:tcPr>
          <w:p w14:paraId="6BE678F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41</w:t>
            </w:r>
          </w:p>
        </w:tc>
        <w:tc>
          <w:tcPr>
            <w:tcW w:w="5400" w:type="dxa"/>
            <w:noWrap/>
            <w:hideMark/>
          </w:tcPr>
          <w:p w14:paraId="03BCCC3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Organized Village of Kake</w:t>
            </w:r>
          </w:p>
        </w:tc>
        <w:tc>
          <w:tcPr>
            <w:tcW w:w="1304" w:type="dxa"/>
            <w:noWrap/>
            <w:hideMark/>
          </w:tcPr>
          <w:p w14:paraId="7CF3444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$73,990</w:t>
            </w:r>
          </w:p>
        </w:tc>
        <w:tc>
          <w:tcPr>
            <w:tcW w:w="1216" w:type="dxa"/>
            <w:noWrap/>
            <w:hideMark/>
          </w:tcPr>
          <w:p w14:paraId="1B90348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$13,820</w:t>
            </w:r>
          </w:p>
        </w:tc>
        <w:tc>
          <w:tcPr>
            <w:tcW w:w="1125" w:type="dxa"/>
            <w:noWrap/>
            <w:hideMark/>
          </w:tcPr>
          <w:p w14:paraId="063B46D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$1,832</w:t>
            </w:r>
          </w:p>
        </w:tc>
      </w:tr>
      <w:tr w:rsidR="00F17BF1" w:rsidRPr="002246ED" w14:paraId="3D6A7B1F" w14:textId="77777777" w:rsidTr="002246ED">
        <w:trPr>
          <w:trHeight w:hRule="exact" w:val="230"/>
        </w:trPr>
        <w:tc>
          <w:tcPr>
            <w:tcW w:w="900" w:type="dxa"/>
            <w:noWrap/>
            <w:hideMark/>
          </w:tcPr>
          <w:p w14:paraId="1EC1041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AK</w:t>
            </w:r>
          </w:p>
        </w:tc>
        <w:tc>
          <w:tcPr>
            <w:tcW w:w="1080" w:type="dxa"/>
            <w:noWrap/>
            <w:hideMark/>
          </w:tcPr>
          <w:p w14:paraId="6DC7463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42</w:t>
            </w:r>
          </w:p>
        </w:tc>
        <w:tc>
          <w:tcPr>
            <w:tcW w:w="5400" w:type="dxa"/>
            <w:noWrap/>
            <w:hideMark/>
          </w:tcPr>
          <w:p w14:paraId="10DE887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Chickaloon Native Village</w:t>
            </w:r>
          </w:p>
        </w:tc>
        <w:tc>
          <w:tcPr>
            <w:tcW w:w="1304" w:type="dxa"/>
            <w:noWrap/>
            <w:hideMark/>
          </w:tcPr>
          <w:p w14:paraId="44265C9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$107,430</w:t>
            </w:r>
          </w:p>
        </w:tc>
        <w:tc>
          <w:tcPr>
            <w:tcW w:w="1216" w:type="dxa"/>
            <w:noWrap/>
            <w:hideMark/>
          </w:tcPr>
          <w:p w14:paraId="0EBB673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w:t>
            </w:r>
          </w:p>
        </w:tc>
        <w:tc>
          <w:tcPr>
            <w:tcW w:w="1125" w:type="dxa"/>
            <w:noWrap/>
            <w:hideMark/>
          </w:tcPr>
          <w:p w14:paraId="4672CE8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$2,605</w:t>
            </w:r>
          </w:p>
        </w:tc>
      </w:tr>
      <w:tr w:rsidR="00F17BF1" w:rsidRPr="002246ED" w14:paraId="22FB7D12" w14:textId="77777777" w:rsidTr="002246ED">
        <w:trPr>
          <w:trHeight w:hRule="exact" w:val="230"/>
        </w:trPr>
        <w:tc>
          <w:tcPr>
            <w:tcW w:w="900" w:type="dxa"/>
            <w:noWrap/>
            <w:hideMark/>
          </w:tcPr>
          <w:p w14:paraId="390218D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AK</w:t>
            </w:r>
          </w:p>
        </w:tc>
        <w:tc>
          <w:tcPr>
            <w:tcW w:w="1080" w:type="dxa"/>
            <w:noWrap/>
            <w:hideMark/>
          </w:tcPr>
          <w:p w14:paraId="207F11D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44</w:t>
            </w:r>
          </w:p>
        </w:tc>
        <w:tc>
          <w:tcPr>
            <w:tcW w:w="5400" w:type="dxa"/>
            <w:noWrap/>
            <w:hideMark/>
          </w:tcPr>
          <w:p w14:paraId="45DC7857" w14:textId="77777777" w:rsidR="00F17BF1" w:rsidRPr="002246ED" w:rsidRDefault="00F17BF1" w:rsidP="00F17BF1">
            <w:pPr>
              <w:spacing w:after="200" w:line="276" w:lineRule="auto"/>
              <w:contextualSpacing/>
              <w:rPr>
                <w:rFonts w:ascii="Arial" w:hAnsi="Arial" w:cs="Arial"/>
                <w:sz w:val="18"/>
                <w:szCs w:val="18"/>
                <w:lang w:val="fr-FR"/>
              </w:rPr>
            </w:pPr>
            <w:r w:rsidRPr="002246ED">
              <w:rPr>
                <w:rFonts w:ascii="Arial" w:hAnsi="Arial" w:cs="Arial"/>
                <w:sz w:val="18"/>
                <w:szCs w:val="18"/>
                <w:lang w:val="fr-FR"/>
              </w:rPr>
              <w:t>Galena Village (aka Louden Village Council)</w:t>
            </w:r>
          </w:p>
        </w:tc>
        <w:tc>
          <w:tcPr>
            <w:tcW w:w="1304" w:type="dxa"/>
            <w:noWrap/>
            <w:hideMark/>
          </w:tcPr>
          <w:p w14:paraId="3601788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71797B2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hideMark/>
          </w:tcPr>
          <w:p w14:paraId="5C7581A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$20,822</w:t>
            </w:r>
          </w:p>
        </w:tc>
      </w:tr>
      <w:tr w:rsidR="00F17BF1" w:rsidRPr="002246ED" w14:paraId="5268ED33" w14:textId="77777777" w:rsidTr="002246ED">
        <w:trPr>
          <w:trHeight w:hRule="exact" w:val="230"/>
        </w:trPr>
        <w:tc>
          <w:tcPr>
            <w:tcW w:w="900" w:type="dxa"/>
            <w:noWrap/>
            <w:hideMark/>
          </w:tcPr>
          <w:p w14:paraId="24F9E51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AK</w:t>
            </w:r>
          </w:p>
        </w:tc>
        <w:tc>
          <w:tcPr>
            <w:tcW w:w="1080" w:type="dxa"/>
            <w:noWrap/>
            <w:hideMark/>
          </w:tcPr>
          <w:p w14:paraId="21D797F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45</w:t>
            </w:r>
          </w:p>
        </w:tc>
        <w:tc>
          <w:tcPr>
            <w:tcW w:w="5400" w:type="dxa"/>
            <w:noWrap/>
            <w:hideMark/>
          </w:tcPr>
          <w:p w14:paraId="66EE10C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Asa'carsarmiut Tribe</w:t>
            </w:r>
          </w:p>
        </w:tc>
        <w:tc>
          <w:tcPr>
            <w:tcW w:w="1304" w:type="dxa"/>
            <w:noWrap/>
            <w:hideMark/>
          </w:tcPr>
          <w:p w14:paraId="5605D27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$73,990</w:t>
            </w:r>
          </w:p>
        </w:tc>
        <w:tc>
          <w:tcPr>
            <w:tcW w:w="1216" w:type="dxa"/>
            <w:noWrap/>
            <w:hideMark/>
          </w:tcPr>
          <w:p w14:paraId="38691AD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w:t>
            </w:r>
          </w:p>
        </w:tc>
        <w:tc>
          <w:tcPr>
            <w:tcW w:w="1125" w:type="dxa"/>
            <w:noWrap/>
            <w:hideMark/>
          </w:tcPr>
          <w:p w14:paraId="3336A51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$2,119</w:t>
            </w:r>
          </w:p>
        </w:tc>
      </w:tr>
      <w:tr w:rsidR="00F17BF1" w:rsidRPr="002246ED" w14:paraId="12C80EF9" w14:textId="77777777" w:rsidTr="002246ED">
        <w:trPr>
          <w:trHeight w:hRule="exact" w:val="230"/>
        </w:trPr>
        <w:tc>
          <w:tcPr>
            <w:tcW w:w="900" w:type="dxa"/>
            <w:noWrap/>
            <w:hideMark/>
          </w:tcPr>
          <w:p w14:paraId="1E60A90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AK</w:t>
            </w:r>
          </w:p>
        </w:tc>
        <w:tc>
          <w:tcPr>
            <w:tcW w:w="1080" w:type="dxa"/>
            <w:noWrap/>
            <w:hideMark/>
          </w:tcPr>
          <w:p w14:paraId="7D42244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46</w:t>
            </w:r>
          </w:p>
        </w:tc>
        <w:tc>
          <w:tcPr>
            <w:tcW w:w="5400" w:type="dxa"/>
            <w:noWrap/>
            <w:hideMark/>
          </w:tcPr>
          <w:p w14:paraId="6D7769D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Orutsararmuit Native Council</w:t>
            </w:r>
          </w:p>
        </w:tc>
        <w:tc>
          <w:tcPr>
            <w:tcW w:w="1304" w:type="dxa"/>
            <w:noWrap/>
            <w:hideMark/>
          </w:tcPr>
          <w:p w14:paraId="1925905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$107,430</w:t>
            </w:r>
          </w:p>
        </w:tc>
        <w:tc>
          <w:tcPr>
            <w:tcW w:w="1216" w:type="dxa"/>
            <w:noWrap/>
            <w:hideMark/>
          </w:tcPr>
          <w:p w14:paraId="51201F7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$34,550</w:t>
            </w:r>
          </w:p>
        </w:tc>
        <w:tc>
          <w:tcPr>
            <w:tcW w:w="1125" w:type="dxa"/>
            <w:noWrap/>
            <w:hideMark/>
          </w:tcPr>
          <w:p w14:paraId="586416B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$8,651</w:t>
            </w:r>
          </w:p>
        </w:tc>
      </w:tr>
      <w:tr w:rsidR="00F17BF1" w:rsidRPr="002246ED" w14:paraId="38DFE4A0" w14:textId="77777777" w:rsidTr="002246ED">
        <w:trPr>
          <w:trHeight w:hRule="exact" w:val="230"/>
        </w:trPr>
        <w:tc>
          <w:tcPr>
            <w:tcW w:w="900" w:type="dxa"/>
            <w:noWrap/>
            <w:hideMark/>
          </w:tcPr>
          <w:p w14:paraId="1FF32B8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AK</w:t>
            </w:r>
          </w:p>
        </w:tc>
        <w:tc>
          <w:tcPr>
            <w:tcW w:w="1080" w:type="dxa"/>
            <w:noWrap/>
            <w:hideMark/>
          </w:tcPr>
          <w:p w14:paraId="4EDA391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47</w:t>
            </w:r>
          </w:p>
        </w:tc>
        <w:tc>
          <w:tcPr>
            <w:tcW w:w="5400" w:type="dxa"/>
            <w:noWrap/>
            <w:hideMark/>
          </w:tcPr>
          <w:p w14:paraId="24CD90D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Chilkoot Indian Association</w:t>
            </w:r>
          </w:p>
        </w:tc>
        <w:tc>
          <w:tcPr>
            <w:tcW w:w="1304" w:type="dxa"/>
            <w:noWrap/>
            <w:hideMark/>
          </w:tcPr>
          <w:p w14:paraId="7D3A14E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3841578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hideMark/>
          </w:tcPr>
          <w:p w14:paraId="3DC7E66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$652</w:t>
            </w:r>
          </w:p>
        </w:tc>
      </w:tr>
      <w:tr w:rsidR="00F17BF1" w:rsidRPr="002246ED" w14:paraId="0D4F0597" w14:textId="77777777" w:rsidTr="002246ED">
        <w:trPr>
          <w:trHeight w:hRule="exact" w:val="230"/>
        </w:trPr>
        <w:tc>
          <w:tcPr>
            <w:tcW w:w="900" w:type="dxa"/>
            <w:noWrap/>
            <w:hideMark/>
          </w:tcPr>
          <w:p w14:paraId="00529FB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AK</w:t>
            </w:r>
          </w:p>
        </w:tc>
        <w:tc>
          <w:tcPr>
            <w:tcW w:w="1080" w:type="dxa"/>
            <w:noWrap/>
            <w:hideMark/>
          </w:tcPr>
          <w:p w14:paraId="7CC64EA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48</w:t>
            </w:r>
          </w:p>
        </w:tc>
        <w:tc>
          <w:tcPr>
            <w:tcW w:w="5400" w:type="dxa"/>
            <w:noWrap/>
            <w:hideMark/>
          </w:tcPr>
          <w:p w14:paraId="5EC348D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Knik Tribe</w:t>
            </w:r>
          </w:p>
        </w:tc>
        <w:tc>
          <w:tcPr>
            <w:tcW w:w="1304" w:type="dxa"/>
            <w:noWrap/>
            <w:hideMark/>
          </w:tcPr>
          <w:p w14:paraId="04CE139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$137,640</w:t>
            </w:r>
          </w:p>
        </w:tc>
        <w:tc>
          <w:tcPr>
            <w:tcW w:w="1216" w:type="dxa"/>
            <w:noWrap/>
            <w:hideMark/>
          </w:tcPr>
          <w:p w14:paraId="70D20CC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w:t>
            </w:r>
          </w:p>
        </w:tc>
        <w:tc>
          <w:tcPr>
            <w:tcW w:w="1125" w:type="dxa"/>
            <w:noWrap/>
            <w:hideMark/>
          </w:tcPr>
          <w:p w14:paraId="4541EDD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$8,640</w:t>
            </w:r>
          </w:p>
        </w:tc>
      </w:tr>
      <w:tr w:rsidR="00F17BF1" w:rsidRPr="002246ED" w14:paraId="4E8DD8C3" w14:textId="77777777" w:rsidTr="002246ED">
        <w:trPr>
          <w:trHeight w:hRule="exact" w:val="230"/>
        </w:trPr>
        <w:tc>
          <w:tcPr>
            <w:tcW w:w="900" w:type="dxa"/>
            <w:noWrap/>
            <w:hideMark/>
          </w:tcPr>
          <w:p w14:paraId="2B961E3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AK</w:t>
            </w:r>
          </w:p>
        </w:tc>
        <w:tc>
          <w:tcPr>
            <w:tcW w:w="1080" w:type="dxa"/>
            <w:noWrap/>
            <w:hideMark/>
          </w:tcPr>
          <w:p w14:paraId="3911EBD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49</w:t>
            </w:r>
          </w:p>
        </w:tc>
        <w:tc>
          <w:tcPr>
            <w:tcW w:w="5400" w:type="dxa"/>
            <w:noWrap/>
            <w:hideMark/>
          </w:tcPr>
          <w:p w14:paraId="7F9151F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Yakutat Tlingit Tribe</w:t>
            </w:r>
          </w:p>
        </w:tc>
        <w:tc>
          <w:tcPr>
            <w:tcW w:w="1304" w:type="dxa"/>
            <w:noWrap/>
            <w:hideMark/>
          </w:tcPr>
          <w:p w14:paraId="05039B0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$73,990</w:t>
            </w:r>
          </w:p>
        </w:tc>
        <w:tc>
          <w:tcPr>
            <w:tcW w:w="1216" w:type="dxa"/>
            <w:noWrap/>
            <w:hideMark/>
          </w:tcPr>
          <w:p w14:paraId="765E101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$13,820</w:t>
            </w:r>
          </w:p>
        </w:tc>
        <w:tc>
          <w:tcPr>
            <w:tcW w:w="1125" w:type="dxa"/>
            <w:noWrap/>
            <w:hideMark/>
          </w:tcPr>
          <w:p w14:paraId="119CFC7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$1,066</w:t>
            </w:r>
          </w:p>
        </w:tc>
      </w:tr>
      <w:tr w:rsidR="00F17BF1" w:rsidRPr="002246ED" w14:paraId="6A7F58C5" w14:textId="77777777" w:rsidTr="002246ED">
        <w:trPr>
          <w:trHeight w:hRule="exact" w:val="230"/>
        </w:trPr>
        <w:tc>
          <w:tcPr>
            <w:tcW w:w="900" w:type="dxa"/>
            <w:noWrap/>
            <w:hideMark/>
          </w:tcPr>
          <w:p w14:paraId="32C19CE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AK</w:t>
            </w:r>
          </w:p>
        </w:tc>
        <w:tc>
          <w:tcPr>
            <w:tcW w:w="1080" w:type="dxa"/>
            <w:noWrap/>
            <w:hideMark/>
          </w:tcPr>
          <w:p w14:paraId="48AC877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50</w:t>
            </w:r>
          </w:p>
        </w:tc>
        <w:tc>
          <w:tcPr>
            <w:tcW w:w="5400" w:type="dxa"/>
            <w:noWrap/>
            <w:hideMark/>
          </w:tcPr>
          <w:p w14:paraId="1DD568E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Craig Tribal Association</w:t>
            </w:r>
          </w:p>
        </w:tc>
        <w:tc>
          <w:tcPr>
            <w:tcW w:w="1304" w:type="dxa"/>
            <w:noWrap/>
            <w:hideMark/>
          </w:tcPr>
          <w:p w14:paraId="1F27024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$73,990</w:t>
            </w:r>
          </w:p>
        </w:tc>
        <w:tc>
          <w:tcPr>
            <w:tcW w:w="1216" w:type="dxa"/>
            <w:noWrap/>
            <w:hideMark/>
          </w:tcPr>
          <w:p w14:paraId="368EF76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$13,820</w:t>
            </w:r>
          </w:p>
        </w:tc>
        <w:tc>
          <w:tcPr>
            <w:tcW w:w="1125" w:type="dxa"/>
            <w:noWrap/>
            <w:hideMark/>
          </w:tcPr>
          <w:p w14:paraId="25B6A25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$1,043</w:t>
            </w:r>
          </w:p>
        </w:tc>
      </w:tr>
      <w:tr w:rsidR="00F17BF1" w:rsidRPr="002246ED" w14:paraId="7FBB2B59" w14:textId="77777777" w:rsidTr="002246ED">
        <w:trPr>
          <w:trHeight w:hRule="exact" w:val="230"/>
        </w:trPr>
        <w:tc>
          <w:tcPr>
            <w:tcW w:w="900" w:type="dxa"/>
            <w:noWrap/>
            <w:hideMark/>
          </w:tcPr>
          <w:p w14:paraId="327D63F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AK</w:t>
            </w:r>
          </w:p>
        </w:tc>
        <w:tc>
          <w:tcPr>
            <w:tcW w:w="1080" w:type="dxa"/>
            <w:noWrap/>
            <w:hideMark/>
          </w:tcPr>
          <w:p w14:paraId="0F71ECB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51</w:t>
            </w:r>
          </w:p>
        </w:tc>
        <w:tc>
          <w:tcPr>
            <w:tcW w:w="5400" w:type="dxa"/>
            <w:noWrap/>
            <w:hideMark/>
          </w:tcPr>
          <w:p w14:paraId="2093732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Organized Village of Saxman</w:t>
            </w:r>
          </w:p>
        </w:tc>
        <w:tc>
          <w:tcPr>
            <w:tcW w:w="1304" w:type="dxa"/>
            <w:noWrap/>
            <w:hideMark/>
          </w:tcPr>
          <w:p w14:paraId="53B5D2B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$73,990</w:t>
            </w:r>
          </w:p>
        </w:tc>
        <w:tc>
          <w:tcPr>
            <w:tcW w:w="1216" w:type="dxa"/>
            <w:noWrap/>
            <w:hideMark/>
          </w:tcPr>
          <w:p w14:paraId="0160D89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$13,820</w:t>
            </w:r>
          </w:p>
        </w:tc>
        <w:tc>
          <w:tcPr>
            <w:tcW w:w="1125" w:type="dxa"/>
            <w:noWrap/>
            <w:hideMark/>
          </w:tcPr>
          <w:p w14:paraId="7B62289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$730</w:t>
            </w:r>
          </w:p>
        </w:tc>
      </w:tr>
      <w:tr w:rsidR="00F17BF1" w:rsidRPr="002246ED" w14:paraId="542C99EE" w14:textId="77777777" w:rsidTr="002246ED">
        <w:trPr>
          <w:trHeight w:hRule="exact" w:val="230"/>
        </w:trPr>
        <w:tc>
          <w:tcPr>
            <w:tcW w:w="900" w:type="dxa"/>
            <w:noWrap/>
            <w:hideMark/>
          </w:tcPr>
          <w:p w14:paraId="4A7AF7A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080" w:type="dxa"/>
            <w:noWrap/>
            <w:hideMark/>
          </w:tcPr>
          <w:p w14:paraId="6A7AD6E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5400" w:type="dxa"/>
            <w:noWrap/>
            <w:hideMark/>
          </w:tcPr>
          <w:p w14:paraId="0592EF4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304" w:type="dxa"/>
            <w:noWrap/>
            <w:hideMark/>
          </w:tcPr>
          <w:p w14:paraId="70F13ED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$4,255,500</w:t>
            </w:r>
          </w:p>
        </w:tc>
        <w:tc>
          <w:tcPr>
            <w:tcW w:w="1216" w:type="dxa"/>
            <w:noWrap/>
            <w:hideMark/>
          </w:tcPr>
          <w:p w14:paraId="7204C11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$1,008,920</w:t>
            </w:r>
          </w:p>
        </w:tc>
        <w:tc>
          <w:tcPr>
            <w:tcW w:w="1125" w:type="dxa"/>
            <w:noWrap/>
            <w:hideMark/>
          </w:tcPr>
          <w:p w14:paraId="3B70099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$246,201</w:t>
            </w:r>
          </w:p>
        </w:tc>
      </w:tr>
      <w:tr w:rsidR="00F17BF1" w:rsidRPr="002246ED" w14:paraId="24E763C4" w14:textId="77777777" w:rsidTr="002246ED">
        <w:trPr>
          <w:trHeight w:hRule="exact" w:val="230"/>
        </w:trPr>
        <w:tc>
          <w:tcPr>
            <w:tcW w:w="900" w:type="dxa"/>
            <w:noWrap/>
            <w:hideMark/>
          </w:tcPr>
          <w:p w14:paraId="4E1A228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AL</w:t>
            </w:r>
          </w:p>
        </w:tc>
        <w:tc>
          <w:tcPr>
            <w:tcW w:w="1080" w:type="dxa"/>
            <w:noWrap/>
            <w:hideMark/>
          </w:tcPr>
          <w:p w14:paraId="5BAB00B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01</w:t>
            </w:r>
          </w:p>
        </w:tc>
        <w:tc>
          <w:tcPr>
            <w:tcW w:w="5400" w:type="dxa"/>
            <w:noWrap/>
            <w:hideMark/>
          </w:tcPr>
          <w:p w14:paraId="4A4823E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Poarch Band of Creek Indians</w:t>
            </w:r>
          </w:p>
        </w:tc>
        <w:tc>
          <w:tcPr>
            <w:tcW w:w="1304" w:type="dxa"/>
            <w:noWrap/>
            <w:hideMark/>
          </w:tcPr>
          <w:p w14:paraId="4C956B0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$137,640</w:t>
            </w:r>
          </w:p>
        </w:tc>
        <w:tc>
          <w:tcPr>
            <w:tcW w:w="1216" w:type="dxa"/>
            <w:noWrap/>
            <w:hideMark/>
          </w:tcPr>
          <w:p w14:paraId="1B386BF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$48,380</w:t>
            </w:r>
          </w:p>
        </w:tc>
        <w:tc>
          <w:tcPr>
            <w:tcW w:w="1125" w:type="dxa"/>
            <w:noWrap/>
            <w:hideMark/>
          </w:tcPr>
          <w:p w14:paraId="5E9212C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$21,528</w:t>
            </w:r>
          </w:p>
        </w:tc>
      </w:tr>
      <w:tr w:rsidR="00F17BF1" w:rsidRPr="002246ED" w14:paraId="4DE67A84" w14:textId="77777777" w:rsidTr="002246ED">
        <w:trPr>
          <w:trHeight w:hRule="exact" w:val="230"/>
        </w:trPr>
        <w:tc>
          <w:tcPr>
            <w:tcW w:w="900" w:type="dxa"/>
            <w:noWrap/>
            <w:hideMark/>
          </w:tcPr>
          <w:p w14:paraId="5BEB194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080" w:type="dxa"/>
            <w:noWrap/>
            <w:hideMark/>
          </w:tcPr>
          <w:p w14:paraId="65350EF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5400" w:type="dxa"/>
            <w:noWrap/>
            <w:hideMark/>
          </w:tcPr>
          <w:p w14:paraId="3F8CA5C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304" w:type="dxa"/>
            <w:noWrap/>
            <w:hideMark/>
          </w:tcPr>
          <w:p w14:paraId="11BF862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$137,640</w:t>
            </w:r>
          </w:p>
        </w:tc>
        <w:tc>
          <w:tcPr>
            <w:tcW w:w="1216" w:type="dxa"/>
            <w:noWrap/>
            <w:hideMark/>
          </w:tcPr>
          <w:p w14:paraId="7B8B348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$48,380</w:t>
            </w:r>
          </w:p>
        </w:tc>
        <w:tc>
          <w:tcPr>
            <w:tcW w:w="1125" w:type="dxa"/>
            <w:noWrap/>
            <w:hideMark/>
          </w:tcPr>
          <w:p w14:paraId="266A0FA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$21,528</w:t>
            </w:r>
          </w:p>
        </w:tc>
      </w:tr>
      <w:tr w:rsidR="00F17BF1" w:rsidRPr="002246ED" w14:paraId="125AF3C4" w14:textId="77777777" w:rsidTr="002246ED">
        <w:trPr>
          <w:trHeight w:hRule="exact" w:val="230"/>
        </w:trPr>
        <w:tc>
          <w:tcPr>
            <w:tcW w:w="900" w:type="dxa"/>
            <w:noWrap/>
            <w:hideMark/>
          </w:tcPr>
          <w:p w14:paraId="1DF6EA6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AZ</w:t>
            </w:r>
          </w:p>
        </w:tc>
        <w:tc>
          <w:tcPr>
            <w:tcW w:w="1080" w:type="dxa"/>
            <w:noWrap/>
            <w:hideMark/>
          </w:tcPr>
          <w:p w14:paraId="248C349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02</w:t>
            </w:r>
          </w:p>
        </w:tc>
        <w:tc>
          <w:tcPr>
            <w:tcW w:w="5400" w:type="dxa"/>
            <w:noWrap/>
            <w:hideMark/>
          </w:tcPr>
          <w:p w14:paraId="31CA21E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Colorado River Indian Tribes</w:t>
            </w:r>
          </w:p>
        </w:tc>
        <w:tc>
          <w:tcPr>
            <w:tcW w:w="1304" w:type="dxa"/>
            <w:noWrap/>
            <w:hideMark/>
          </w:tcPr>
          <w:p w14:paraId="32846D3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$137,640</w:t>
            </w:r>
          </w:p>
        </w:tc>
        <w:tc>
          <w:tcPr>
            <w:tcW w:w="1216" w:type="dxa"/>
            <w:noWrap/>
            <w:hideMark/>
          </w:tcPr>
          <w:p w14:paraId="1D5EDB4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$48,380</w:t>
            </w:r>
          </w:p>
        </w:tc>
        <w:tc>
          <w:tcPr>
            <w:tcW w:w="1125" w:type="dxa"/>
            <w:noWrap/>
            <w:hideMark/>
          </w:tcPr>
          <w:p w14:paraId="5B1010A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$6,102</w:t>
            </w:r>
          </w:p>
        </w:tc>
      </w:tr>
      <w:tr w:rsidR="00F17BF1" w:rsidRPr="002246ED" w14:paraId="22AF3CC6" w14:textId="77777777" w:rsidTr="002246ED">
        <w:trPr>
          <w:trHeight w:hRule="exact" w:val="230"/>
        </w:trPr>
        <w:tc>
          <w:tcPr>
            <w:tcW w:w="900" w:type="dxa"/>
            <w:noWrap/>
            <w:hideMark/>
          </w:tcPr>
          <w:p w14:paraId="464662A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AZ</w:t>
            </w:r>
          </w:p>
        </w:tc>
        <w:tc>
          <w:tcPr>
            <w:tcW w:w="1080" w:type="dxa"/>
            <w:noWrap/>
            <w:hideMark/>
          </w:tcPr>
          <w:p w14:paraId="15442A5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03</w:t>
            </w:r>
          </w:p>
        </w:tc>
        <w:tc>
          <w:tcPr>
            <w:tcW w:w="5400" w:type="dxa"/>
            <w:noWrap/>
            <w:hideMark/>
          </w:tcPr>
          <w:p w14:paraId="731A0F5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Gila River Indian Community</w:t>
            </w:r>
          </w:p>
        </w:tc>
        <w:tc>
          <w:tcPr>
            <w:tcW w:w="1304" w:type="dxa"/>
            <w:noWrap/>
            <w:hideMark/>
          </w:tcPr>
          <w:p w14:paraId="49CC845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$137,640</w:t>
            </w:r>
          </w:p>
        </w:tc>
        <w:tc>
          <w:tcPr>
            <w:tcW w:w="1216" w:type="dxa"/>
            <w:noWrap/>
            <w:hideMark/>
          </w:tcPr>
          <w:p w14:paraId="45FD7C0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$48,380</w:t>
            </w:r>
          </w:p>
        </w:tc>
        <w:tc>
          <w:tcPr>
            <w:tcW w:w="1125" w:type="dxa"/>
            <w:noWrap/>
            <w:hideMark/>
          </w:tcPr>
          <w:p w14:paraId="288C1FD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$24,972</w:t>
            </w:r>
          </w:p>
        </w:tc>
      </w:tr>
      <w:tr w:rsidR="00F17BF1" w:rsidRPr="002246ED" w14:paraId="57310D19" w14:textId="77777777" w:rsidTr="002246ED">
        <w:trPr>
          <w:trHeight w:hRule="exact" w:val="230"/>
        </w:trPr>
        <w:tc>
          <w:tcPr>
            <w:tcW w:w="900" w:type="dxa"/>
            <w:noWrap/>
            <w:hideMark/>
          </w:tcPr>
          <w:p w14:paraId="37BB497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AZ</w:t>
            </w:r>
          </w:p>
        </w:tc>
        <w:tc>
          <w:tcPr>
            <w:tcW w:w="1080" w:type="dxa"/>
            <w:noWrap/>
            <w:hideMark/>
          </w:tcPr>
          <w:p w14:paraId="26FDB29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04</w:t>
            </w:r>
          </w:p>
        </w:tc>
        <w:tc>
          <w:tcPr>
            <w:tcW w:w="5400" w:type="dxa"/>
            <w:noWrap/>
            <w:hideMark/>
          </w:tcPr>
          <w:p w14:paraId="6DB947A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Hopi Tribe</w:t>
            </w:r>
          </w:p>
        </w:tc>
        <w:tc>
          <w:tcPr>
            <w:tcW w:w="1304" w:type="dxa"/>
            <w:noWrap/>
            <w:hideMark/>
          </w:tcPr>
          <w:p w14:paraId="77FFF5F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$137,640</w:t>
            </w:r>
          </w:p>
        </w:tc>
        <w:tc>
          <w:tcPr>
            <w:tcW w:w="1216" w:type="dxa"/>
            <w:noWrap/>
            <w:hideMark/>
          </w:tcPr>
          <w:p w14:paraId="318AF1A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$48,380</w:t>
            </w:r>
          </w:p>
        </w:tc>
        <w:tc>
          <w:tcPr>
            <w:tcW w:w="1125" w:type="dxa"/>
            <w:noWrap/>
            <w:hideMark/>
          </w:tcPr>
          <w:p w14:paraId="3A6531B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$12,476</w:t>
            </w:r>
          </w:p>
        </w:tc>
      </w:tr>
      <w:tr w:rsidR="00F17BF1" w:rsidRPr="002246ED" w14:paraId="1AD80084" w14:textId="77777777" w:rsidTr="002246ED">
        <w:trPr>
          <w:trHeight w:hRule="exact" w:val="230"/>
        </w:trPr>
        <w:tc>
          <w:tcPr>
            <w:tcW w:w="900" w:type="dxa"/>
            <w:noWrap/>
            <w:hideMark/>
          </w:tcPr>
          <w:p w14:paraId="0FD06D3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AZ</w:t>
            </w:r>
          </w:p>
        </w:tc>
        <w:tc>
          <w:tcPr>
            <w:tcW w:w="1080" w:type="dxa"/>
            <w:noWrap/>
            <w:hideMark/>
          </w:tcPr>
          <w:p w14:paraId="49F9ED5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05</w:t>
            </w:r>
          </w:p>
        </w:tc>
        <w:tc>
          <w:tcPr>
            <w:tcW w:w="5400" w:type="dxa"/>
            <w:noWrap/>
            <w:hideMark/>
          </w:tcPr>
          <w:p w14:paraId="1412AB6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Hualapai Tribe</w:t>
            </w:r>
          </w:p>
        </w:tc>
        <w:tc>
          <w:tcPr>
            <w:tcW w:w="1304" w:type="dxa"/>
            <w:noWrap/>
            <w:hideMark/>
          </w:tcPr>
          <w:p w14:paraId="2B453F0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1A8F5EB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hideMark/>
          </w:tcPr>
          <w:p w14:paraId="09303E7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$17,118</w:t>
            </w:r>
          </w:p>
        </w:tc>
      </w:tr>
      <w:tr w:rsidR="00F17BF1" w:rsidRPr="002246ED" w14:paraId="189B4BEA" w14:textId="77777777" w:rsidTr="002246ED">
        <w:trPr>
          <w:trHeight w:hRule="exact" w:val="230"/>
        </w:trPr>
        <w:tc>
          <w:tcPr>
            <w:tcW w:w="900" w:type="dxa"/>
            <w:noWrap/>
            <w:hideMark/>
          </w:tcPr>
          <w:p w14:paraId="6B9899C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AZ</w:t>
            </w:r>
          </w:p>
        </w:tc>
        <w:tc>
          <w:tcPr>
            <w:tcW w:w="1080" w:type="dxa"/>
            <w:noWrap/>
            <w:hideMark/>
          </w:tcPr>
          <w:p w14:paraId="5850284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06</w:t>
            </w:r>
          </w:p>
        </w:tc>
        <w:tc>
          <w:tcPr>
            <w:tcW w:w="5400" w:type="dxa"/>
            <w:noWrap/>
            <w:hideMark/>
          </w:tcPr>
          <w:p w14:paraId="1625320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Navajo Nation</w:t>
            </w:r>
          </w:p>
        </w:tc>
        <w:tc>
          <w:tcPr>
            <w:tcW w:w="1304" w:type="dxa"/>
            <w:noWrap/>
            <w:hideMark/>
          </w:tcPr>
          <w:p w14:paraId="2BFD56B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$180,720</w:t>
            </w:r>
          </w:p>
        </w:tc>
        <w:tc>
          <w:tcPr>
            <w:tcW w:w="1216" w:type="dxa"/>
            <w:noWrap/>
            <w:hideMark/>
          </w:tcPr>
          <w:p w14:paraId="30F577D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$55,280</w:t>
            </w:r>
          </w:p>
        </w:tc>
        <w:tc>
          <w:tcPr>
            <w:tcW w:w="1125" w:type="dxa"/>
            <w:noWrap/>
            <w:hideMark/>
          </w:tcPr>
          <w:p w14:paraId="54032B2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$35,178</w:t>
            </w:r>
          </w:p>
        </w:tc>
      </w:tr>
      <w:tr w:rsidR="00F17BF1" w:rsidRPr="002246ED" w14:paraId="6DF47E3B" w14:textId="77777777" w:rsidTr="002246ED">
        <w:trPr>
          <w:trHeight w:hRule="exact" w:val="230"/>
        </w:trPr>
        <w:tc>
          <w:tcPr>
            <w:tcW w:w="900" w:type="dxa"/>
            <w:noWrap/>
            <w:hideMark/>
          </w:tcPr>
          <w:p w14:paraId="18BC143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AZ</w:t>
            </w:r>
          </w:p>
        </w:tc>
        <w:tc>
          <w:tcPr>
            <w:tcW w:w="1080" w:type="dxa"/>
            <w:noWrap/>
            <w:hideMark/>
          </w:tcPr>
          <w:p w14:paraId="025F80E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07</w:t>
            </w:r>
          </w:p>
        </w:tc>
        <w:tc>
          <w:tcPr>
            <w:tcW w:w="5400" w:type="dxa"/>
            <w:noWrap/>
            <w:hideMark/>
          </w:tcPr>
          <w:p w14:paraId="24E012D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Pascua Yaqui Tribe</w:t>
            </w:r>
          </w:p>
        </w:tc>
        <w:tc>
          <w:tcPr>
            <w:tcW w:w="1304" w:type="dxa"/>
            <w:noWrap/>
            <w:hideMark/>
          </w:tcPr>
          <w:p w14:paraId="43400A3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$137,640</w:t>
            </w:r>
          </w:p>
        </w:tc>
        <w:tc>
          <w:tcPr>
            <w:tcW w:w="1216" w:type="dxa"/>
            <w:noWrap/>
            <w:hideMark/>
          </w:tcPr>
          <w:p w14:paraId="0AD5BD3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$48,380</w:t>
            </w:r>
          </w:p>
        </w:tc>
        <w:tc>
          <w:tcPr>
            <w:tcW w:w="1125" w:type="dxa"/>
            <w:noWrap/>
            <w:hideMark/>
          </w:tcPr>
          <w:p w14:paraId="44C8FF3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$35,645</w:t>
            </w:r>
          </w:p>
        </w:tc>
      </w:tr>
      <w:tr w:rsidR="00F17BF1" w:rsidRPr="002246ED" w14:paraId="61137BE6" w14:textId="77777777" w:rsidTr="002246ED">
        <w:trPr>
          <w:trHeight w:hRule="exact" w:val="230"/>
        </w:trPr>
        <w:tc>
          <w:tcPr>
            <w:tcW w:w="900" w:type="dxa"/>
            <w:noWrap/>
            <w:hideMark/>
          </w:tcPr>
          <w:p w14:paraId="579B8AA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AZ</w:t>
            </w:r>
          </w:p>
        </w:tc>
        <w:tc>
          <w:tcPr>
            <w:tcW w:w="1080" w:type="dxa"/>
            <w:noWrap/>
            <w:hideMark/>
          </w:tcPr>
          <w:p w14:paraId="052408C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09</w:t>
            </w:r>
          </w:p>
        </w:tc>
        <w:tc>
          <w:tcPr>
            <w:tcW w:w="5400" w:type="dxa"/>
            <w:noWrap/>
            <w:hideMark/>
          </w:tcPr>
          <w:p w14:paraId="5270C24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Salt River Pima-Maricopa Indian Community</w:t>
            </w:r>
          </w:p>
        </w:tc>
        <w:tc>
          <w:tcPr>
            <w:tcW w:w="1304" w:type="dxa"/>
            <w:noWrap/>
            <w:hideMark/>
          </w:tcPr>
          <w:p w14:paraId="4AD9384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$118,820</w:t>
            </w:r>
          </w:p>
        </w:tc>
        <w:tc>
          <w:tcPr>
            <w:tcW w:w="1216" w:type="dxa"/>
            <w:noWrap/>
            <w:hideMark/>
          </w:tcPr>
          <w:p w14:paraId="0A505DD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$41,470</w:t>
            </w:r>
          </w:p>
        </w:tc>
        <w:tc>
          <w:tcPr>
            <w:tcW w:w="1125" w:type="dxa"/>
            <w:noWrap/>
            <w:hideMark/>
          </w:tcPr>
          <w:p w14:paraId="482C285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$13,395</w:t>
            </w:r>
          </w:p>
        </w:tc>
      </w:tr>
      <w:tr w:rsidR="00F17BF1" w:rsidRPr="002246ED" w14:paraId="3602A899" w14:textId="77777777" w:rsidTr="002246ED">
        <w:trPr>
          <w:trHeight w:hRule="exact" w:val="230"/>
        </w:trPr>
        <w:tc>
          <w:tcPr>
            <w:tcW w:w="900" w:type="dxa"/>
            <w:noWrap/>
            <w:hideMark/>
          </w:tcPr>
          <w:p w14:paraId="4385038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AZ</w:t>
            </w:r>
          </w:p>
        </w:tc>
        <w:tc>
          <w:tcPr>
            <w:tcW w:w="1080" w:type="dxa"/>
            <w:noWrap/>
            <w:hideMark/>
          </w:tcPr>
          <w:p w14:paraId="60E5AEE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10</w:t>
            </w:r>
          </w:p>
        </w:tc>
        <w:tc>
          <w:tcPr>
            <w:tcW w:w="5400" w:type="dxa"/>
            <w:noWrap/>
            <w:hideMark/>
          </w:tcPr>
          <w:p w14:paraId="6674CC9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San Carlos Apache Older Adult Center</w:t>
            </w:r>
          </w:p>
        </w:tc>
        <w:tc>
          <w:tcPr>
            <w:tcW w:w="1304" w:type="dxa"/>
            <w:noWrap/>
            <w:hideMark/>
          </w:tcPr>
          <w:p w14:paraId="29D94E1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$180,720</w:t>
            </w:r>
          </w:p>
        </w:tc>
        <w:tc>
          <w:tcPr>
            <w:tcW w:w="1216" w:type="dxa"/>
            <w:noWrap/>
            <w:hideMark/>
          </w:tcPr>
          <w:p w14:paraId="109599A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$55,280</w:t>
            </w:r>
          </w:p>
        </w:tc>
        <w:tc>
          <w:tcPr>
            <w:tcW w:w="1125" w:type="dxa"/>
            <w:noWrap/>
            <w:hideMark/>
          </w:tcPr>
          <w:p w14:paraId="5634789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$8,296</w:t>
            </w:r>
          </w:p>
        </w:tc>
      </w:tr>
      <w:tr w:rsidR="00F17BF1" w:rsidRPr="002246ED" w14:paraId="674128E4" w14:textId="77777777" w:rsidTr="002246ED">
        <w:trPr>
          <w:trHeight w:hRule="exact" w:val="230"/>
        </w:trPr>
        <w:tc>
          <w:tcPr>
            <w:tcW w:w="900" w:type="dxa"/>
            <w:noWrap/>
            <w:hideMark/>
          </w:tcPr>
          <w:p w14:paraId="1F0ABF7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AZ</w:t>
            </w:r>
          </w:p>
        </w:tc>
        <w:tc>
          <w:tcPr>
            <w:tcW w:w="1080" w:type="dxa"/>
            <w:noWrap/>
            <w:hideMark/>
          </w:tcPr>
          <w:p w14:paraId="7A5FEF7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11</w:t>
            </w:r>
          </w:p>
        </w:tc>
        <w:tc>
          <w:tcPr>
            <w:tcW w:w="5400" w:type="dxa"/>
            <w:noWrap/>
            <w:hideMark/>
          </w:tcPr>
          <w:p w14:paraId="4D7209F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Tohono O'odham Nation</w:t>
            </w:r>
          </w:p>
        </w:tc>
        <w:tc>
          <w:tcPr>
            <w:tcW w:w="1304" w:type="dxa"/>
            <w:noWrap/>
            <w:hideMark/>
          </w:tcPr>
          <w:p w14:paraId="2AF4ED8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$180,720</w:t>
            </w:r>
          </w:p>
        </w:tc>
        <w:tc>
          <w:tcPr>
            <w:tcW w:w="1216" w:type="dxa"/>
            <w:noWrap/>
            <w:hideMark/>
          </w:tcPr>
          <w:p w14:paraId="1148E84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$55,280</w:t>
            </w:r>
          </w:p>
        </w:tc>
        <w:tc>
          <w:tcPr>
            <w:tcW w:w="1125" w:type="dxa"/>
            <w:noWrap/>
            <w:hideMark/>
          </w:tcPr>
          <w:p w14:paraId="3503A0E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$10,463</w:t>
            </w:r>
          </w:p>
        </w:tc>
      </w:tr>
      <w:tr w:rsidR="00F17BF1" w:rsidRPr="002246ED" w14:paraId="173FA078" w14:textId="77777777" w:rsidTr="002246ED">
        <w:trPr>
          <w:trHeight w:hRule="exact" w:val="230"/>
        </w:trPr>
        <w:tc>
          <w:tcPr>
            <w:tcW w:w="900" w:type="dxa"/>
            <w:noWrap/>
            <w:hideMark/>
          </w:tcPr>
          <w:p w14:paraId="49CAA4A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AZ</w:t>
            </w:r>
          </w:p>
        </w:tc>
        <w:tc>
          <w:tcPr>
            <w:tcW w:w="1080" w:type="dxa"/>
            <w:noWrap/>
            <w:hideMark/>
          </w:tcPr>
          <w:p w14:paraId="7E1B246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12</w:t>
            </w:r>
          </w:p>
        </w:tc>
        <w:tc>
          <w:tcPr>
            <w:tcW w:w="5400" w:type="dxa"/>
            <w:noWrap/>
            <w:hideMark/>
          </w:tcPr>
          <w:p w14:paraId="72509B2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White Mountain Apache Tribe</w:t>
            </w:r>
          </w:p>
        </w:tc>
        <w:tc>
          <w:tcPr>
            <w:tcW w:w="1304" w:type="dxa"/>
            <w:noWrap/>
            <w:hideMark/>
          </w:tcPr>
          <w:p w14:paraId="195CD3E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$180,720</w:t>
            </w:r>
          </w:p>
        </w:tc>
        <w:tc>
          <w:tcPr>
            <w:tcW w:w="1216" w:type="dxa"/>
            <w:noWrap/>
            <w:hideMark/>
          </w:tcPr>
          <w:p w14:paraId="193A095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$55,280</w:t>
            </w:r>
          </w:p>
        </w:tc>
        <w:tc>
          <w:tcPr>
            <w:tcW w:w="1125" w:type="dxa"/>
            <w:noWrap/>
            <w:hideMark/>
          </w:tcPr>
          <w:p w14:paraId="6284AF2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$21,735</w:t>
            </w:r>
          </w:p>
        </w:tc>
      </w:tr>
      <w:tr w:rsidR="00F17BF1" w:rsidRPr="002246ED" w14:paraId="0EADD0AE" w14:textId="77777777" w:rsidTr="002246ED">
        <w:trPr>
          <w:trHeight w:hRule="exact" w:val="230"/>
        </w:trPr>
        <w:tc>
          <w:tcPr>
            <w:tcW w:w="900" w:type="dxa"/>
            <w:noWrap/>
            <w:hideMark/>
          </w:tcPr>
          <w:p w14:paraId="7EFBCB6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AZ</w:t>
            </w:r>
          </w:p>
        </w:tc>
        <w:tc>
          <w:tcPr>
            <w:tcW w:w="1080" w:type="dxa"/>
            <w:noWrap/>
            <w:hideMark/>
          </w:tcPr>
          <w:p w14:paraId="1CB6DD8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w:t>
            </w:r>
          </w:p>
        </w:tc>
        <w:tc>
          <w:tcPr>
            <w:tcW w:w="5400" w:type="dxa"/>
            <w:noWrap/>
            <w:hideMark/>
          </w:tcPr>
          <w:p w14:paraId="2E5E277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Ak-Chin Indian Community</w:t>
            </w:r>
          </w:p>
        </w:tc>
        <w:tc>
          <w:tcPr>
            <w:tcW w:w="1304" w:type="dxa"/>
            <w:noWrap/>
            <w:hideMark/>
          </w:tcPr>
          <w:p w14:paraId="6D1BDCE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$73,990</w:t>
            </w:r>
          </w:p>
        </w:tc>
        <w:tc>
          <w:tcPr>
            <w:tcW w:w="1216" w:type="dxa"/>
            <w:noWrap/>
            <w:hideMark/>
          </w:tcPr>
          <w:p w14:paraId="60F5CB3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w:t>
            </w:r>
          </w:p>
        </w:tc>
        <w:tc>
          <w:tcPr>
            <w:tcW w:w="1125" w:type="dxa"/>
            <w:noWrap/>
            <w:hideMark/>
          </w:tcPr>
          <w:p w14:paraId="5081628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$8,287</w:t>
            </w:r>
          </w:p>
        </w:tc>
      </w:tr>
      <w:tr w:rsidR="00F17BF1" w:rsidRPr="002246ED" w14:paraId="06C4E845" w14:textId="77777777" w:rsidTr="002246ED">
        <w:trPr>
          <w:trHeight w:hRule="exact" w:val="230"/>
        </w:trPr>
        <w:tc>
          <w:tcPr>
            <w:tcW w:w="900" w:type="dxa"/>
            <w:noWrap/>
            <w:hideMark/>
          </w:tcPr>
          <w:p w14:paraId="3D2B4B7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AZ</w:t>
            </w:r>
          </w:p>
        </w:tc>
        <w:tc>
          <w:tcPr>
            <w:tcW w:w="1080" w:type="dxa"/>
            <w:noWrap/>
            <w:hideMark/>
          </w:tcPr>
          <w:p w14:paraId="40FA430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14</w:t>
            </w:r>
          </w:p>
        </w:tc>
        <w:tc>
          <w:tcPr>
            <w:tcW w:w="5400" w:type="dxa"/>
            <w:noWrap/>
            <w:hideMark/>
          </w:tcPr>
          <w:p w14:paraId="5BE9817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Yavapai-Apache Tribe</w:t>
            </w:r>
          </w:p>
        </w:tc>
        <w:tc>
          <w:tcPr>
            <w:tcW w:w="1304" w:type="dxa"/>
            <w:noWrap/>
            <w:hideMark/>
          </w:tcPr>
          <w:p w14:paraId="28186EA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4C58B30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w:t>
            </w:r>
          </w:p>
        </w:tc>
        <w:tc>
          <w:tcPr>
            <w:tcW w:w="1125" w:type="dxa"/>
            <w:noWrap/>
            <w:hideMark/>
          </w:tcPr>
          <w:p w14:paraId="01D941F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$4,254</w:t>
            </w:r>
          </w:p>
        </w:tc>
      </w:tr>
      <w:tr w:rsidR="00F17BF1" w:rsidRPr="002246ED" w14:paraId="7D9F53F4" w14:textId="77777777" w:rsidTr="002246ED">
        <w:trPr>
          <w:trHeight w:hRule="exact" w:val="230"/>
        </w:trPr>
        <w:tc>
          <w:tcPr>
            <w:tcW w:w="900" w:type="dxa"/>
            <w:noWrap/>
            <w:hideMark/>
          </w:tcPr>
          <w:p w14:paraId="4B0F476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AZ</w:t>
            </w:r>
          </w:p>
        </w:tc>
        <w:tc>
          <w:tcPr>
            <w:tcW w:w="1080" w:type="dxa"/>
            <w:noWrap/>
            <w:hideMark/>
          </w:tcPr>
          <w:p w14:paraId="24323A6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15</w:t>
            </w:r>
          </w:p>
        </w:tc>
        <w:tc>
          <w:tcPr>
            <w:tcW w:w="5400" w:type="dxa"/>
            <w:noWrap/>
            <w:hideMark/>
          </w:tcPr>
          <w:p w14:paraId="35F8759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Havasupai Tribe</w:t>
            </w:r>
          </w:p>
        </w:tc>
        <w:tc>
          <w:tcPr>
            <w:tcW w:w="1304" w:type="dxa"/>
            <w:noWrap/>
            <w:hideMark/>
          </w:tcPr>
          <w:p w14:paraId="17C3DD5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500F81B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hideMark/>
          </w:tcPr>
          <w:p w14:paraId="7DF00FE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$3,358</w:t>
            </w:r>
          </w:p>
        </w:tc>
      </w:tr>
      <w:tr w:rsidR="00F17BF1" w:rsidRPr="002246ED" w14:paraId="12DEB06C" w14:textId="77777777" w:rsidTr="002246ED">
        <w:trPr>
          <w:trHeight w:hRule="exact" w:val="230"/>
        </w:trPr>
        <w:tc>
          <w:tcPr>
            <w:tcW w:w="900" w:type="dxa"/>
            <w:noWrap/>
            <w:hideMark/>
          </w:tcPr>
          <w:p w14:paraId="6464B0A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AZ</w:t>
            </w:r>
          </w:p>
        </w:tc>
        <w:tc>
          <w:tcPr>
            <w:tcW w:w="1080" w:type="dxa"/>
            <w:noWrap/>
            <w:hideMark/>
          </w:tcPr>
          <w:p w14:paraId="05D9B7A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16</w:t>
            </w:r>
          </w:p>
        </w:tc>
        <w:tc>
          <w:tcPr>
            <w:tcW w:w="5400" w:type="dxa"/>
            <w:noWrap/>
            <w:hideMark/>
          </w:tcPr>
          <w:p w14:paraId="0C6687D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Inter-Tribal Council of Arizona, Inc.</w:t>
            </w:r>
          </w:p>
        </w:tc>
        <w:tc>
          <w:tcPr>
            <w:tcW w:w="1304" w:type="dxa"/>
            <w:noWrap/>
            <w:hideMark/>
          </w:tcPr>
          <w:p w14:paraId="5475E93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4A81DAD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hideMark/>
          </w:tcPr>
          <w:p w14:paraId="72B4885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$1,279</w:t>
            </w:r>
          </w:p>
        </w:tc>
      </w:tr>
      <w:tr w:rsidR="00F17BF1" w:rsidRPr="002246ED" w14:paraId="1A027A51" w14:textId="77777777" w:rsidTr="002246ED">
        <w:trPr>
          <w:trHeight w:hRule="exact" w:val="230"/>
        </w:trPr>
        <w:tc>
          <w:tcPr>
            <w:tcW w:w="900" w:type="dxa"/>
            <w:noWrap/>
            <w:hideMark/>
          </w:tcPr>
          <w:p w14:paraId="0422D1D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AZ</w:t>
            </w:r>
          </w:p>
        </w:tc>
        <w:tc>
          <w:tcPr>
            <w:tcW w:w="1080" w:type="dxa"/>
            <w:noWrap/>
            <w:hideMark/>
          </w:tcPr>
          <w:p w14:paraId="46D7E35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17</w:t>
            </w:r>
          </w:p>
        </w:tc>
        <w:tc>
          <w:tcPr>
            <w:tcW w:w="5400" w:type="dxa"/>
            <w:noWrap/>
            <w:hideMark/>
          </w:tcPr>
          <w:p w14:paraId="6339651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Cocopah Indian Tribe</w:t>
            </w:r>
          </w:p>
        </w:tc>
        <w:tc>
          <w:tcPr>
            <w:tcW w:w="1304" w:type="dxa"/>
            <w:noWrap/>
            <w:hideMark/>
          </w:tcPr>
          <w:p w14:paraId="2BE7C6B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$73,990</w:t>
            </w:r>
          </w:p>
        </w:tc>
        <w:tc>
          <w:tcPr>
            <w:tcW w:w="1216" w:type="dxa"/>
            <w:noWrap/>
            <w:hideMark/>
          </w:tcPr>
          <w:p w14:paraId="75BF76D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w:t>
            </w:r>
          </w:p>
        </w:tc>
        <w:tc>
          <w:tcPr>
            <w:tcW w:w="1125" w:type="dxa"/>
            <w:noWrap/>
            <w:hideMark/>
          </w:tcPr>
          <w:p w14:paraId="4D3F8C9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$13,730</w:t>
            </w:r>
          </w:p>
        </w:tc>
      </w:tr>
      <w:tr w:rsidR="00F17BF1" w:rsidRPr="002246ED" w14:paraId="750B584B" w14:textId="77777777" w:rsidTr="002246ED">
        <w:trPr>
          <w:trHeight w:hRule="exact" w:val="230"/>
        </w:trPr>
        <w:tc>
          <w:tcPr>
            <w:tcW w:w="900" w:type="dxa"/>
            <w:noWrap/>
            <w:hideMark/>
          </w:tcPr>
          <w:p w14:paraId="6C1B44F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AZ</w:t>
            </w:r>
          </w:p>
        </w:tc>
        <w:tc>
          <w:tcPr>
            <w:tcW w:w="1080" w:type="dxa"/>
            <w:noWrap/>
            <w:hideMark/>
          </w:tcPr>
          <w:p w14:paraId="6D32E71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18</w:t>
            </w:r>
          </w:p>
        </w:tc>
        <w:tc>
          <w:tcPr>
            <w:tcW w:w="5400" w:type="dxa"/>
            <w:noWrap/>
            <w:hideMark/>
          </w:tcPr>
          <w:p w14:paraId="54D8525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Quechan Indian Tribe</w:t>
            </w:r>
          </w:p>
        </w:tc>
        <w:tc>
          <w:tcPr>
            <w:tcW w:w="1304" w:type="dxa"/>
            <w:noWrap/>
            <w:hideMark/>
          </w:tcPr>
          <w:p w14:paraId="09DADC1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$95,340</w:t>
            </w:r>
          </w:p>
        </w:tc>
        <w:tc>
          <w:tcPr>
            <w:tcW w:w="1216" w:type="dxa"/>
            <w:noWrap/>
            <w:hideMark/>
          </w:tcPr>
          <w:p w14:paraId="2C3A696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$27,640</w:t>
            </w:r>
          </w:p>
        </w:tc>
        <w:tc>
          <w:tcPr>
            <w:tcW w:w="1125" w:type="dxa"/>
            <w:noWrap/>
            <w:hideMark/>
          </w:tcPr>
          <w:p w14:paraId="57EB32D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$13,421</w:t>
            </w:r>
          </w:p>
        </w:tc>
      </w:tr>
      <w:tr w:rsidR="00F17BF1" w:rsidRPr="002246ED" w14:paraId="590D7C57" w14:textId="77777777" w:rsidTr="002246ED">
        <w:trPr>
          <w:trHeight w:hRule="exact" w:val="230"/>
        </w:trPr>
        <w:tc>
          <w:tcPr>
            <w:tcW w:w="900" w:type="dxa"/>
            <w:noWrap/>
            <w:hideMark/>
          </w:tcPr>
          <w:p w14:paraId="4F4739C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080" w:type="dxa"/>
            <w:noWrap/>
            <w:hideMark/>
          </w:tcPr>
          <w:p w14:paraId="7A81070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5400" w:type="dxa"/>
            <w:noWrap/>
            <w:hideMark/>
          </w:tcPr>
          <w:p w14:paraId="42F748B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304" w:type="dxa"/>
            <w:noWrap/>
            <w:hideMark/>
          </w:tcPr>
          <w:p w14:paraId="23ACB48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$1,971,420</w:t>
            </w:r>
          </w:p>
        </w:tc>
        <w:tc>
          <w:tcPr>
            <w:tcW w:w="1216" w:type="dxa"/>
            <w:noWrap/>
            <w:hideMark/>
          </w:tcPr>
          <w:p w14:paraId="3395523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$545,940</w:t>
            </w:r>
          </w:p>
        </w:tc>
        <w:tc>
          <w:tcPr>
            <w:tcW w:w="1125" w:type="dxa"/>
            <w:noWrap/>
            <w:hideMark/>
          </w:tcPr>
          <w:p w14:paraId="027EE46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$229,709</w:t>
            </w:r>
          </w:p>
        </w:tc>
      </w:tr>
      <w:tr w:rsidR="00F17BF1" w:rsidRPr="002246ED" w14:paraId="550234E2" w14:textId="77777777" w:rsidTr="002246ED">
        <w:trPr>
          <w:trHeight w:hRule="exact" w:val="230"/>
        </w:trPr>
        <w:tc>
          <w:tcPr>
            <w:tcW w:w="900" w:type="dxa"/>
            <w:noWrap/>
            <w:hideMark/>
          </w:tcPr>
          <w:p w14:paraId="7567FA8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CA</w:t>
            </w:r>
          </w:p>
        </w:tc>
        <w:tc>
          <w:tcPr>
            <w:tcW w:w="1080" w:type="dxa"/>
            <w:noWrap/>
            <w:hideMark/>
          </w:tcPr>
          <w:p w14:paraId="31033DF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01</w:t>
            </w:r>
          </w:p>
        </w:tc>
        <w:tc>
          <w:tcPr>
            <w:tcW w:w="5400" w:type="dxa"/>
            <w:noWrap/>
            <w:hideMark/>
          </w:tcPr>
          <w:p w14:paraId="646C679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Bishop Paiute Tribe</w:t>
            </w:r>
          </w:p>
        </w:tc>
        <w:tc>
          <w:tcPr>
            <w:tcW w:w="1304" w:type="dxa"/>
            <w:noWrap/>
            <w:hideMark/>
          </w:tcPr>
          <w:p w14:paraId="2DCE332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5A8CC38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hideMark/>
          </w:tcPr>
          <w:p w14:paraId="65359E2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$3,870</w:t>
            </w:r>
          </w:p>
        </w:tc>
      </w:tr>
      <w:tr w:rsidR="00F17BF1" w:rsidRPr="002246ED" w14:paraId="433DF149" w14:textId="77777777" w:rsidTr="002246ED">
        <w:trPr>
          <w:trHeight w:hRule="exact" w:val="230"/>
        </w:trPr>
        <w:tc>
          <w:tcPr>
            <w:tcW w:w="900" w:type="dxa"/>
            <w:noWrap/>
            <w:hideMark/>
          </w:tcPr>
          <w:p w14:paraId="50B3AAB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CA</w:t>
            </w:r>
          </w:p>
        </w:tc>
        <w:tc>
          <w:tcPr>
            <w:tcW w:w="1080" w:type="dxa"/>
            <w:noWrap/>
            <w:hideMark/>
          </w:tcPr>
          <w:p w14:paraId="17A884C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02</w:t>
            </w:r>
          </w:p>
        </w:tc>
        <w:tc>
          <w:tcPr>
            <w:tcW w:w="5400" w:type="dxa"/>
            <w:noWrap/>
            <w:hideMark/>
          </w:tcPr>
          <w:p w14:paraId="36F9668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Blue Lake Rancheria</w:t>
            </w:r>
          </w:p>
        </w:tc>
        <w:tc>
          <w:tcPr>
            <w:tcW w:w="1304" w:type="dxa"/>
            <w:noWrap/>
            <w:hideMark/>
          </w:tcPr>
          <w:p w14:paraId="18E0474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$73,990</w:t>
            </w:r>
          </w:p>
        </w:tc>
        <w:tc>
          <w:tcPr>
            <w:tcW w:w="1216" w:type="dxa"/>
            <w:noWrap/>
            <w:hideMark/>
          </w:tcPr>
          <w:p w14:paraId="6F1A512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$13,820</w:t>
            </w:r>
          </w:p>
        </w:tc>
        <w:tc>
          <w:tcPr>
            <w:tcW w:w="1125" w:type="dxa"/>
            <w:noWrap/>
            <w:hideMark/>
          </w:tcPr>
          <w:p w14:paraId="5FA7CBA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$26,445</w:t>
            </w:r>
          </w:p>
        </w:tc>
      </w:tr>
      <w:tr w:rsidR="00F17BF1" w:rsidRPr="002246ED" w14:paraId="6E2B896C" w14:textId="77777777" w:rsidTr="002246ED">
        <w:trPr>
          <w:trHeight w:hRule="exact" w:val="230"/>
        </w:trPr>
        <w:tc>
          <w:tcPr>
            <w:tcW w:w="900" w:type="dxa"/>
            <w:noWrap/>
            <w:hideMark/>
          </w:tcPr>
          <w:p w14:paraId="3A5E48E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CA</w:t>
            </w:r>
          </w:p>
        </w:tc>
        <w:tc>
          <w:tcPr>
            <w:tcW w:w="1080" w:type="dxa"/>
            <w:noWrap/>
            <w:hideMark/>
          </w:tcPr>
          <w:p w14:paraId="4E1F6F0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06</w:t>
            </w:r>
          </w:p>
        </w:tc>
        <w:tc>
          <w:tcPr>
            <w:tcW w:w="5400" w:type="dxa"/>
            <w:noWrap/>
            <w:hideMark/>
          </w:tcPr>
          <w:p w14:paraId="26F43B3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Karuk Tribe</w:t>
            </w:r>
          </w:p>
        </w:tc>
        <w:tc>
          <w:tcPr>
            <w:tcW w:w="1304" w:type="dxa"/>
            <w:noWrap/>
            <w:hideMark/>
          </w:tcPr>
          <w:p w14:paraId="0290594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$95,340</w:t>
            </w:r>
          </w:p>
        </w:tc>
        <w:tc>
          <w:tcPr>
            <w:tcW w:w="1216" w:type="dxa"/>
            <w:noWrap/>
            <w:hideMark/>
          </w:tcPr>
          <w:p w14:paraId="76BD469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$27,640</w:t>
            </w:r>
          </w:p>
        </w:tc>
        <w:tc>
          <w:tcPr>
            <w:tcW w:w="1125" w:type="dxa"/>
            <w:noWrap/>
            <w:hideMark/>
          </w:tcPr>
          <w:p w14:paraId="5649F43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$5,023</w:t>
            </w:r>
          </w:p>
        </w:tc>
      </w:tr>
      <w:tr w:rsidR="00F17BF1" w:rsidRPr="002246ED" w14:paraId="3F396E71" w14:textId="77777777" w:rsidTr="002246ED">
        <w:trPr>
          <w:trHeight w:hRule="exact" w:val="230"/>
        </w:trPr>
        <w:tc>
          <w:tcPr>
            <w:tcW w:w="900" w:type="dxa"/>
            <w:noWrap/>
            <w:hideMark/>
          </w:tcPr>
          <w:p w14:paraId="1743D61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CA</w:t>
            </w:r>
          </w:p>
        </w:tc>
        <w:tc>
          <w:tcPr>
            <w:tcW w:w="1080" w:type="dxa"/>
            <w:noWrap/>
            <w:hideMark/>
          </w:tcPr>
          <w:p w14:paraId="207912E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07</w:t>
            </w:r>
          </w:p>
        </w:tc>
        <w:tc>
          <w:tcPr>
            <w:tcW w:w="5400" w:type="dxa"/>
            <w:noWrap/>
            <w:hideMark/>
          </w:tcPr>
          <w:p w14:paraId="5FD662D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Pit River Health Service, Inc.</w:t>
            </w:r>
          </w:p>
        </w:tc>
        <w:tc>
          <w:tcPr>
            <w:tcW w:w="1304" w:type="dxa"/>
            <w:noWrap/>
            <w:hideMark/>
          </w:tcPr>
          <w:p w14:paraId="3E9A737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$107,430</w:t>
            </w:r>
          </w:p>
        </w:tc>
        <w:tc>
          <w:tcPr>
            <w:tcW w:w="1216" w:type="dxa"/>
            <w:noWrap/>
            <w:hideMark/>
          </w:tcPr>
          <w:p w14:paraId="464BD61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w:t>
            </w:r>
          </w:p>
        </w:tc>
        <w:tc>
          <w:tcPr>
            <w:tcW w:w="1125" w:type="dxa"/>
            <w:noWrap/>
            <w:hideMark/>
          </w:tcPr>
          <w:p w14:paraId="6661565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$5,537</w:t>
            </w:r>
          </w:p>
        </w:tc>
      </w:tr>
      <w:tr w:rsidR="00F17BF1" w:rsidRPr="002246ED" w14:paraId="7F0AB0AA" w14:textId="77777777" w:rsidTr="002246ED">
        <w:trPr>
          <w:trHeight w:hRule="exact" w:val="230"/>
        </w:trPr>
        <w:tc>
          <w:tcPr>
            <w:tcW w:w="900" w:type="dxa"/>
            <w:noWrap/>
            <w:hideMark/>
          </w:tcPr>
          <w:p w14:paraId="194EB90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CA</w:t>
            </w:r>
          </w:p>
        </w:tc>
        <w:tc>
          <w:tcPr>
            <w:tcW w:w="1080" w:type="dxa"/>
            <w:noWrap/>
            <w:hideMark/>
          </w:tcPr>
          <w:p w14:paraId="7C1DCC9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08</w:t>
            </w:r>
          </w:p>
        </w:tc>
        <w:tc>
          <w:tcPr>
            <w:tcW w:w="5400" w:type="dxa"/>
            <w:noWrap/>
            <w:hideMark/>
          </w:tcPr>
          <w:p w14:paraId="1E3E7E6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Picayune Rancheria of the Chukchansi Indians</w:t>
            </w:r>
          </w:p>
        </w:tc>
        <w:tc>
          <w:tcPr>
            <w:tcW w:w="1304" w:type="dxa"/>
            <w:noWrap/>
            <w:hideMark/>
          </w:tcPr>
          <w:p w14:paraId="5E84A65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$73,990</w:t>
            </w:r>
          </w:p>
        </w:tc>
        <w:tc>
          <w:tcPr>
            <w:tcW w:w="1216" w:type="dxa"/>
            <w:noWrap/>
            <w:hideMark/>
          </w:tcPr>
          <w:p w14:paraId="21ED23E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$13,820</w:t>
            </w:r>
          </w:p>
        </w:tc>
        <w:tc>
          <w:tcPr>
            <w:tcW w:w="1125" w:type="dxa"/>
            <w:noWrap/>
            <w:hideMark/>
          </w:tcPr>
          <w:p w14:paraId="2188254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$6,421</w:t>
            </w:r>
          </w:p>
        </w:tc>
      </w:tr>
      <w:tr w:rsidR="00F17BF1" w:rsidRPr="002246ED" w14:paraId="2382CC16" w14:textId="77777777" w:rsidTr="002246ED">
        <w:trPr>
          <w:trHeight w:hRule="exact" w:val="230"/>
        </w:trPr>
        <w:tc>
          <w:tcPr>
            <w:tcW w:w="900" w:type="dxa"/>
            <w:noWrap/>
            <w:hideMark/>
          </w:tcPr>
          <w:p w14:paraId="5828597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CA</w:t>
            </w:r>
          </w:p>
        </w:tc>
        <w:tc>
          <w:tcPr>
            <w:tcW w:w="1080" w:type="dxa"/>
            <w:noWrap/>
            <w:hideMark/>
          </w:tcPr>
          <w:p w14:paraId="1EFD709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09</w:t>
            </w:r>
          </w:p>
        </w:tc>
        <w:tc>
          <w:tcPr>
            <w:tcW w:w="5400" w:type="dxa"/>
            <w:noWrap/>
            <w:hideMark/>
          </w:tcPr>
          <w:p w14:paraId="7BD43CF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Riverside-San Bernardino Co. Indian Health-Morongo</w:t>
            </w:r>
          </w:p>
        </w:tc>
        <w:tc>
          <w:tcPr>
            <w:tcW w:w="1304" w:type="dxa"/>
            <w:noWrap/>
            <w:hideMark/>
          </w:tcPr>
          <w:p w14:paraId="1832FAB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$95,340</w:t>
            </w:r>
          </w:p>
        </w:tc>
        <w:tc>
          <w:tcPr>
            <w:tcW w:w="1216" w:type="dxa"/>
            <w:noWrap/>
            <w:hideMark/>
          </w:tcPr>
          <w:p w14:paraId="76C805A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$27,640</w:t>
            </w:r>
          </w:p>
        </w:tc>
        <w:tc>
          <w:tcPr>
            <w:tcW w:w="1125" w:type="dxa"/>
            <w:noWrap/>
            <w:hideMark/>
          </w:tcPr>
          <w:p w14:paraId="728CED9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$1,779</w:t>
            </w:r>
          </w:p>
        </w:tc>
      </w:tr>
      <w:tr w:rsidR="00F17BF1" w:rsidRPr="002246ED" w14:paraId="2D44F541" w14:textId="77777777" w:rsidTr="002246ED">
        <w:trPr>
          <w:trHeight w:hRule="exact" w:val="230"/>
        </w:trPr>
        <w:tc>
          <w:tcPr>
            <w:tcW w:w="900" w:type="dxa"/>
            <w:noWrap/>
            <w:hideMark/>
          </w:tcPr>
          <w:p w14:paraId="6BDC3DE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CA</w:t>
            </w:r>
          </w:p>
        </w:tc>
        <w:tc>
          <w:tcPr>
            <w:tcW w:w="1080" w:type="dxa"/>
            <w:noWrap/>
            <w:hideMark/>
          </w:tcPr>
          <w:p w14:paraId="7B40E0C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10</w:t>
            </w:r>
          </w:p>
        </w:tc>
        <w:tc>
          <w:tcPr>
            <w:tcW w:w="5400" w:type="dxa"/>
            <w:noWrap/>
            <w:hideMark/>
          </w:tcPr>
          <w:p w14:paraId="02FBFBF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Riverside-San Bernardino Co. Indian Health-Pechanga</w:t>
            </w:r>
          </w:p>
        </w:tc>
        <w:tc>
          <w:tcPr>
            <w:tcW w:w="1304" w:type="dxa"/>
            <w:noWrap/>
            <w:hideMark/>
          </w:tcPr>
          <w:p w14:paraId="17FD620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$73,990</w:t>
            </w:r>
          </w:p>
        </w:tc>
        <w:tc>
          <w:tcPr>
            <w:tcW w:w="1216" w:type="dxa"/>
            <w:noWrap/>
            <w:hideMark/>
          </w:tcPr>
          <w:p w14:paraId="6EA6B50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$13,820</w:t>
            </w:r>
          </w:p>
        </w:tc>
        <w:tc>
          <w:tcPr>
            <w:tcW w:w="1125" w:type="dxa"/>
            <w:noWrap/>
            <w:hideMark/>
          </w:tcPr>
          <w:p w14:paraId="0C7CDD5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$2,074</w:t>
            </w:r>
          </w:p>
        </w:tc>
      </w:tr>
      <w:tr w:rsidR="00F17BF1" w:rsidRPr="002246ED" w14:paraId="4F9FB4B7" w14:textId="77777777" w:rsidTr="002246ED">
        <w:trPr>
          <w:trHeight w:hRule="exact" w:val="230"/>
        </w:trPr>
        <w:tc>
          <w:tcPr>
            <w:tcW w:w="900" w:type="dxa"/>
            <w:noWrap/>
            <w:hideMark/>
          </w:tcPr>
          <w:p w14:paraId="4981887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CA</w:t>
            </w:r>
          </w:p>
        </w:tc>
        <w:tc>
          <w:tcPr>
            <w:tcW w:w="1080" w:type="dxa"/>
            <w:noWrap/>
            <w:hideMark/>
          </w:tcPr>
          <w:p w14:paraId="095E275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11</w:t>
            </w:r>
          </w:p>
        </w:tc>
        <w:tc>
          <w:tcPr>
            <w:tcW w:w="5400" w:type="dxa"/>
            <w:noWrap/>
            <w:hideMark/>
          </w:tcPr>
          <w:p w14:paraId="7C18C93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Riverside-San Bernardino Co. Indian Health-Soboba/</w:t>
            </w:r>
          </w:p>
        </w:tc>
        <w:tc>
          <w:tcPr>
            <w:tcW w:w="1304" w:type="dxa"/>
            <w:noWrap/>
            <w:hideMark/>
          </w:tcPr>
          <w:p w14:paraId="5DED1AA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$73,990</w:t>
            </w:r>
          </w:p>
        </w:tc>
        <w:tc>
          <w:tcPr>
            <w:tcW w:w="1216" w:type="dxa"/>
            <w:noWrap/>
            <w:hideMark/>
          </w:tcPr>
          <w:p w14:paraId="6C253FE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$13,820</w:t>
            </w:r>
          </w:p>
        </w:tc>
        <w:tc>
          <w:tcPr>
            <w:tcW w:w="1125" w:type="dxa"/>
            <w:noWrap/>
            <w:hideMark/>
          </w:tcPr>
          <w:p w14:paraId="6C107D3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$3,679</w:t>
            </w:r>
          </w:p>
        </w:tc>
      </w:tr>
      <w:tr w:rsidR="00F17BF1" w:rsidRPr="002246ED" w14:paraId="3D244A67" w14:textId="77777777" w:rsidTr="002246ED">
        <w:trPr>
          <w:trHeight w:hRule="exact" w:val="230"/>
        </w:trPr>
        <w:tc>
          <w:tcPr>
            <w:tcW w:w="900" w:type="dxa"/>
            <w:noWrap/>
            <w:hideMark/>
          </w:tcPr>
          <w:p w14:paraId="3CE4AA5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CA</w:t>
            </w:r>
          </w:p>
        </w:tc>
        <w:tc>
          <w:tcPr>
            <w:tcW w:w="1080" w:type="dxa"/>
            <w:noWrap/>
            <w:hideMark/>
          </w:tcPr>
          <w:p w14:paraId="2B66DD7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12</w:t>
            </w:r>
          </w:p>
        </w:tc>
        <w:tc>
          <w:tcPr>
            <w:tcW w:w="5400" w:type="dxa"/>
            <w:noWrap/>
            <w:hideMark/>
          </w:tcPr>
          <w:p w14:paraId="244AD14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Sonoma County Indian Health Project - Sonoma</w:t>
            </w:r>
          </w:p>
        </w:tc>
        <w:tc>
          <w:tcPr>
            <w:tcW w:w="1304" w:type="dxa"/>
            <w:noWrap/>
            <w:hideMark/>
          </w:tcPr>
          <w:p w14:paraId="654A9F3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$73,990</w:t>
            </w:r>
          </w:p>
        </w:tc>
        <w:tc>
          <w:tcPr>
            <w:tcW w:w="1216" w:type="dxa"/>
            <w:noWrap/>
            <w:hideMark/>
          </w:tcPr>
          <w:p w14:paraId="7ACA59A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w:t>
            </w:r>
          </w:p>
        </w:tc>
        <w:tc>
          <w:tcPr>
            <w:tcW w:w="1125" w:type="dxa"/>
            <w:noWrap/>
            <w:hideMark/>
          </w:tcPr>
          <w:p w14:paraId="3FDDDAE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$9,480</w:t>
            </w:r>
          </w:p>
        </w:tc>
      </w:tr>
      <w:tr w:rsidR="00F17BF1" w:rsidRPr="002246ED" w14:paraId="75883373" w14:textId="77777777" w:rsidTr="002246ED">
        <w:trPr>
          <w:trHeight w:hRule="exact" w:val="230"/>
        </w:trPr>
        <w:tc>
          <w:tcPr>
            <w:tcW w:w="900" w:type="dxa"/>
            <w:noWrap/>
            <w:hideMark/>
          </w:tcPr>
          <w:p w14:paraId="344733E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CA</w:t>
            </w:r>
          </w:p>
        </w:tc>
        <w:tc>
          <w:tcPr>
            <w:tcW w:w="1080" w:type="dxa"/>
            <w:noWrap/>
            <w:hideMark/>
          </w:tcPr>
          <w:p w14:paraId="2A9DE5C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w:t>
            </w:r>
          </w:p>
        </w:tc>
        <w:tc>
          <w:tcPr>
            <w:tcW w:w="5400" w:type="dxa"/>
            <w:noWrap/>
            <w:hideMark/>
          </w:tcPr>
          <w:p w14:paraId="0684CF2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Southern Indian Health Council, Inc. - Area I</w:t>
            </w:r>
          </w:p>
        </w:tc>
        <w:tc>
          <w:tcPr>
            <w:tcW w:w="1304" w:type="dxa"/>
            <w:noWrap/>
            <w:hideMark/>
          </w:tcPr>
          <w:p w14:paraId="300AAB3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$73,990</w:t>
            </w:r>
          </w:p>
        </w:tc>
        <w:tc>
          <w:tcPr>
            <w:tcW w:w="1216" w:type="dxa"/>
            <w:noWrap/>
            <w:hideMark/>
          </w:tcPr>
          <w:p w14:paraId="2456ED0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$13,820</w:t>
            </w:r>
          </w:p>
        </w:tc>
        <w:tc>
          <w:tcPr>
            <w:tcW w:w="1125" w:type="dxa"/>
            <w:noWrap/>
            <w:hideMark/>
          </w:tcPr>
          <w:p w14:paraId="35CF875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$13,615</w:t>
            </w:r>
          </w:p>
        </w:tc>
      </w:tr>
      <w:tr w:rsidR="00F17BF1" w:rsidRPr="002246ED" w14:paraId="3F774BEB" w14:textId="77777777" w:rsidTr="002246ED">
        <w:trPr>
          <w:trHeight w:hRule="exact" w:val="230"/>
        </w:trPr>
        <w:tc>
          <w:tcPr>
            <w:tcW w:w="900" w:type="dxa"/>
            <w:noWrap/>
            <w:hideMark/>
          </w:tcPr>
          <w:p w14:paraId="052AC5F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CA</w:t>
            </w:r>
          </w:p>
        </w:tc>
        <w:tc>
          <w:tcPr>
            <w:tcW w:w="1080" w:type="dxa"/>
            <w:noWrap/>
            <w:hideMark/>
          </w:tcPr>
          <w:p w14:paraId="54F9E3C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14</w:t>
            </w:r>
          </w:p>
        </w:tc>
        <w:tc>
          <w:tcPr>
            <w:tcW w:w="5400" w:type="dxa"/>
            <w:noWrap/>
            <w:hideMark/>
          </w:tcPr>
          <w:p w14:paraId="11A35E7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Southern Indian Health Council, Inc. - Area II</w:t>
            </w:r>
          </w:p>
        </w:tc>
        <w:tc>
          <w:tcPr>
            <w:tcW w:w="1304" w:type="dxa"/>
            <w:noWrap/>
            <w:hideMark/>
          </w:tcPr>
          <w:p w14:paraId="436B148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$73,990</w:t>
            </w:r>
          </w:p>
        </w:tc>
        <w:tc>
          <w:tcPr>
            <w:tcW w:w="1216" w:type="dxa"/>
            <w:noWrap/>
            <w:hideMark/>
          </w:tcPr>
          <w:p w14:paraId="7DFE719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$13,820</w:t>
            </w:r>
          </w:p>
        </w:tc>
        <w:tc>
          <w:tcPr>
            <w:tcW w:w="1125" w:type="dxa"/>
            <w:noWrap/>
            <w:hideMark/>
          </w:tcPr>
          <w:p w14:paraId="2558170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$12,388</w:t>
            </w:r>
          </w:p>
        </w:tc>
      </w:tr>
      <w:tr w:rsidR="00F17BF1" w:rsidRPr="002246ED" w14:paraId="0161E85D" w14:textId="77777777" w:rsidTr="002246ED">
        <w:trPr>
          <w:trHeight w:hRule="exact" w:val="230"/>
        </w:trPr>
        <w:tc>
          <w:tcPr>
            <w:tcW w:w="900" w:type="dxa"/>
            <w:noWrap/>
            <w:hideMark/>
          </w:tcPr>
          <w:p w14:paraId="5EA845F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CA</w:t>
            </w:r>
          </w:p>
        </w:tc>
        <w:tc>
          <w:tcPr>
            <w:tcW w:w="1080" w:type="dxa"/>
            <w:noWrap/>
            <w:hideMark/>
          </w:tcPr>
          <w:p w14:paraId="78902B0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15</w:t>
            </w:r>
          </w:p>
        </w:tc>
        <w:tc>
          <w:tcPr>
            <w:tcW w:w="5400" w:type="dxa"/>
            <w:noWrap/>
            <w:hideMark/>
          </w:tcPr>
          <w:p w14:paraId="4DCEBA4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Toiyabe Indian Health Project, Inc. - Northern</w:t>
            </w:r>
          </w:p>
        </w:tc>
        <w:tc>
          <w:tcPr>
            <w:tcW w:w="1304" w:type="dxa"/>
            <w:noWrap/>
            <w:hideMark/>
          </w:tcPr>
          <w:p w14:paraId="0ECC10E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$73,990</w:t>
            </w:r>
          </w:p>
        </w:tc>
        <w:tc>
          <w:tcPr>
            <w:tcW w:w="1216" w:type="dxa"/>
            <w:noWrap/>
            <w:hideMark/>
          </w:tcPr>
          <w:p w14:paraId="45B0433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$13,820</w:t>
            </w:r>
          </w:p>
        </w:tc>
        <w:tc>
          <w:tcPr>
            <w:tcW w:w="1125" w:type="dxa"/>
            <w:noWrap/>
            <w:hideMark/>
          </w:tcPr>
          <w:p w14:paraId="161010D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$10,311</w:t>
            </w:r>
          </w:p>
        </w:tc>
      </w:tr>
      <w:tr w:rsidR="00F17BF1" w:rsidRPr="002246ED" w14:paraId="43E6A8A4" w14:textId="77777777" w:rsidTr="002246ED">
        <w:trPr>
          <w:trHeight w:hRule="exact" w:val="230"/>
        </w:trPr>
        <w:tc>
          <w:tcPr>
            <w:tcW w:w="900" w:type="dxa"/>
            <w:noWrap/>
            <w:hideMark/>
          </w:tcPr>
          <w:p w14:paraId="241BE15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CA</w:t>
            </w:r>
          </w:p>
        </w:tc>
        <w:tc>
          <w:tcPr>
            <w:tcW w:w="1080" w:type="dxa"/>
            <w:noWrap/>
            <w:hideMark/>
          </w:tcPr>
          <w:p w14:paraId="5CA1CC1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16</w:t>
            </w:r>
          </w:p>
        </w:tc>
        <w:tc>
          <w:tcPr>
            <w:tcW w:w="5400" w:type="dxa"/>
            <w:noWrap/>
            <w:hideMark/>
          </w:tcPr>
          <w:p w14:paraId="461F2D6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Tule River Indian Health Center, Inc.</w:t>
            </w:r>
          </w:p>
        </w:tc>
        <w:tc>
          <w:tcPr>
            <w:tcW w:w="1304" w:type="dxa"/>
            <w:noWrap/>
            <w:hideMark/>
          </w:tcPr>
          <w:p w14:paraId="351E0D5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5CF236D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hideMark/>
          </w:tcPr>
          <w:p w14:paraId="532EC27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$19,357</w:t>
            </w:r>
          </w:p>
        </w:tc>
      </w:tr>
      <w:tr w:rsidR="00F17BF1" w:rsidRPr="002246ED" w14:paraId="156FD223" w14:textId="77777777" w:rsidTr="002246ED">
        <w:trPr>
          <w:trHeight w:hRule="exact" w:val="230"/>
        </w:trPr>
        <w:tc>
          <w:tcPr>
            <w:tcW w:w="900" w:type="dxa"/>
            <w:noWrap/>
            <w:hideMark/>
          </w:tcPr>
          <w:p w14:paraId="02E086E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CA</w:t>
            </w:r>
          </w:p>
        </w:tc>
        <w:tc>
          <w:tcPr>
            <w:tcW w:w="1080" w:type="dxa"/>
            <w:noWrap/>
            <w:hideMark/>
          </w:tcPr>
          <w:p w14:paraId="7AA31D6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17</w:t>
            </w:r>
          </w:p>
        </w:tc>
        <w:tc>
          <w:tcPr>
            <w:tcW w:w="5400" w:type="dxa"/>
            <w:noWrap/>
            <w:hideMark/>
          </w:tcPr>
          <w:p w14:paraId="5EAC1D6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United Indian Health Services Inc. for Resighini</w:t>
            </w:r>
          </w:p>
        </w:tc>
        <w:tc>
          <w:tcPr>
            <w:tcW w:w="1304" w:type="dxa"/>
            <w:noWrap/>
            <w:hideMark/>
          </w:tcPr>
          <w:p w14:paraId="0BF1350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$95,340</w:t>
            </w:r>
          </w:p>
        </w:tc>
        <w:tc>
          <w:tcPr>
            <w:tcW w:w="1216" w:type="dxa"/>
            <w:noWrap/>
            <w:hideMark/>
          </w:tcPr>
          <w:p w14:paraId="3F8B953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$27,640</w:t>
            </w:r>
          </w:p>
        </w:tc>
        <w:tc>
          <w:tcPr>
            <w:tcW w:w="1125" w:type="dxa"/>
            <w:noWrap/>
            <w:hideMark/>
          </w:tcPr>
          <w:p w14:paraId="68E7889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$9,583</w:t>
            </w:r>
          </w:p>
        </w:tc>
      </w:tr>
      <w:tr w:rsidR="00F17BF1" w:rsidRPr="002246ED" w14:paraId="34FCE44D" w14:textId="77777777" w:rsidTr="002246ED">
        <w:trPr>
          <w:trHeight w:hRule="exact" w:val="230"/>
        </w:trPr>
        <w:tc>
          <w:tcPr>
            <w:tcW w:w="900" w:type="dxa"/>
            <w:noWrap/>
            <w:hideMark/>
          </w:tcPr>
          <w:p w14:paraId="7DDD54E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CA</w:t>
            </w:r>
          </w:p>
        </w:tc>
        <w:tc>
          <w:tcPr>
            <w:tcW w:w="1080" w:type="dxa"/>
            <w:noWrap/>
            <w:hideMark/>
          </w:tcPr>
          <w:p w14:paraId="2F0F8AC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18</w:t>
            </w:r>
          </w:p>
        </w:tc>
        <w:tc>
          <w:tcPr>
            <w:tcW w:w="5400" w:type="dxa"/>
            <w:noWrap/>
            <w:hideMark/>
          </w:tcPr>
          <w:p w14:paraId="024C7C4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United Indian Health Services Inc. for Tolowa</w:t>
            </w:r>
          </w:p>
        </w:tc>
        <w:tc>
          <w:tcPr>
            <w:tcW w:w="1304" w:type="dxa"/>
            <w:noWrap/>
            <w:hideMark/>
          </w:tcPr>
          <w:p w14:paraId="4B48137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$137,640</w:t>
            </w:r>
          </w:p>
        </w:tc>
        <w:tc>
          <w:tcPr>
            <w:tcW w:w="1216" w:type="dxa"/>
            <w:noWrap/>
            <w:hideMark/>
          </w:tcPr>
          <w:p w14:paraId="271FC97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$48,380</w:t>
            </w:r>
          </w:p>
        </w:tc>
        <w:tc>
          <w:tcPr>
            <w:tcW w:w="1125" w:type="dxa"/>
            <w:noWrap/>
            <w:hideMark/>
          </w:tcPr>
          <w:p w14:paraId="0981008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$12,856</w:t>
            </w:r>
          </w:p>
        </w:tc>
      </w:tr>
      <w:tr w:rsidR="00F17BF1" w:rsidRPr="002246ED" w14:paraId="5D9D1DCE" w14:textId="77777777" w:rsidTr="002246ED">
        <w:trPr>
          <w:trHeight w:hRule="exact" w:val="230"/>
        </w:trPr>
        <w:tc>
          <w:tcPr>
            <w:tcW w:w="900" w:type="dxa"/>
            <w:noWrap/>
            <w:hideMark/>
          </w:tcPr>
          <w:p w14:paraId="64CF217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CA</w:t>
            </w:r>
          </w:p>
        </w:tc>
        <w:tc>
          <w:tcPr>
            <w:tcW w:w="1080" w:type="dxa"/>
            <w:noWrap/>
            <w:hideMark/>
          </w:tcPr>
          <w:p w14:paraId="79445EC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w:t>
            </w:r>
          </w:p>
        </w:tc>
        <w:tc>
          <w:tcPr>
            <w:tcW w:w="5400" w:type="dxa"/>
            <w:noWrap/>
            <w:hideMark/>
          </w:tcPr>
          <w:p w14:paraId="4EF4ABC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Indian Senior Center, Inc.</w:t>
            </w:r>
          </w:p>
        </w:tc>
        <w:tc>
          <w:tcPr>
            <w:tcW w:w="1304" w:type="dxa"/>
            <w:noWrap/>
            <w:hideMark/>
          </w:tcPr>
          <w:p w14:paraId="1B6E765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77BDBB6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hideMark/>
          </w:tcPr>
          <w:p w14:paraId="44CBE85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$13,313</w:t>
            </w:r>
          </w:p>
        </w:tc>
      </w:tr>
      <w:tr w:rsidR="00F17BF1" w:rsidRPr="002246ED" w14:paraId="2CBBB2FE" w14:textId="77777777" w:rsidTr="002246ED">
        <w:trPr>
          <w:trHeight w:hRule="exact" w:val="230"/>
        </w:trPr>
        <w:tc>
          <w:tcPr>
            <w:tcW w:w="900" w:type="dxa"/>
            <w:noWrap/>
            <w:hideMark/>
          </w:tcPr>
          <w:p w14:paraId="6F8D5D9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CA</w:t>
            </w:r>
          </w:p>
        </w:tc>
        <w:tc>
          <w:tcPr>
            <w:tcW w:w="1080" w:type="dxa"/>
            <w:noWrap/>
            <w:hideMark/>
          </w:tcPr>
          <w:p w14:paraId="1D4D8B4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21</w:t>
            </w:r>
          </w:p>
        </w:tc>
        <w:tc>
          <w:tcPr>
            <w:tcW w:w="5400" w:type="dxa"/>
            <w:noWrap/>
            <w:hideMark/>
          </w:tcPr>
          <w:p w14:paraId="42E5200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Sonoma County Indian Health Project - Manchester</w:t>
            </w:r>
          </w:p>
        </w:tc>
        <w:tc>
          <w:tcPr>
            <w:tcW w:w="1304" w:type="dxa"/>
            <w:noWrap/>
            <w:hideMark/>
          </w:tcPr>
          <w:p w14:paraId="6B09677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$73,990</w:t>
            </w:r>
          </w:p>
        </w:tc>
        <w:tc>
          <w:tcPr>
            <w:tcW w:w="1216" w:type="dxa"/>
            <w:noWrap/>
            <w:hideMark/>
          </w:tcPr>
          <w:p w14:paraId="62D3BE7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w:t>
            </w:r>
          </w:p>
        </w:tc>
        <w:tc>
          <w:tcPr>
            <w:tcW w:w="1125" w:type="dxa"/>
            <w:noWrap/>
            <w:hideMark/>
          </w:tcPr>
          <w:p w14:paraId="703E9A8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$4,832</w:t>
            </w:r>
          </w:p>
        </w:tc>
      </w:tr>
      <w:tr w:rsidR="00F17BF1" w:rsidRPr="002246ED" w14:paraId="5F0E1050" w14:textId="77777777" w:rsidTr="002246ED">
        <w:trPr>
          <w:trHeight w:hRule="exact" w:val="230"/>
        </w:trPr>
        <w:tc>
          <w:tcPr>
            <w:tcW w:w="900" w:type="dxa"/>
            <w:noWrap/>
            <w:hideMark/>
          </w:tcPr>
          <w:p w14:paraId="37CE94B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CA</w:t>
            </w:r>
          </w:p>
        </w:tc>
        <w:tc>
          <w:tcPr>
            <w:tcW w:w="1080" w:type="dxa"/>
            <w:noWrap/>
            <w:hideMark/>
          </w:tcPr>
          <w:p w14:paraId="0B2BED2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25</w:t>
            </w:r>
          </w:p>
        </w:tc>
        <w:tc>
          <w:tcPr>
            <w:tcW w:w="5400" w:type="dxa"/>
            <w:noWrap/>
            <w:hideMark/>
          </w:tcPr>
          <w:p w14:paraId="2F368FC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Pala Band of Mission Indians</w:t>
            </w:r>
          </w:p>
        </w:tc>
        <w:tc>
          <w:tcPr>
            <w:tcW w:w="1304" w:type="dxa"/>
            <w:noWrap/>
            <w:hideMark/>
          </w:tcPr>
          <w:p w14:paraId="5B3649C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4CB9A05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w:t>
            </w:r>
          </w:p>
        </w:tc>
        <w:tc>
          <w:tcPr>
            <w:tcW w:w="1125" w:type="dxa"/>
            <w:noWrap/>
            <w:hideMark/>
          </w:tcPr>
          <w:p w14:paraId="0848771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$13,887</w:t>
            </w:r>
          </w:p>
        </w:tc>
      </w:tr>
      <w:tr w:rsidR="00F17BF1" w:rsidRPr="002246ED" w14:paraId="7FD2D3DC" w14:textId="77777777" w:rsidTr="002246ED">
        <w:trPr>
          <w:trHeight w:hRule="exact" w:val="230"/>
        </w:trPr>
        <w:tc>
          <w:tcPr>
            <w:tcW w:w="900" w:type="dxa"/>
            <w:noWrap/>
            <w:hideMark/>
          </w:tcPr>
          <w:p w14:paraId="3994AE2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CA</w:t>
            </w:r>
          </w:p>
        </w:tc>
        <w:tc>
          <w:tcPr>
            <w:tcW w:w="1080" w:type="dxa"/>
            <w:noWrap/>
            <w:hideMark/>
          </w:tcPr>
          <w:p w14:paraId="17EA910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26</w:t>
            </w:r>
          </w:p>
        </w:tc>
        <w:tc>
          <w:tcPr>
            <w:tcW w:w="5400" w:type="dxa"/>
            <w:noWrap/>
            <w:hideMark/>
          </w:tcPr>
          <w:p w14:paraId="1CCB42A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Redding Rancheria</w:t>
            </w:r>
          </w:p>
        </w:tc>
        <w:tc>
          <w:tcPr>
            <w:tcW w:w="1304" w:type="dxa"/>
            <w:noWrap/>
            <w:hideMark/>
          </w:tcPr>
          <w:p w14:paraId="3CC859C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$137,640</w:t>
            </w:r>
          </w:p>
        </w:tc>
        <w:tc>
          <w:tcPr>
            <w:tcW w:w="1216" w:type="dxa"/>
            <w:noWrap/>
            <w:hideMark/>
          </w:tcPr>
          <w:p w14:paraId="6D291D1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$48,380</w:t>
            </w:r>
          </w:p>
        </w:tc>
        <w:tc>
          <w:tcPr>
            <w:tcW w:w="1125" w:type="dxa"/>
            <w:noWrap/>
            <w:hideMark/>
          </w:tcPr>
          <w:p w14:paraId="5D4D76C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$5,368</w:t>
            </w:r>
          </w:p>
        </w:tc>
      </w:tr>
      <w:tr w:rsidR="00F17BF1" w:rsidRPr="002246ED" w14:paraId="55299C3B" w14:textId="77777777" w:rsidTr="002246ED">
        <w:trPr>
          <w:trHeight w:hRule="exact" w:val="230"/>
        </w:trPr>
        <w:tc>
          <w:tcPr>
            <w:tcW w:w="900" w:type="dxa"/>
            <w:noWrap/>
            <w:hideMark/>
          </w:tcPr>
          <w:p w14:paraId="56168CC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CA</w:t>
            </w:r>
          </w:p>
        </w:tc>
        <w:tc>
          <w:tcPr>
            <w:tcW w:w="1080" w:type="dxa"/>
            <w:noWrap/>
            <w:hideMark/>
          </w:tcPr>
          <w:p w14:paraId="3A23202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28</w:t>
            </w:r>
          </w:p>
        </w:tc>
        <w:tc>
          <w:tcPr>
            <w:tcW w:w="5400" w:type="dxa"/>
            <w:noWrap/>
            <w:hideMark/>
          </w:tcPr>
          <w:p w14:paraId="7094858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Toiyabe Indian Health Project, Inc. - Southern</w:t>
            </w:r>
          </w:p>
        </w:tc>
        <w:tc>
          <w:tcPr>
            <w:tcW w:w="1304" w:type="dxa"/>
            <w:noWrap/>
            <w:hideMark/>
          </w:tcPr>
          <w:p w14:paraId="0CD3695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$73,990</w:t>
            </w:r>
          </w:p>
        </w:tc>
        <w:tc>
          <w:tcPr>
            <w:tcW w:w="1216" w:type="dxa"/>
            <w:noWrap/>
            <w:hideMark/>
          </w:tcPr>
          <w:p w14:paraId="257C9AE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$13,820</w:t>
            </w:r>
          </w:p>
        </w:tc>
        <w:tc>
          <w:tcPr>
            <w:tcW w:w="1125" w:type="dxa"/>
            <w:noWrap/>
            <w:hideMark/>
          </w:tcPr>
          <w:p w14:paraId="384F4C2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$7,365</w:t>
            </w:r>
          </w:p>
        </w:tc>
      </w:tr>
      <w:tr w:rsidR="00F17BF1" w:rsidRPr="002246ED" w14:paraId="0453654B" w14:textId="77777777" w:rsidTr="002246ED">
        <w:trPr>
          <w:trHeight w:hRule="exact" w:val="230"/>
        </w:trPr>
        <w:tc>
          <w:tcPr>
            <w:tcW w:w="900" w:type="dxa"/>
            <w:noWrap/>
            <w:hideMark/>
          </w:tcPr>
          <w:p w14:paraId="385B6D6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CA</w:t>
            </w:r>
          </w:p>
        </w:tc>
        <w:tc>
          <w:tcPr>
            <w:tcW w:w="1080" w:type="dxa"/>
            <w:noWrap/>
            <w:hideMark/>
          </w:tcPr>
          <w:p w14:paraId="26801C4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29</w:t>
            </w:r>
          </w:p>
        </w:tc>
        <w:tc>
          <w:tcPr>
            <w:tcW w:w="5400" w:type="dxa"/>
            <w:noWrap/>
            <w:hideMark/>
          </w:tcPr>
          <w:p w14:paraId="1BCA655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K'ima:w Medical Center</w:t>
            </w:r>
          </w:p>
        </w:tc>
        <w:tc>
          <w:tcPr>
            <w:tcW w:w="1304" w:type="dxa"/>
            <w:noWrap/>
            <w:hideMark/>
          </w:tcPr>
          <w:p w14:paraId="3E9E199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$95,340</w:t>
            </w:r>
          </w:p>
        </w:tc>
        <w:tc>
          <w:tcPr>
            <w:tcW w:w="1216" w:type="dxa"/>
            <w:noWrap/>
            <w:hideMark/>
          </w:tcPr>
          <w:p w14:paraId="52477F2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w:t>
            </w:r>
          </w:p>
        </w:tc>
        <w:tc>
          <w:tcPr>
            <w:tcW w:w="1125" w:type="dxa"/>
            <w:noWrap/>
            <w:hideMark/>
          </w:tcPr>
          <w:p w14:paraId="1BE6E7B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$9,103</w:t>
            </w:r>
          </w:p>
        </w:tc>
      </w:tr>
      <w:tr w:rsidR="00F17BF1" w:rsidRPr="002246ED" w14:paraId="135431AD" w14:textId="77777777" w:rsidTr="002246ED">
        <w:trPr>
          <w:trHeight w:hRule="exact" w:val="230"/>
        </w:trPr>
        <w:tc>
          <w:tcPr>
            <w:tcW w:w="900" w:type="dxa"/>
            <w:noWrap/>
            <w:hideMark/>
          </w:tcPr>
          <w:p w14:paraId="0E61A89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CA</w:t>
            </w:r>
          </w:p>
        </w:tc>
        <w:tc>
          <w:tcPr>
            <w:tcW w:w="1080" w:type="dxa"/>
            <w:noWrap/>
            <w:hideMark/>
          </w:tcPr>
          <w:p w14:paraId="538E7BF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30</w:t>
            </w:r>
          </w:p>
        </w:tc>
        <w:tc>
          <w:tcPr>
            <w:tcW w:w="5400" w:type="dxa"/>
            <w:noWrap/>
            <w:hideMark/>
          </w:tcPr>
          <w:p w14:paraId="1C372A1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Round Valley Indian Tribes Senior Center</w:t>
            </w:r>
          </w:p>
        </w:tc>
        <w:tc>
          <w:tcPr>
            <w:tcW w:w="1304" w:type="dxa"/>
            <w:noWrap/>
            <w:hideMark/>
          </w:tcPr>
          <w:p w14:paraId="0B55BED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73882BA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w:t>
            </w:r>
          </w:p>
        </w:tc>
        <w:tc>
          <w:tcPr>
            <w:tcW w:w="1125" w:type="dxa"/>
            <w:noWrap/>
            <w:hideMark/>
          </w:tcPr>
          <w:p w14:paraId="4A0094A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$8,963</w:t>
            </w:r>
          </w:p>
        </w:tc>
      </w:tr>
      <w:tr w:rsidR="00F17BF1" w:rsidRPr="002246ED" w14:paraId="39ED6533" w14:textId="77777777" w:rsidTr="002246ED">
        <w:trPr>
          <w:trHeight w:hRule="exact" w:val="230"/>
        </w:trPr>
        <w:tc>
          <w:tcPr>
            <w:tcW w:w="900" w:type="dxa"/>
            <w:noWrap/>
            <w:hideMark/>
          </w:tcPr>
          <w:p w14:paraId="20026D4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CA</w:t>
            </w:r>
          </w:p>
        </w:tc>
        <w:tc>
          <w:tcPr>
            <w:tcW w:w="1080" w:type="dxa"/>
            <w:noWrap/>
            <w:hideMark/>
          </w:tcPr>
          <w:p w14:paraId="1825FAF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31</w:t>
            </w:r>
          </w:p>
        </w:tc>
        <w:tc>
          <w:tcPr>
            <w:tcW w:w="5400" w:type="dxa"/>
            <w:noWrap/>
            <w:hideMark/>
          </w:tcPr>
          <w:p w14:paraId="0419402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Fort Mojave Indian Tribe</w:t>
            </w:r>
          </w:p>
        </w:tc>
        <w:tc>
          <w:tcPr>
            <w:tcW w:w="1304" w:type="dxa"/>
            <w:noWrap/>
            <w:hideMark/>
          </w:tcPr>
          <w:p w14:paraId="57BEE60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518B1D1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hideMark/>
          </w:tcPr>
          <w:p w14:paraId="60E7DBF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$4,339</w:t>
            </w:r>
          </w:p>
        </w:tc>
      </w:tr>
      <w:tr w:rsidR="00F17BF1" w:rsidRPr="002246ED" w14:paraId="38C4D2AD" w14:textId="77777777" w:rsidTr="002246ED">
        <w:trPr>
          <w:trHeight w:hRule="exact" w:val="230"/>
        </w:trPr>
        <w:tc>
          <w:tcPr>
            <w:tcW w:w="900" w:type="dxa"/>
            <w:noWrap/>
            <w:hideMark/>
          </w:tcPr>
          <w:p w14:paraId="6350154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CA</w:t>
            </w:r>
          </w:p>
        </w:tc>
        <w:tc>
          <w:tcPr>
            <w:tcW w:w="1080" w:type="dxa"/>
            <w:noWrap/>
            <w:hideMark/>
          </w:tcPr>
          <w:p w14:paraId="124DA7D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33</w:t>
            </w:r>
          </w:p>
        </w:tc>
        <w:tc>
          <w:tcPr>
            <w:tcW w:w="5400" w:type="dxa"/>
            <w:noWrap/>
            <w:hideMark/>
          </w:tcPr>
          <w:p w14:paraId="482C31B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CA Indian Manpower Consortium, Inc. - Chico,</w:t>
            </w:r>
          </w:p>
        </w:tc>
        <w:tc>
          <w:tcPr>
            <w:tcW w:w="1304" w:type="dxa"/>
            <w:noWrap/>
            <w:hideMark/>
          </w:tcPr>
          <w:p w14:paraId="627C91D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$73,990</w:t>
            </w:r>
          </w:p>
        </w:tc>
        <w:tc>
          <w:tcPr>
            <w:tcW w:w="1216" w:type="dxa"/>
            <w:noWrap/>
            <w:hideMark/>
          </w:tcPr>
          <w:p w14:paraId="5FF5080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$13,820</w:t>
            </w:r>
          </w:p>
        </w:tc>
        <w:tc>
          <w:tcPr>
            <w:tcW w:w="1125" w:type="dxa"/>
            <w:noWrap/>
            <w:hideMark/>
          </w:tcPr>
          <w:p w14:paraId="5641E39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$3,275</w:t>
            </w:r>
          </w:p>
        </w:tc>
      </w:tr>
      <w:tr w:rsidR="00F17BF1" w:rsidRPr="002246ED" w14:paraId="46F52036" w14:textId="77777777" w:rsidTr="002246ED">
        <w:trPr>
          <w:trHeight w:hRule="exact" w:val="230"/>
        </w:trPr>
        <w:tc>
          <w:tcPr>
            <w:tcW w:w="900" w:type="dxa"/>
            <w:noWrap/>
            <w:hideMark/>
          </w:tcPr>
          <w:p w14:paraId="71D300E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CA</w:t>
            </w:r>
          </w:p>
        </w:tc>
        <w:tc>
          <w:tcPr>
            <w:tcW w:w="1080" w:type="dxa"/>
            <w:noWrap/>
            <w:hideMark/>
          </w:tcPr>
          <w:p w14:paraId="46D57CE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34</w:t>
            </w:r>
          </w:p>
        </w:tc>
        <w:tc>
          <w:tcPr>
            <w:tcW w:w="5400" w:type="dxa"/>
            <w:noWrap/>
            <w:hideMark/>
          </w:tcPr>
          <w:p w14:paraId="0725503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CA Indian Manpower Consortium, Inc. - Big Sandy,</w:t>
            </w:r>
          </w:p>
        </w:tc>
        <w:tc>
          <w:tcPr>
            <w:tcW w:w="1304" w:type="dxa"/>
            <w:noWrap/>
            <w:hideMark/>
          </w:tcPr>
          <w:p w14:paraId="3D82D42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5F10A56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hideMark/>
          </w:tcPr>
          <w:p w14:paraId="1CA6D2E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$5,890</w:t>
            </w:r>
          </w:p>
        </w:tc>
      </w:tr>
      <w:tr w:rsidR="00F17BF1" w:rsidRPr="002246ED" w14:paraId="4DDF9A1C" w14:textId="77777777" w:rsidTr="002246ED">
        <w:trPr>
          <w:trHeight w:hRule="exact" w:val="230"/>
        </w:trPr>
        <w:tc>
          <w:tcPr>
            <w:tcW w:w="900" w:type="dxa"/>
            <w:noWrap/>
            <w:hideMark/>
          </w:tcPr>
          <w:p w14:paraId="44E197F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CA</w:t>
            </w:r>
          </w:p>
        </w:tc>
        <w:tc>
          <w:tcPr>
            <w:tcW w:w="1080" w:type="dxa"/>
            <w:noWrap/>
            <w:hideMark/>
          </w:tcPr>
          <w:p w14:paraId="1D901BE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35</w:t>
            </w:r>
          </w:p>
        </w:tc>
        <w:tc>
          <w:tcPr>
            <w:tcW w:w="5400" w:type="dxa"/>
            <w:noWrap/>
            <w:hideMark/>
          </w:tcPr>
          <w:p w14:paraId="3C8C1F3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CA Indian Manpower Consortium, Inc. - Berry Creek,</w:t>
            </w:r>
          </w:p>
        </w:tc>
        <w:tc>
          <w:tcPr>
            <w:tcW w:w="1304" w:type="dxa"/>
            <w:noWrap/>
            <w:hideMark/>
          </w:tcPr>
          <w:p w14:paraId="6696BC8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3FCB535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hideMark/>
          </w:tcPr>
          <w:p w14:paraId="7648472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$4,094</w:t>
            </w:r>
          </w:p>
        </w:tc>
      </w:tr>
      <w:tr w:rsidR="00F17BF1" w:rsidRPr="002246ED" w14:paraId="60C140FA" w14:textId="77777777" w:rsidTr="002246ED">
        <w:trPr>
          <w:trHeight w:hRule="exact" w:val="230"/>
        </w:trPr>
        <w:tc>
          <w:tcPr>
            <w:tcW w:w="900" w:type="dxa"/>
            <w:noWrap/>
            <w:hideMark/>
          </w:tcPr>
          <w:p w14:paraId="1627FB5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CA</w:t>
            </w:r>
          </w:p>
        </w:tc>
        <w:tc>
          <w:tcPr>
            <w:tcW w:w="1080" w:type="dxa"/>
            <w:noWrap/>
            <w:hideMark/>
          </w:tcPr>
          <w:p w14:paraId="16E10F6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36</w:t>
            </w:r>
          </w:p>
        </w:tc>
        <w:tc>
          <w:tcPr>
            <w:tcW w:w="5400" w:type="dxa"/>
            <w:noWrap/>
            <w:hideMark/>
          </w:tcPr>
          <w:p w14:paraId="5319502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CA Indian Manpower Consortium, Inc. - Coyote Valley,</w:t>
            </w:r>
          </w:p>
        </w:tc>
        <w:tc>
          <w:tcPr>
            <w:tcW w:w="1304" w:type="dxa"/>
            <w:noWrap/>
            <w:hideMark/>
          </w:tcPr>
          <w:p w14:paraId="0D25425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696F9AD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hideMark/>
          </w:tcPr>
          <w:p w14:paraId="7994E92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$5,465</w:t>
            </w:r>
          </w:p>
        </w:tc>
      </w:tr>
      <w:tr w:rsidR="00F17BF1" w:rsidRPr="002246ED" w14:paraId="0DBA1756" w14:textId="77777777" w:rsidTr="002246ED">
        <w:trPr>
          <w:trHeight w:hRule="exact" w:val="230"/>
        </w:trPr>
        <w:tc>
          <w:tcPr>
            <w:tcW w:w="900" w:type="dxa"/>
            <w:noWrap/>
            <w:hideMark/>
          </w:tcPr>
          <w:p w14:paraId="70E69F7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CA</w:t>
            </w:r>
          </w:p>
        </w:tc>
        <w:tc>
          <w:tcPr>
            <w:tcW w:w="1080" w:type="dxa"/>
            <w:noWrap/>
            <w:hideMark/>
          </w:tcPr>
          <w:p w14:paraId="5A819B7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37</w:t>
            </w:r>
          </w:p>
        </w:tc>
        <w:tc>
          <w:tcPr>
            <w:tcW w:w="5400" w:type="dxa"/>
            <w:noWrap/>
            <w:hideMark/>
          </w:tcPr>
          <w:p w14:paraId="3935CCE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CA Indian Manpower Consortium, Inc. - Enterprise,</w:t>
            </w:r>
          </w:p>
        </w:tc>
        <w:tc>
          <w:tcPr>
            <w:tcW w:w="1304" w:type="dxa"/>
            <w:noWrap/>
            <w:hideMark/>
          </w:tcPr>
          <w:p w14:paraId="60031F0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$95,340</w:t>
            </w:r>
          </w:p>
        </w:tc>
        <w:tc>
          <w:tcPr>
            <w:tcW w:w="1216" w:type="dxa"/>
            <w:noWrap/>
            <w:hideMark/>
          </w:tcPr>
          <w:p w14:paraId="72CAFAB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$27,640</w:t>
            </w:r>
          </w:p>
        </w:tc>
        <w:tc>
          <w:tcPr>
            <w:tcW w:w="1125" w:type="dxa"/>
            <w:noWrap/>
            <w:hideMark/>
          </w:tcPr>
          <w:p w14:paraId="7001BCE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$7,801</w:t>
            </w:r>
          </w:p>
        </w:tc>
      </w:tr>
      <w:tr w:rsidR="00F17BF1" w:rsidRPr="002246ED" w14:paraId="3E1721FB" w14:textId="77777777" w:rsidTr="002246ED">
        <w:trPr>
          <w:trHeight w:hRule="exact" w:val="230"/>
        </w:trPr>
        <w:tc>
          <w:tcPr>
            <w:tcW w:w="900" w:type="dxa"/>
            <w:noWrap/>
            <w:hideMark/>
          </w:tcPr>
          <w:p w14:paraId="371DF11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CA</w:t>
            </w:r>
          </w:p>
        </w:tc>
        <w:tc>
          <w:tcPr>
            <w:tcW w:w="1080" w:type="dxa"/>
            <w:noWrap/>
            <w:hideMark/>
          </w:tcPr>
          <w:p w14:paraId="12B7F28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38</w:t>
            </w:r>
          </w:p>
        </w:tc>
        <w:tc>
          <w:tcPr>
            <w:tcW w:w="5400" w:type="dxa"/>
            <w:noWrap/>
            <w:hideMark/>
          </w:tcPr>
          <w:p w14:paraId="35E0DF3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Santa Ynez Tribal Health Clinic</w:t>
            </w:r>
          </w:p>
        </w:tc>
        <w:tc>
          <w:tcPr>
            <w:tcW w:w="1304" w:type="dxa"/>
            <w:noWrap/>
            <w:hideMark/>
          </w:tcPr>
          <w:p w14:paraId="0EE0329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$73,990</w:t>
            </w:r>
          </w:p>
        </w:tc>
        <w:tc>
          <w:tcPr>
            <w:tcW w:w="1216" w:type="dxa"/>
            <w:noWrap/>
            <w:hideMark/>
          </w:tcPr>
          <w:p w14:paraId="4A00F2F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w:t>
            </w:r>
          </w:p>
        </w:tc>
        <w:tc>
          <w:tcPr>
            <w:tcW w:w="1125" w:type="dxa"/>
            <w:noWrap/>
            <w:hideMark/>
          </w:tcPr>
          <w:p w14:paraId="2175C51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$2,396</w:t>
            </w:r>
          </w:p>
        </w:tc>
      </w:tr>
      <w:tr w:rsidR="00F17BF1" w:rsidRPr="002246ED" w14:paraId="4548D7EB" w14:textId="77777777" w:rsidTr="002246ED">
        <w:trPr>
          <w:trHeight w:hRule="exact" w:val="230"/>
        </w:trPr>
        <w:tc>
          <w:tcPr>
            <w:tcW w:w="900" w:type="dxa"/>
            <w:noWrap/>
            <w:hideMark/>
          </w:tcPr>
          <w:p w14:paraId="187F621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CA</w:t>
            </w:r>
          </w:p>
        </w:tc>
        <w:tc>
          <w:tcPr>
            <w:tcW w:w="1080" w:type="dxa"/>
            <w:noWrap/>
            <w:hideMark/>
          </w:tcPr>
          <w:p w14:paraId="69E3DAC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39</w:t>
            </w:r>
          </w:p>
        </w:tc>
        <w:tc>
          <w:tcPr>
            <w:tcW w:w="5400" w:type="dxa"/>
            <w:noWrap/>
            <w:hideMark/>
          </w:tcPr>
          <w:p w14:paraId="654C37B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CA Indian Manpower Consortium, Inc. - North Fork,</w:t>
            </w:r>
          </w:p>
        </w:tc>
        <w:tc>
          <w:tcPr>
            <w:tcW w:w="1304" w:type="dxa"/>
            <w:noWrap/>
            <w:hideMark/>
          </w:tcPr>
          <w:p w14:paraId="38024F4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$73,990</w:t>
            </w:r>
          </w:p>
        </w:tc>
        <w:tc>
          <w:tcPr>
            <w:tcW w:w="1216" w:type="dxa"/>
            <w:noWrap/>
            <w:hideMark/>
          </w:tcPr>
          <w:p w14:paraId="4BA7606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$13,820</w:t>
            </w:r>
          </w:p>
        </w:tc>
        <w:tc>
          <w:tcPr>
            <w:tcW w:w="1125" w:type="dxa"/>
            <w:noWrap/>
            <w:hideMark/>
          </w:tcPr>
          <w:p w14:paraId="6F2A4FE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$6,088</w:t>
            </w:r>
          </w:p>
        </w:tc>
      </w:tr>
      <w:tr w:rsidR="00F17BF1" w:rsidRPr="002246ED" w14:paraId="51BBF6DE" w14:textId="77777777" w:rsidTr="002246ED">
        <w:trPr>
          <w:trHeight w:hRule="exact" w:val="230"/>
        </w:trPr>
        <w:tc>
          <w:tcPr>
            <w:tcW w:w="900" w:type="dxa"/>
            <w:noWrap/>
            <w:hideMark/>
          </w:tcPr>
          <w:p w14:paraId="16901B6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CA</w:t>
            </w:r>
          </w:p>
        </w:tc>
        <w:tc>
          <w:tcPr>
            <w:tcW w:w="1080" w:type="dxa"/>
            <w:noWrap/>
            <w:hideMark/>
          </w:tcPr>
          <w:p w14:paraId="3179024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40</w:t>
            </w:r>
          </w:p>
        </w:tc>
        <w:tc>
          <w:tcPr>
            <w:tcW w:w="5400" w:type="dxa"/>
            <w:noWrap/>
            <w:hideMark/>
          </w:tcPr>
          <w:p w14:paraId="0A5879C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CA Indian Manpower Consortium, Inc. - Robinson,</w:t>
            </w:r>
          </w:p>
        </w:tc>
        <w:tc>
          <w:tcPr>
            <w:tcW w:w="1304" w:type="dxa"/>
            <w:noWrap/>
            <w:hideMark/>
          </w:tcPr>
          <w:p w14:paraId="7F441B3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$73,990</w:t>
            </w:r>
          </w:p>
        </w:tc>
        <w:tc>
          <w:tcPr>
            <w:tcW w:w="1216" w:type="dxa"/>
            <w:noWrap/>
            <w:hideMark/>
          </w:tcPr>
          <w:p w14:paraId="72D5AE2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$13,820</w:t>
            </w:r>
          </w:p>
        </w:tc>
        <w:tc>
          <w:tcPr>
            <w:tcW w:w="1125" w:type="dxa"/>
            <w:noWrap/>
            <w:hideMark/>
          </w:tcPr>
          <w:p w14:paraId="0A86000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$4,290</w:t>
            </w:r>
          </w:p>
        </w:tc>
      </w:tr>
      <w:tr w:rsidR="00F17BF1" w:rsidRPr="002246ED" w14:paraId="6EEAEC86" w14:textId="77777777" w:rsidTr="002246ED">
        <w:trPr>
          <w:trHeight w:hRule="exact" w:val="230"/>
        </w:trPr>
        <w:tc>
          <w:tcPr>
            <w:tcW w:w="900" w:type="dxa"/>
            <w:noWrap/>
            <w:hideMark/>
          </w:tcPr>
          <w:p w14:paraId="32FA72D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CA</w:t>
            </w:r>
          </w:p>
        </w:tc>
        <w:tc>
          <w:tcPr>
            <w:tcW w:w="1080" w:type="dxa"/>
            <w:noWrap/>
            <w:hideMark/>
          </w:tcPr>
          <w:p w14:paraId="4D13C9C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41</w:t>
            </w:r>
          </w:p>
        </w:tc>
        <w:tc>
          <w:tcPr>
            <w:tcW w:w="5400" w:type="dxa"/>
            <w:noWrap/>
            <w:hideMark/>
          </w:tcPr>
          <w:p w14:paraId="0B30382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Wilton Rancheria</w:t>
            </w:r>
          </w:p>
        </w:tc>
        <w:tc>
          <w:tcPr>
            <w:tcW w:w="1304" w:type="dxa"/>
            <w:noWrap/>
            <w:hideMark/>
          </w:tcPr>
          <w:p w14:paraId="53E5E7E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$73,990</w:t>
            </w:r>
          </w:p>
        </w:tc>
        <w:tc>
          <w:tcPr>
            <w:tcW w:w="1216" w:type="dxa"/>
            <w:noWrap/>
            <w:hideMark/>
          </w:tcPr>
          <w:p w14:paraId="35FDB52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w:t>
            </w:r>
          </w:p>
        </w:tc>
        <w:tc>
          <w:tcPr>
            <w:tcW w:w="1125" w:type="dxa"/>
            <w:noWrap/>
            <w:hideMark/>
          </w:tcPr>
          <w:p w14:paraId="611B49C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$2,802</w:t>
            </w:r>
          </w:p>
        </w:tc>
      </w:tr>
      <w:tr w:rsidR="00F17BF1" w:rsidRPr="002246ED" w14:paraId="5A78B6EE" w14:textId="77777777" w:rsidTr="002246ED">
        <w:trPr>
          <w:trHeight w:hRule="exact" w:val="230"/>
        </w:trPr>
        <w:tc>
          <w:tcPr>
            <w:tcW w:w="900" w:type="dxa"/>
            <w:noWrap/>
            <w:hideMark/>
          </w:tcPr>
          <w:p w14:paraId="4580D39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CA</w:t>
            </w:r>
          </w:p>
        </w:tc>
        <w:tc>
          <w:tcPr>
            <w:tcW w:w="1080" w:type="dxa"/>
            <w:noWrap/>
            <w:hideMark/>
          </w:tcPr>
          <w:p w14:paraId="7A41BB3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42</w:t>
            </w:r>
          </w:p>
        </w:tc>
        <w:tc>
          <w:tcPr>
            <w:tcW w:w="5400" w:type="dxa"/>
            <w:noWrap/>
            <w:hideMark/>
          </w:tcPr>
          <w:p w14:paraId="46B72C4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Wiyot Tribe</w:t>
            </w:r>
          </w:p>
        </w:tc>
        <w:tc>
          <w:tcPr>
            <w:tcW w:w="1304" w:type="dxa"/>
            <w:noWrap/>
            <w:hideMark/>
          </w:tcPr>
          <w:p w14:paraId="7C29915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61BA1E6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hideMark/>
          </w:tcPr>
          <w:p w14:paraId="3C2E622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$13,134</w:t>
            </w:r>
          </w:p>
        </w:tc>
      </w:tr>
      <w:tr w:rsidR="00F17BF1" w:rsidRPr="002246ED" w14:paraId="20A3F0D7" w14:textId="77777777" w:rsidTr="002246ED">
        <w:trPr>
          <w:trHeight w:hRule="exact" w:val="230"/>
        </w:trPr>
        <w:tc>
          <w:tcPr>
            <w:tcW w:w="900" w:type="dxa"/>
            <w:noWrap/>
            <w:hideMark/>
          </w:tcPr>
          <w:p w14:paraId="640EA1D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080" w:type="dxa"/>
            <w:noWrap/>
            <w:hideMark/>
          </w:tcPr>
          <w:p w14:paraId="2063F66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5400" w:type="dxa"/>
            <w:noWrap/>
            <w:hideMark/>
          </w:tcPr>
          <w:p w14:paraId="35F158F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304" w:type="dxa"/>
            <w:noWrap/>
            <w:hideMark/>
          </w:tcPr>
          <w:p w14:paraId="06EFADE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$2,808,860</w:t>
            </w:r>
          </w:p>
        </w:tc>
        <w:tc>
          <w:tcPr>
            <w:tcW w:w="1216" w:type="dxa"/>
            <w:noWrap/>
            <w:hideMark/>
          </w:tcPr>
          <w:p w14:paraId="33EEBE5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$525,180</w:t>
            </w:r>
          </w:p>
        </w:tc>
        <w:tc>
          <w:tcPr>
            <w:tcW w:w="1125" w:type="dxa"/>
            <w:noWrap/>
            <w:hideMark/>
          </w:tcPr>
          <w:p w14:paraId="690930D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$264,823</w:t>
            </w:r>
          </w:p>
        </w:tc>
      </w:tr>
      <w:tr w:rsidR="00F17BF1" w:rsidRPr="002246ED" w14:paraId="2A133A87" w14:textId="77777777" w:rsidTr="002246ED">
        <w:trPr>
          <w:trHeight w:hRule="exact" w:val="230"/>
        </w:trPr>
        <w:tc>
          <w:tcPr>
            <w:tcW w:w="900" w:type="dxa"/>
            <w:noWrap/>
            <w:hideMark/>
          </w:tcPr>
          <w:p w14:paraId="4C5B332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CO</w:t>
            </w:r>
          </w:p>
        </w:tc>
        <w:tc>
          <w:tcPr>
            <w:tcW w:w="1080" w:type="dxa"/>
            <w:noWrap/>
            <w:hideMark/>
          </w:tcPr>
          <w:p w14:paraId="61C76C1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01</w:t>
            </w:r>
          </w:p>
        </w:tc>
        <w:tc>
          <w:tcPr>
            <w:tcW w:w="5400" w:type="dxa"/>
            <w:noWrap/>
            <w:hideMark/>
          </w:tcPr>
          <w:p w14:paraId="3A89816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Southern Ute Indian Tribe</w:t>
            </w:r>
          </w:p>
        </w:tc>
        <w:tc>
          <w:tcPr>
            <w:tcW w:w="1304" w:type="dxa"/>
            <w:noWrap/>
            <w:hideMark/>
          </w:tcPr>
          <w:p w14:paraId="4836DD6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$95,340</w:t>
            </w:r>
          </w:p>
        </w:tc>
        <w:tc>
          <w:tcPr>
            <w:tcW w:w="1216" w:type="dxa"/>
            <w:noWrap/>
            <w:hideMark/>
          </w:tcPr>
          <w:p w14:paraId="7BD7C79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$27,640</w:t>
            </w:r>
          </w:p>
        </w:tc>
        <w:tc>
          <w:tcPr>
            <w:tcW w:w="1125" w:type="dxa"/>
            <w:noWrap/>
            <w:hideMark/>
          </w:tcPr>
          <w:p w14:paraId="20103D7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$6,255</w:t>
            </w:r>
          </w:p>
        </w:tc>
      </w:tr>
      <w:tr w:rsidR="00F17BF1" w:rsidRPr="002246ED" w14:paraId="4F9F09D7" w14:textId="77777777" w:rsidTr="002246ED">
        <w:trPr>
          <w:trHeight w:hRule="exact" w:val="230"/>
        </w:trPr>
        <w:tc>
          <w:tcPr>
            <w:tcW w:w="900" w:type="dxa"/>
            <w:noWrap/>
            <w:hideMark/>
          </w:tcPr>
          <w:p w14:paraId="3EB9124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CO</w:t>
            </w:r>
          </w:p>
        </w:tc>
        <w:tc>
          <w:tcPr>
            <w:tcW w:w="1080" w:type="dxa"/>
            <w:noWrap/>
            <w:hideMark/>
          </w:tcPr>
          <w:p w14:paraId="5CFF015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02</w:t>
            </w:r>
          </w:p>
        </w:tc>
        <w:tc>
          <w:tcPr>
            <w:tcW w:w="5400" w:type="dxa"/>
            <w:noWrap/>
            <w:hideMark/>
          </w:tcPr>
          <w:p w14:paraId="3DE32E6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Ute Mountain Ute Tribe</w:t>
            </w:r>
          </w:p>
        </w:tc>
        <w:tc>
          <w:tcPr>
            <w:tcW w:w="1304" w:type="dxa"/>
            <w:noWrap/>
            <w:hideMark/>
          </w:tcPr>
          <w:p w14:paraId="4F77664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329AA0B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w:t>
            </w:r>
          </w:p>
        </w:tc>
        <w:tc>
          <w:tcPr>
            <w:tcW w:w="1125" w:type="dxa"/>
            <w:noWrap/>
            <w:hideMark/>
          </w:tcPr>
          <w:p w14:paraId="71150CF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$16,412</w:t>
            </w:r>
          </w:p>
        </w:tc>
      </w:tr>
      <w:tr w:rsidR="00F17BF1" w:rsidRPr="002246ED" w14:paraId="5FEC2CAC" w14:textId="77777777" w:rsidTr="002246ED">
        <w:trPr>
          <w:trHeight w:hRule="exact" w:val="230"/>
        </w:trPr>
        <w:tc>
          <w:tcPr>
            <w:tcW w:w="900" w:type="dxa"/>
            <w:noWrap/>
            <w:hideMark/>
          </w:tcPr>
          <w:p w14:paraId="23495A3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080" w:type="dxa"/>
            <w:noWrap/>
            <w:hideMark/>
          </w:tcPr>
          <w:p w14:paraId="5017CDE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5400" w:type="dxa"/>
            <w:noWrap/>
            <w:hideMark/>
          </w:tcPr>
          <w:p w14:paraId="3C42AE1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304" w:type="dxa"/>
            <w:noWrap/>
            <w:hideMark/>
          </w:tcPr>
          <w:p w14:paraId="651CC73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$179,300</w:t>
            </w:r>
          </w:p>
        </w:tc>
        <w:tc>
          <w:tcPr>
            <w:tcW w:w="1216" w:type="dxa"/>
            <w:noWrap/>
            <w:hideMark/>
          </w:tcPr>
          <w:p w14:paraId="1C14AC8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$27,640</w:t>
            </w:r>
          </w:p>
        </w:tc>
        <w:tc>
          <w:tcPr>
            <w:tcW w:w="1125" w:type="dxa"/>
            <w:noWrap/>
            <w:hideMark/>
          </w:tcPr>
          <w:p w14:paraId="602AAAE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$22,667</w:t>
            </w:r>
          </w:p>
        </w:tc>
      </w:tr>
      <w:tr w:rsidR="00F17BF1" w:rsidRPr="002246ED" w14:paraId="4B16DF45" w14:textId="77777777" w:rsidTr="002246ED">
        <w:trPr>
          <w:trHeight w:hRule="exact" w:val="230"/>
        </w:trPr>
        <w:tc>
          <w:tcPr>
            <w:tcW w:w="900" w:type="dxa"/>
            <w:noWrap/>
            <w:hideMark/>
          </w:tcPr>
          <w:p w14:paraId="027AB5E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CT</w:t>
            </w:r>
          </w:p>
        </w:tc>
        <w:tc>
          <w:tcPr>
            <w:tcW w:w="1080" w:type="dxa"/>
            <w:noWrap/>
            <w:hideMark/>
          </w:tcPr>
          <w:p w14:paraId="38A021B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01</w:t>
            </w:r>
          </w:p>
        </w:tc>
        <w:tc>
          <w:tcPr>
            <w:tcW w:w="5400" w:type="dxa"/>
            <w:noWrap/>
            <w:hideMark/>
          </w:tcPr>
          <w:p w14:paraId="723A9DC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Mohegan Tribe of Indians of Connecticut</w:t>
            </w:r>
          </w:p>
        </w:tc>
        <w:tc>
          <w:tcPr>
            <w:tcW w:w="1304" w:type="dxa"/>
            <w:noWrap/>
            <w:hideMark/>
          </w:tcPr>
          <w:p w14:paraId="4DC30D5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4EE4AC9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w:t>
            </w:r>
          </w:p>
        </w:tc>
        <w:tc>
          <w:tcPr>
            <w:tcW w:w="1125" w:type="dxa"/>
            <w:noWrap/>
            <w:hideMark/>
          </w:tcPr>
          <w:p w14:paraId="35BDBD6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$3,027</w:t>
            </w:r>
          </w:p>
        </w:tc>
      </w:tr>
      <w:tr w:rsidR="00F17BF1" w:rsidRPr="002246ED" w14:paraId="7536D0EB" w14:textId="77777777" w:rsidTr="002246ED">
        <w:trPr>
          <w:trHeight w:hRule="exact" w:val="230"/>
        </w:trPr>
        <w:tc>
          <w:tcPr>
            <w:tcW w:w="900" w:type="dxa"/>
            <w:noWrap/>
            <w:hideMark/>
          </w:tcPr>
          <w:p w14:paraId="47803A4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CT</w:t>
            </w:r>
          </w:p>
        </w:tc>
        <w:tc>
          <w:tcPr>
            <w:tcW w:w="1080" w:type="dxa"/>
            <w:noWrap/>
            <w:hideMark/>
          </w:tcPr>
          <w:p w14:paraId="1D4871F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02</w:t>
            </w:r>
          </w:p>
        </w:tc>
        <w:tc>
          <w:tcPr>
            <w:tcW w:w="5400" w:type="dxa"/>
            <w:noWrap/>
            <w:hideMark/>
          </w:tcPr>
          <w:p w14:paraId="7F48BEB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Mashantucket Pequot Tribal Nation</w:t>
            </w:r>
          </w:p>
        </w:tc>
        <w:tc>
          <w:tcPr>
            <w:tcW w:w="1304" w:type="dxa"/>
            <w:noWrap/>
            <w:hideMark/>
          </w:tcPr>
          <w:p w14:paraId="24CA205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$73,990</w:t>
            </w:r>
          </w:p>
        </w:tc>
        <w:tc>
          <w:tcPr>
            <w:tcW w:w="1216" w:type="dxa"/>
            <w:noWrap/>
            <w:hideMark/>
          </w:tcPr>
          <w:p w14:paraId="7948898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w:t>
            </w:r>
          </w:p>
        </w:tc>
        <w:tc>
          <w:tcPr>
            <w:tcW w:w="1125" w:type="dxa"/>
            <w:noWrap/>
            <w:hideMark/>
          </w:tcPr>
          <w:p w14:paraId="6ED179B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$1,358</w:t>
            </w:r>
          </w:p>
        </w:tc>
      </w:tr>
      <w:tr w:rsidR="00F17BF1" w:rsidRPr="002246ED" w14:paraId="364E2D63" w14:textId="77777777" w:rsidTr="002246ED">
        <w:trPr>
          <w:trHeight w:hRule="exact" w:val="230"/>
        </w:trPr>
        <w:tc>
          <w:tcPr>
            <w:tcW w:w="900" w:type="dxa"/>
            <w:noWrap/>
            <w:hideMark/>
          </w:tcPr>
          <w:p w14:paraId="52F9C22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080" w:type="dxa"/>
            <w:noWrap/>
            <w:hideMark/>
          </w:tcPr>
          <w:p w14:paraId="529B2D7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5400" w:type="dxa"/>
            <w:noWrap/>
            <w:hideMark/>
          </w:tcPr>
          <w:p w14:paraId="262BDE0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304" w:type="dxa"/>
            <w:noWrap/>
            <w:hideMark/>
          </w:tcPr>
          <w:p w14:paraId="7BF1D4C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$157,950</w:t>
            </w:r>
          </w:p>
        </w:tc>
        <w:tc>
          <w:tcPr>
            <w:tcW w:w="1216" w:type="dxa"/>
            <w:noWrap/>
            <w:hideMark/>
          </w:tcPr>
          <w:p w14:paraId="077C205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$0</w:t>
            </w:r>
          </w:p>
        </w:tc>
        <w:tc>
          <w:tcPr>
            <w:tcW w:w="1125" w:type="dxa"/>
            <w:noWrap/>
            <w:hideMark/>
          </w:tcPr>
          <w:p w14:paraId="3FF1B23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$4,385</w:t>
            </w:r>
          </w:p>
        </w:tc>
      </w:tr>
      <w:tr w:rsidR="00F17BF1" w:rsidRPr="002246ED" w14:paraId="407B7B0F" w14:textId="77777777" w:rsidTr="002246ED">
        <w:trPr>
          <w:trHeight w:hRule="exact" w:val="230"/>
        </w:trPr>
        <w:tc>
          <w:tcPr>
            <w:tcW w:w="900" w:type="dxa"/>
            <w:noWrap/>
            <w:hideMark/>
          </w:tcPr>
          <w:p w14:paraId="7030072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HI</w:t>
            </w:r>
          </w:p>
        </w:tc>
        <w:tc>
          <w:tcPr>
            <w:tcW w:w="1080" w:type="dxa"/>
            <w:noWrap/>
            <w:hideMark/>
          </w:tcPr>
          <w:p w14:paraId="7D8F5B5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01</w:t>
            </w:r>
          </w:p>
        </w:tc>
        <w:tc>
          <w:tcPr>
            <w:tcW w:w="5400" w:type="dxa"/>
            <w:noWrap/>
            <w:hideMark/>
          </w:tcPr>
          <w:p w14:paraId="7FB0730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Alu Like, Inc.</w:t>
            </w:r>
          </w:p>
        </w:tc>
        <w:tc>
          <w:tcPr>
            <w:tcW w:w="1304" w:type="dxa"/>
            <w:noWrap/>
            <w:hideMark/>
          </w:tcPr>
          <w:p w14:paraId="2F39733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$1,505,000</w:t>
            </w:r>
          </w:p>
        </w:tc>
        <w:tc>
          <w:tcPr>
            <w:tcW w:w="1216" w:type="dxa"/>
            <w:noWrap/>
            <w:hideMark/>
          </w:tcPr>
          <w:p w14:paraId="4A06BEB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$55,280</w:t>
            </w:r>
          </w:p>
        </w:tc>
        <w:tc>
          <w:tcPr>
            <w:tcW w:w="1125" w:type="dxa"/>
            <w:noWrap/>
            <w:hideMark/>
          </w:tcPr>
          <w:p w14:paraId="7FCEED8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$31,313</w:t>
            </w:r>
          </w:p>
        </w:tc>
      </w:tr>
      <w:tr w:rsidR="00F17BF1" w:rsidRPr="002246ED" w14:paraId="22E701AE" w14:textId="77777777" w:rsidTr="002246ED">
        <w:trPr>
          <w:trHeight w:hRule="exact" w:val="230"/>
        </w:trPr>
        <w:tc>
          <w:tcPr>
            <w:tcW w:w="900" w:type="dxa"/>
            <w:noWrap/>
            <w:hideMark/>
          </w:tcPr>
          <w:p w14:paraId="5C2CC3A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080" w:type="dxa"/>
            <w:noWrap/>
            <w:hideMark/>
          </w:tcPr>
          <w:p w14:paraId="3C5A589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5400" w:type="dxa"/>
            <w:noWrap/>
            <w:hideMark/>
          </w:tcPr>
          <w:p w14:paraId="7104CBC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304" w:type="dxa"/>
            <w:noWrap/>
            <w:hideMark/>
          </w:tcPr>
          <w:p w14:paraId="6009887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$1,505,000</w:t>
            </w:r>
          </w:p>
        </w:tc>
        <w:tc>
          <w:tcPr>
            <w:tcW w:w="1216" w:type="dxa"/>
            <w:noWrap/>
            <w:hideMark/>
          </w:tcPr>
          <w:p w14:paraId="68C5706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$55,280</w:t>
            </w:r>
          </w:p>
        </w:tc>
        <w:tc>
          <w:tcPr>
            <w:tcW w:w="1125" w:type="dxa"/>
            <w:noWrap/>
            <w:hideMark/>
          </w:tcPr>
          <w:p w14:paraId="7975450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$31,313</w:t>
            </w:r>
          </w:p>
        </w:tc>
      </w:tr>
      <w:tr w:rsidR="00F17BF1" w:rsidRPr="002246ED" w14:paraId="1F2A2F41" w14:textId="77777777" w:rsidTr="002246ED">
        <w:trPr>
          <w:trHeight w:hRule="exact" w:val="230"/>
        </w:trPr>
        <w:tc>
          <w:tcPr>
            <w:tcW w:w="900" w:type="dxa"/>
            <w:noWrap/>
            <w:hideMark/>
          </w:tcPr>
          <w:p w14:paraId="133830B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IA</w:t>
            </w:r>
          </w:p>
        </w:tc>
        <w:tc>
          <w:tcPr>
            <w:tcW w:w="1080" w:type="dxa"/>
            <w:noWrap/>
            <w:hideMark/>
          </w:tcPr>
          <w:p w14:paraId="6DB2121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01</w:t>
            </w:r>
          </w:p>
        </w:tc>
        <w:tc>
          <w:tcPr>
            <w:tcW w:w="5400" w:type="dxa"/>
            <w:noWrap/>
            <w:hideMark/>
          </w:tcPr>
          <w:p w14:paraId="636D7B0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Sac &amp; Fox Tribe of the Mississippi in Iowa</w:t>
            </w:r>
          </w:p>
        </w:tc>
        <w:tc>
          <w:tcPr>
            <w:tcW w:w="1304" w:type="dxa"/>
            <w:noWrap/>
            <w:hideMark/>
          </w:tcPr>
          <w:p w14:paraId="7A15F16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36DA837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hideMark/>
          </w:tcPr>
          <w:p w14:paraId="77F222B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$9,193</w:t>
            </w:r>
          </w:p>
        </w:tc>
      </w:tr>
      <w:tr w:rsidR="00F17BF1" w:rsidRPr="002246ED" w14:paraId="60F825AE" w14:textId="77777777" w:rsidTr="002246ED">
        <w:trPr>
          <w:trHeight w:hRule="exact" w:val="230"/>
        </w:trPr>
        <w:tc>
          <w:tcPr>
            <w:tcW w:w="900" w:type="dxa"/>
            <w:noWrap/>
            <w:hideMark/>
          </w:tcPr>
          <w:p w14:paraId="30639EC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080" w:type="dxa"/>
            <w:noWrap/>
            <w:hideMark/>
          </w:tcPr>
          <w:p w14:paraId="78CE89F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5400" w:type="dxa"/>
            <w:noWrap/>
            <w:hideMark/>
          </w:tcPr>
          <w:p w14:paraId="26907F0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304" w:type="dxa"/>
            <w:noWrap/>
            <w:hideMark/>
          </w:tcPr>
          <w:p w14:paraId="1065505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$83,960</w:t>
            </w:r>
          </w:p>
        </w:tc>
        <w:tc>
          <w:tcPr>
            <w:tcW w:w="1216" w:type="dxa"/>
            <w:noWrap/>
            <w:hideMark/>
          </w:tcPr>
          <w:p w14:paraId="19C6C5B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$20,730</w:t>
            </w:r>
          </w:p>
        </w:tc>
        <w:tc>
          <w:tcPr>
            <w:tcW w:w="1125" w:type="dxa"/>
            <w:noWrap/>
            <w:hideMark/>
          </w:tcPr>
          <w:p w14:paraId="799B96E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$9,193</w:t>
            </w:r>
          </w:p>
        </w:tc>
      </w:tr>
      <w:tr w:rsidR="00F17BF1" w:rsidRPr="002246ED" w14:paraId="4E51E552" w14:textId="77777777" w:rsidTr="002246ED">
        <w:trPr>
          <w:trHeight w:hRule="exact" w:val="230"/>
        </w:trPr>
        <w:tc>
          <w:tcPr>
            <w:tcW w:w="900" w:type="dxa"/>
            <w:noWrap/>
            <w:hideMark/>
          </w:tcPr>
          <w:p w14:paraId="2ACA6C7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ID</w:t>
            </w:r>
          </w:p>
        </w:tc>
        <w:tc>
          <w:tcPr>
            <w:tcW w:w="1080" w:type="dxa"/>
            <w:noWrap/>
            <w:hideMark/>
          </w:tcPr>
          <w:p w14:paraId="32AED19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01</w:t>
            </w:r>
          </w:p>
        </w:tc>
        <w:tc>
          <w:tcPr>
            <w:tcW w:w="5400" w:type="dxa"/>
            <w:noWrap/>
            <w:hideMark/>
          </w:tcPr>
          <w:p w14:paraId="77AA691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Coeur d'Alene Tribe</w:t>
            </w:r>
          </w:p>
        </w:tc>
        <w:tc>
          <w:tcPr>
            <w:tcW w:w="1304" w:type="dxa"/>
            <w:noWrap/>
            <w:hideMark/>
          </w:tcPr>
          <w:p w14:paraId="5F8E60C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7423D92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hideMark/>
          </w:tcPr>
          <w:p w14:paraId="1E4EC11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$18,952</w:t>
            </w:r>
          </w:p>
        </w:tc>
      </w:tr>
      <w:tr w:rsidR="00F17BF1" w:rsidRPr="002246ED" w14:paraId="446463D8" w14:textId="77777777" w:rsidTr="002246ED">
        <w:trPr>
          <w:trHeight w:hRule="exact" w:val="230"/>
        </w:trPr>
        <w:tc>
          <w:tcPr>
            <w:tcW w:w="900" w:type="dxa"/>
            <w:noWrap/>
            <w:hideMark/>
          </w:tcPr>
          <w:p w14:paraId="36D7587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ID</w:t>
            </w:r>
          </w:p>
        </w:tc>
        <w:tc>
          <w:tcPr>
            <w:tcW w:w="1080" w:type="dxa"/>
            <w:noWrap/>
            <w:hideMark/>
          </w:tcPr>
          <w:p w14:paraId="7E690F9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02</w:t>
            </w:r>
          </w:p>
        </w:tc>
        <w:tc>
          <w:tcPr>
            <w:tcW w:w="5400" w:type="dxa"/>
            <w:noWrap/>
            <w:hideMark/>
          </w:tcPr>
          <w:p w14:paraId="1F86F4B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Nez Perce Tribe</w:t>
            </w:r>
          </w:p>
        </w:tc>
        <w:tc>
          <w:tcPr>
            <w:tcW w:w="1304" w:type="dxa"/>
            <w:noWrap/>
            <w:hideMark/>
          </w:tcPr>
          <w:p w14:paraId="1766A51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$137,640</w:t>
            </w:r>
          </w:p>
        </w:tc>
        <w:tc>
          <w:tcPr>
            <w:tcW w:w="1216" w:type="dxa"/>
            <w:noWrap/>
            <w:hideMark/>
          </w:tcPr>
          <w:p w14:paraId="57D814F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$48,380</w:t>
            </w:r>
          </w:p>
        </w:tc>
        <w:tc>
          <w:tcPr>
            <w:tcW w:w="1125" w:type="dxa"/>
            <w:noWrap/>
            <w:hideMark/>
          </w:tcPr>
          <w:p w14:paraId="17A8DE4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$28,035</w:t>
            </w:r>
          </w:p>
        </w:tc>
      </w:tr>
      <w:tr w:rsidR="00F17BF1" w:rsidRPr="002246ED" w14:paraId="679FFAF1" w14:textId="77777777" w:rsidTr="002246ED">
        <w:trPr>
          <w:trHeight w:hRule="exact" w:val="230"/>
        </w:trPr>
        <w:tc>
          <w:tcPr>
            <w:tcW w:w="900" w:type="dxa"/>
            <w:noWrap/>
            <w:hideMark/>
          </w:tcPr>
          <w:p w14:paraId="5A5740B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ID</w:t>
            </w:r>
          </w:p>
        </w:tc>
        <w:tc>
          <w:tcPr>
            <w:tcW w:w="1080" w:type="dxa"/>
            <w:noWrap/>
            <w:hideMark/>
          </w:tcPr>
          <w:p w14:paraId="60599D5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03</w:t>
            </w:r>
          </w:p>
        </w:tc>
        <w:tc>
          <w:tcPr>
            <w:tcW w:w="5400" w:type="dxa"/>
            <w:noWrap/>
            <w:hideMark/>
          </w:tcPr>
          <w:p w14:paraId="68F6FB8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Shoshone-Bannock Tribes</w:t>
            </w:r>
          </w:p>
        </w:tc>
        <w:tc>
          <w:tcPr>
            <w:tcW w:w="1304" w:type="dxa"/>
            <w:noWrap/>
            <w:hideMark/>
          </w:tcPr>
          <w:p w14:paraId="661C8F2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$118,820</w:t>
            </w:r>
          </w:p>
        </w:tc>
        <w:tc>
          <w:tcPr>
            <w:tcW w:w="1216" w:type="dxa"/>
            <w:noWrap/>
            <w:hideMark/>
          </w:tcPr>
          <w:p w14:paraId="70ADE4C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$41,470</w:t>
            </w:r>
          </w:p>
        </w:tc>
        <w:tc>
          <w:tcPr>
            <w:tcW w:w="1125" w:type="dxa"/>
            <w:noWrap/>
            <w:hideMark/>
          </w:tcPr>
          <w:p w14:paraId="5A2F676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$20,488</w:t>
            </w:r>
          </w:p>
        </w:tc>
      </w:tr>
      <w:tr w:rsidR="00F17BF1" w:rsidRPr="002246ED" w14:paraId="702F44EB" w14:textId="77777777" w:rsidTr="002246ED">
        <w:trPr>
          <w:trHeight w:hRule="exact" w:val="230"/>
        </w:trPr>
        <w:tc>
          <w:tcPr>
            <w:tcW w:w="900" w:type="dxa"/>
            <w:noWrap/>
            <w:hideMark/>
          </w:tcPr>
          <w:p w14:paraId="7F6AE5C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080" w:type="dxa"/>
            <w:noWrap/>
            <w:hideMark/>
          </w:tcPr>
          <w:p w14:paraId="42FE41F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5400" w:type="dxa"/>
            <w:noWrap/>
            <w:hideMark/>
          </w:tcPr>
          <w:p w14:paraId="2F36450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304" w:type="dxa"/>
            <w:noWrap/>
            <w:hideMark/>
          </w:tcPr>
          <w:p w14:paraId="5002E74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$340,420</w:t>
            </w:r>
          </w:p>
        </w:tc>
        <w:tc>
          <w:tcPr>
            <w:tcW w:w="1216" w:type="dxa"/>
            <w:noWrap/>
            <w:hideMark/>
          </w:tcPr>
          <w:p w14:paraId="1A6F381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$110,580</w:t>
            </w:r>
          </w:p>
        </w:tc>
        <w:tc>
          <w:tcPr>
            <w:tcW w:w="1125" w:type="dxa"/>
            <w:noWrap/>
            <w:hideMark/>
          </w:tcPr>
          <w:p w14:paraId="37C7345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$67,475</w:t>
            </w:r>
          </w:p>
        </w:tc>
      </w:tr>
      <w:tr w:rsidR="00F17BF1" w:rsidRPr="002246ED" w14:paraId="02BD07B7" w14:textId="77777777" w:rsidTr="002246ED">
        <w:trPr>
          <w:trHeight w:hRule="exact" w:val="230"/>
        </w:trPr>
        <w:tc>
          <w:tcPr>
            <w:tcW w:w="900" w:type="dxa"/>
            <w:noWrap/>
            <w:hideMark/>
          </w:tcPr>
          <w:p w14:paraId="6073D35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KS</w:t>
            </w:r>
          </w:p>
        </w:tc>
        <w:tc>
          <w:tcPr>
            <w:tcW w:w="1080" w:type="dxa"/>
            <w:noWrap/>
            <w:hideMark/>
          </w:tcPr>
          <w:p w14:paraId="5680C1D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01</w:t>
            </w:r>
          </w:p>
        </w:tc>
        <w:tc>
          <w:tcPr>
            <w:tcW w:w="5400" w:type="dxa"/>
            <w:noWrap/>
            <w:hideMark/>
          </w:tcPr>
          <w:p w14:paraId="24996F9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Kickapoo Tribe in Kansas</w:t>
            </w:r>
          </w:p>
        </w:tc>
        <w:tc>
          <w:tcPr>
            <w:tcW w:w="1304" w:type="dxa"/>
            <w:noWrap/>
            <w:hideMark/>
          </w:tcPr>
          <w:p w14:paraId="2D5B7BF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29B00A8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hideMark/>
          </w:tcPr>
          <w:p w14:paraId="6190955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$9,671</w:t>
            </w:r>
          </w:p>
        </w:tc>
      </w:tr>
      <w:tr w:rsidR="00F17BF1" w:rsidRPr="002246ED" w14:paraId="273E996A" w14:textId="77777777" w:rsidTr="002246ED">
        <w:trPr>
          <w:trHeight w:hRule="exact" w:val="230"/>
        </w:trPr>
        <w:tc>
          <w:tcPr>
            <w:tcW w:w="900" w:type="dxa"/>
            <w:noWrap/>
            <w:hideMark/>
          </w:tcPr>
          <w:p w14:paraId="28DDAF4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KS</w:t>
            </w:r>
          </w:p>
        </w:tc>
        <w:tc>
          <w:tcPr>
            <w:tcW w:w="1080" w:type="dxa"/>
            <w:noWrap/>
            <w:hideMark/>
          </w:tcPr>
          <w:p w14:paraId="5B9B032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02</w:t>
            </w:r>
          </w:p>
        </w:tc>
        <w:tc>
          <w:tcPr>
            <w:tcW w:w="5400" w:type="dxa"/>
            <w:noWrap/>
            <w:hideMark/>
          </w:tcPr>
          <w:p w14:paraId="64D5BCE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Prairie Band Potawatomi Nation</w:t>
            </w:r>
          </w:p>
        </w:tc>
        <w:tc>
          <w:tcPr>
            <w:tcW w:w="1304" w:type="dxa"/>
            <w:noWrap/>
            <w:hideMark/>
          </w:tcPr>
          <w:p w14:paraId="76BC9E7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$95,340</w:t>
            </w:r>
          </w:p>
        </w:tc>
        <w:tc>
          <w:tcPr>
            <w:tcW w:w="1216" w:type="dxa"/>
            <w:noWrap/>
            <w:hideMark/>
          </w:tcPr>
          <w:p w14:paraId="3D173B8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$27,640</w:t>
            </w:r>
          </w:p>
        </w:tc>
        <w:tc>
          <w:tcPr>
            <w:tcW w:w="1125" w:type="dxa"/>
            <w:noWrap/>
            <w:hideMark/>
          </w:tcPr>
          <w:p w14:paraId="3F547CA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$28,885</w:t>
            </w:r>
          </w:p>
        </w:tc>
      </w:tr>
      <w:tr w:rsidR="00F17BF1" w:rsidRPr="002246ED" w14:paraId="66E5628F" w14:textId="77777777" w:rsidTr="002246ED">
        <w:trPr>
          <w:trHeight w:hRule="exact" w:val="230"/>
        </w:trPr>
        <w:tc>
          <w:tcPr>
            <w:tcW w:w="900" w:type="dxa"/>
            <w:noWrap/>
            <w:hideMark/>
          </w:tcPr>
          <w:p w14:paraId="2790385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KS</w:t>
            </w:r>
          </w:p>
        </w:tc>
        <w:tc>
          <w:tcPr>
            <w:tcW w:w="1080" w:type="dxa"/>
            <w:noWrap/>
            <w:hideMark/>
          </w:tcPr>
          <w:p w14:paraId="62CD803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03</w:t>
            </w:r>
          </w:p>
        </w:tc>
        <w:tc>
          <w:tcPr>
            <w:tcW w:w="5400" w:type="dxa"/>
            <w:noWrap/>
            <w:hideMark/>
          </w:tcPr>
          <w:p w14:paraId="00BBF94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Iowa Tribe of Kansas and Nebraska</w:t>
            </w:r>
          </w:p>
        </w:tc>
        <w:tc>
          <w:tcPr>
            <w:tcW w:w="1304" w:type="dxa"/>
            <w:noWrap/>
            <w:hideMark/>
          </w:tcPr>
          <w:p w14:paraId="4656B69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$73,990</w:t>
            </w:r>
          </w:p>
        </w:tc>
        <w:tc>
          <w:tcPr>
            <w:tcW w:w="1216" w:type="dxa"/>
            <w:noWrap/>
            <w:hideMark/>
          </w:tcPr>
          <w:p w14:paraId="07A88A1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$13,820</w:t>
            </w:r>
          </w:p>
        </w:tc>
        <w:tc>
          <w:tcPr>
            <w:tcW w:w="1125" w:type="dxa"/>
            <w:noWrap/>
            <w:hideMark/>
          </w:tcPr>
          <w:p w14:paraId="67C7611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$6,698</w:t>
            </w:r>
          </w:p>
        </w:tc>
      </w:tr>
      <w:tr w:rsidR="00F17BF1" w:rsidRPr="002246ED" w14:paraId="04A86E6F" w14:textId="77777777" w:rsidTr="002246ED">
        <w:trPr>
          <w:trHeight w:hRule="exact" w:val="230"/>
        </w:trPr>
        <w:tc>
          <w:tcPr>
            <w:tcW w:w="900" w:type="dxa"/>
            <w:noWrap/>
            <w:hideMark/>
          </w:tcPr>
          <w:p w14:paraId="0902FDA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080" w:type="dxa"/>
            <w:noWrap/>
            <w:hideMark/>
          </w:tcPr>
          <w:p w14:paraId="52CA23F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5400" w:type="dxa"/>
            <w:noWrap/>
            <w:hideMark/>
          </w:tcPr>
          <w:p w14:paraId="2FD1D5C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304" w:type="dxa"/>
            <w:noWrap/>
            <w:hideMark/>
          </w:tcPr>
          <w:p w14:paraId="2003FFF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$253,290</w:t>
            </w:r>
          </w:p>
        </w:tc>
        <w:tc>
          <w:tcPr>
            <w:tcW w:w="1216" w:type="dxa"/>
            <w:noWrap/>
            <w:hideMark/>
          </w:tcPr>
          <w:p w14:paraId="547FDFE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$62,190</w:t>
            </w:r>
          </w:p>
        </w:tc>
        <w:tc>
          <w:tcPr>
            <w:tcW w:w="1125" w:type="dxa"/>
            <w:noWrap/>
            <w:hideMark/>
          </w:tcPr>
          <w:p w14:paraId="48BC8E3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$45,254</w:t>
            </w:r>
          </w:p>
        </w:tc>
      </w:tr>
      <w:tr w:rsidR="00F17BF1" w:rsidRPr="002246ED" w14:paraId="34E33294" w14:textId="77777777" w:rsidTr="002246ED">
        <w:trPr>
          <w:trHeight w:hRule="exact" w:val="230"/>
        </w:trPr>
        <w:tc>
          <w:tcPr>
            <w:tcW w:w="900" w:type="dxa"/>
            <w:noWrap/>
            <w:hideMark/>
          </w:tcPr>
          <w:p w14:paraId="4CA1505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LA</w:t>
            </w:r>
          </w:p>
        </w:tc>
        <w:tc>
          <w:tcPr>
            <w:tcW w:w="1080" w:type="dxa"/>
            <w:noWrap/>
            <w:hideMark/>
          </w:tcPr>
          <w:p w14:paraId="6395214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01</w:t>
            </w:r>
          </w:p>
        </w:tc>
        <w:tc>
          <w:tcPr>
            <w:tcW w:w="5400" w:type="dxa"/>
            <w:noWrap/>
            <w:hideMark/>
          </w:tcPr>
          <w:p w14:paraId="6B29A52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Institute for Indian Development, Inc.</w:t>
            </w:r>
          </w:p>
        </w:tc>
        <w:tc>
          <w:tcPr>
            <w:tcW w:w="1304" w:type="dxa"/>
            <w:noWrap/>
            <w:hideMark/>
          </w:tcPr>
          <w:p w14:paraId="37B1FAF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$107,430</w:t>
            </w:r>
          </w:p>
        </w:tc>
        <w:tc>
          <w:tcPr>
            <w:tcW w:w="1216" w:type="dxa"/>
            <w:noWrap/>
            <w:hideMark/>
          </w:tcPr>
          <w:p w14:paraId="41F5FDA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w:t>
            </w:r>
          </w:p>
        </w:tc>
        <w:tc>
          <w:tcPr>
            <w:tcW w:w="1125" w:type="dxa"/>
            <w:noWrap/>
            <w:hideMark/>
          </w:tcPr>
          <w:p w14:paraId="15107EF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$16,418</w:t>
            </w:r>
          </w:p>
        </w:tc>
      </w:tr>
      <w:tr w:rsidR="00F17BF1" w:rsidRPr="002246ED" w14:paraId="6106703B" w14:textId="77777777" w:rsidTr="002246ED">
        <w:trPr>
          <w:trHeight w:hRule="exact" w:val="230"/>
        </w:trPr>
        <w:tc>
          <w:tcPr>
            <w:tcW w:w="900" w:type="dxa"/>
            <w:noWrap/>
            <w:hideMark/>
          </w:tcPr>
          <w:p w14:paraId="0B182CB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080" w:type="dxa"/>
            <w:noWrap/>
            <w:hideMark/>
          </w:tcPr>
          <w:p w14:paraId="3979016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5400" w:type="dxa"/>
            <w:noWrap/>
            <w:hideMark/>
          </w:tcPr>
          <w:p w14:paraId="72370BA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304" w:type="dxa"/>
            <w:noWrap/>
            <w:hideMark/>
          </w:tcPr>
          <w:p w14:paraId="44C7EE7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$107,430</w:t>
            </w:r>
          </w:p>
        </w:tc>
        <w:tc>
          <w:tcPr>
            <w:tcW w:w="1216" w:type="dxa"/>
            <w:noWrap/>
            <w:hideMark/>
          </w:tcPr>
          <w:p w14:paraId="45137C5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$0</w:t>
            </w:r>
          </w:p>
        </w:tc>
        <w:tc>
          <w:tcPr>
            <w:tcW w:w="1125" w:type="dxa"/>
            <w:noWrap/>
            <w:hideMark/>
          </w:tcPr>
          <w:p w14:paraId="1795987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$16,418</w:t>
            </w:r>
          </w:p>
        </w:tc>
      </w:tr>
      <w:tr w:rsidR="00F17BF1" w:rsidRPr="002246ED" w14:paraId="42F8C9BB" w14:textId="77777777" w:rsidTr="002246ED">
        <w:trPr>
          <w:trHeight w:hRule="exact" w:val="230"/>
        </w:trPr>
        <w:tc>
          <w:tcPr>
            <w:tcW w:w="900" w:type="dxa"/>
            <w:noWrap/>
            <w:hideMark/>
          </w:tcPr>
          <w:p w14:paraId="4F0C7C5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MA</w:t>
            </w:r>
          </w:p>
        </w:tc>
        <w:tc>
          <w:tcPr>
            <w:tcW w:w="1080" w:type="dxa"/>
            <w:noWrap/>
            <w:hideMark/>
          </w:tcPr>
          <w:p w14:paraId="2D0A3D6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01</w:t>
            </w:r>
          </w:p>
        </w:tc>
        <w:tc>
          <w:tcPr>
            <w:tcW w:w="5400" w:type="dxa"/>
            <w:noWrap/>
            <w:hideMark/>
          </w:tcPr>
          <w:p w14:paraId="7CE2ED5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Wampanoag Tribe of Gay Head (Aquinnah)</w:t>
            </w:r>
          </w:p>
        </w:tc>
        <w:tc>
          <w:tcPr>
            <w:tcW w:w="1304" w:type="dxa"/>
            <w:noWrap/>
            <w:hideMark/>
          </w:tcPr>
          <w:p w14:paraId="28B8EB2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5922972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hideMark/>
          </w:tcPr>
          <w:p w14:paraId="1F0CA3E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$1,068</w:t>
            </w:r>
          </w:p>
        </w:tc>
      </w:tr>
      <w:tr w:rsidR="00F17BF1" w:rsidRPr="002246ED" w14:paraId="174F8DA4" w14:textId="77777777" w:rsidTr="002246ED">
        <w:trPr>
          <w:trHeight w:hRule="exact" w:val="230"/>
        </w:trPr>
        <w:tc>
          <w:tcPr>
            <w:tcW w:w="900" w:type="dxa"/>
            <w:noWrap/>
            <w:hideMark/>
          </w:tcPr>
          <w:p w14:paraId="5D5FEB9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MA</w:t>
            </w:r>
          </w:p>
        </w:tc>
        <w:tc>
          <w:tcPr>
            <w:tcW w:w="1080" w:type="dxa"/>
            <w:noWrap/>
            <w:hideMark/>
          </w:tcPr>
          <w:p w14:paraId="43DDE5D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02</w:t>
            </w:r>
          </w:p>
        </w:tc>
        <w:tc>
          <w:tcPr>
            <w:tcW w:w="5400" w:type="dxa"/>
            <w:noWrap/>
            <w:hideMark/>
          </w:tcPr>
          <w:p w14:paraId="32C6FE6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Mashpee Wampanoag Tribe</w:t>
            </w:r>
          </w:p>
        </w:tc>
        <w:tc>
          <w:tcPr>
            <w:tcW w:w="1304" w:type="dxa"/>
            <w:noWrap/>
            <w:hideMark/>
          </w:tcPr>
          <w:p w14:paraId="1719E5E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$107,430</w:t>
            </w:r>
          </w:p>
        </w:tc>
        <w:tc>
          <w:tcPr>
            <w:tcW w:w="1216" w:type="dxa"/>
            <w:noWrap/>
            <w:hideMark/>
          </w:tcPr>
          <w:p w14:paraId="57964CE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$34,550</w:t>
            </w:r>
          </w:p>
        </w:tc>
        <w:tc>
          <w:tcPr>
            <w:tcW w:w="1125" w:type="dxa"/>
            <w:noWrap/>
            <w:hideMark/>
          </w:tcPr>
          <w:p w14:paraId="3C11F0C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$3,086</w:t>
            </w:r>
          </w:p>
        </w:tc>
      </w:tr>
      <w:tr w:rsidR="00F17BF1" w:rsidRPr="002246ED" w14:paraId="3868D0E6" w14:textId="77777777" w:rsidTr="002246ED">
        <w:trPr>
          <w:trHeight w:hRule="exact" w:val="230"/>
        </w:trPr>
        <w:tc>
          <w:tcPr>
            <w:tcW w:w="900" w:type="dxa"/>
            <w:noWrap/>
            <w:hideMark/>
          </w:tcPr>
          <w:p w14:paraId="61F983A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080" w:type="dxa"/>
            <w:noWrap/>
            <w:hideMark/>
          </w:tcPr>
          <w:p w14:paraId="3C3C648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5400" w:type="dxa"/>
            <w:noWrap/>
            <w:hideMark/>
          </w:tcPr>
          <w:p w14:paraId="73EA489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304" w:type="dxa"/>
            <w:noWrap/>
            <w:hideMark/>
          </w:tcPr>
          <w:p w14:paraId="7DF0B59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$191,390</w:t>
            </w:r>
          </w:p>
        </w:tc>
        <w:tc>
          <w:tcPr>
            <w:tcW w:w="1216" w:type="dxa"/>
            <w:noWrap/>
            <w:hideMark/>
          </w:tcPr>
          <w:p w14:paraId="1673DDD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$55,280</w:t>
            </w:r>
          </w:p>
        </w:tc>
        <w:tc>
          <w:tcPr>
            <w:tcW w:w="1125" w:type="dxa"/>
            <w:noWrap/>
            <w:hideMark/>
          </w:tcPr>
          <w:p w14:paraId="7612558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$4,154</w:t>
            </w:r>
          </w:p>
        </w:tc>
      </w:tr>
      <w:tr w:rsidR="00F17BF1" w:rsidRPr="002246ED" w14:paraId="347D057C" w14:textId="77777777" w:rsidTr="002246ED">
        <w:trPr>
          <w:trHeight w:hRule="exact" w:val="230"/>
        </w:trPr>
        <w:tc>
          <w:tcPr>
            <w:tcW w:w="900" w:type="dxa"/>
            <w:noWrap/>
            <w:hideMark/>
          </w:tcPr>
          <w:p w14:paraId="2822D6E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ME</w:t>
            </w:r>
          </w:p>
        </w:tc>
        <w:tc>
          <w:tcPr>
            <w:tcW w:w="1080" w:type="dxa"/>
            <w:noWrap/>
            <w:hideMark/>
          </w:tcPr>
          <w:p w14:paraId="5B9B437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01</w:t>
            </w:r>
          </w:p>
        </w:tc>
        <w:tc>
          <w:tcPr>
            <w:tcW w:w="5400" w:type="dxa"/>
            <w:noWrap/>
            <w:hideMark/>
          </w:tcPr>
          <w:p w14:paraId="6E782D7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Pleasant Point Passamaquoddy</w:t>
            </w:r>
          </w:p>
        </w:tc>
        <w:tc>
          <w:tcPr>
            <w:tcW w:w="1304" w:type="dxa"/>
            <w:noWrap/>
            <w:hideMark/>
          </w:tcPr>
          <w:p w14:paraId="1375AE3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$95,340</w:t>
            </w:r>
          </w:p>
        </w:tc>
        <w:tc>
          <w:tcPr>
            <w:tcW w:w="1216" w:type="dxa"/>
            <w:noWrap/>
            <w:hideMark/>
          </w:tcPr>
          <w:p w14:paraId="24A82D7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$27,640</w:t>
            </w:r>
          </w:p>
        </w:tc>
        <w:tc>
          <w:tcPr>
            <w:tcW w:w="1125" w:type="dxa"/>
            <w:noWrap/>
            <w:hideMark/>
          </w:tcPr>
          <w:p w14:paraId="62E6349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$28,915</w:t>
            </w:r>
          </w:p>
        </w:tc>
      </w:tr>
      <w:tr w:rsidR="00F17BF1" w:rsidRPr="002246ED" w14:paraId="12AA7ED7" w14:textId="77777777" w:rsidTr="002246ED">
        <w:trPr>
          <w:trHeight w:hRule="exact" w:val="230"/>
        </w:trPr>
        <w:tc>
          <w:tcPr>
            <w:tcW w:w="900" w:type="dxa"/>
            <w:noWrap/>
            <w:hideMark/>
          </w:tcPr>
          <w:p w14:paraId="3B48447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ME</w:t>
            </w:r>
          </w:p>
        </w:tc>
        <w:tc>
          <w:tcPr>
            <w:tcW w:w="1080" w:type="dxa"/>
            <w:noWrap/>
            <w:hideMark/>
          </w:tcPr>
          <w:p w14:paraId="5E77113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02</w:t>
            </w:r>
          </w:p>
        </w:tc>
        <w:tc>
          <w:tcPr>
            <w:tcW w:w="5400" w:type="dxa"/>
            <w:noWrap/>
            <w:hideMark/>
          </w:tcPr>
          <w:p w14:paraId="18DD887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Penobscot Indian Nation</w:t>
            </w:r>
          </w:p>
        </w:tc>
        <w:tc>
          <w:tcPr>
            <w:tcW w:w="1304" w:type="dxa"/>
            <w:noWrap/>
            <w:hideMark/>
          </w:tcPr>
          <w:p w14:paraId="05C7EF6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62381D8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w:t>
            </w:r>
          </w:p>
        </w:tc>
        <w:tc>
          <w:tcPr>
            <w:tcW w:w="1125" w:type="dxa"/>
            <w:noWrap/>
            <w:hideMark/>
          </w:tcPr>
          <w:p w14:paraId="1DD1BF7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$4,761</w:t>
            </w:r>
          </w:p>
        </w:tc>
      </w:tr>
      <w:tr w:rsidR="00F17BF1" w:rsidRPr="002246ED" w14:paraId="7039E4FB" w14:textId="77777777" w:rsidTr="002246ED">
        <w:trPr>
          <w:trHeight w:hRule="exact" w:val="230"/>
        </w:trPr>
        <w:tc>
          <w:tcPr>
            <w:tcW w:w="900" w:type="dxa"/>
            <w:noWrap/>
            <w:hideMark/>
          </w:tcPr>
          <w:p w14:paraId="31D0AC5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ME</w:t>
            </w:r>
          </w:p>
        </w:tc>
        <w:tc>
          <w:tcPr>
            <w:tcW w:w="1080" w:type="dxa"/>
            <w:noWrap/>
            <w:hideMark/>
          </w:tcPr>
          <w:p w14:paraId="2D703BD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04</w:t>
            </w:r>
          </w:p>
        </w:tc>
        <w:tc>
          <w:tcPr>
            <w:tcW w:w="5400" w:type="dxa"/>
            <w:noWrap/>
            <w:hideMark/>
          </w:tcPr>
          <w:p w14:paraId="45B5078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Aroostook Band of Micmacs</w:t>
            </w:r>
          </w:p>
        </w:tc>
        <w:tc>
          <w:tcPr>
            <w:tcW w:w="1304" w:type="dxa"/>
            <w:noWrap/>
            <w:hideMark/>
          </w:tcPr>
          <w:p w14:paraId="4CEE2D5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684D588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hideMark/>
          </w:tcPr>
          <w:p w14:paraId="7A497C7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$18,893</w:t>
            </w:r>
          </w:p>
        </w:tc>
      </w:tr>
      <w:tr w:rsidR="00F17BF1" w:rsidRPr="002246ED" w14:paraId="142FF4C7" w14:textId="77777777" w:rsidTr="002246ED">
        <w:trPr>
          <w:trHeight w:hRule="exact" w:val="230"/>
        </w:trPr>
        <w:tc>
          <w:tcPr>
            <w:tcW w:w="900" w:type="dxa"/>
            <w:noWrap/>
            <w:hideMark/>
          </w:tcPr>
          <w:p w14:paraId="7812711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080" w:type="dxa"/>
            <w:noWrap/>
            <w:hideMark/>
          </w:tcPr>
          <w:p w14:paraId="7689353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5400" w:type="dxa"/>
            <w:noWrap/>
            <w:hideMark/>
          </w:tcPr>
          <w:p w14:paraId="08CBE2F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304" w:type="dxa"/>
            <w:noWrap/>
            <w:hideMark/>
          </w:tcPr>
          <w:p w14:paraId="10CFD39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$263,260</w:t>
            </w:r>
          </w:p>
        </w:tc>
        <w:tc>
          <w:tcPr>
            <w:tcW w:w="1216" w:type="dxa"/>
            <w:noWrap/>
            <w:hideMark/>
          </w:tcPr>
          <w:p w14:paraId="0FF3F20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$48,370</w:t>
            </w:r>
          </w:p>
        </w:tc>
        <w:tc>
          <w:tcPr>
            <w:tcW w:w="1125" w:type="dxa"/>
            <w:noWrap/>
            <w:hideMark/>
          </w:tcPr>
          <w:p w14:paraId="1C98277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$52,569</w:t>
            </w:r>
          </w:p>
        </w:tc>
      </w:tr>
      <w:tr w:rsidR="00F17BF1" w:rsidRPr="002246ED" w14:paraId="281B35C1" w14:textId="77777777" w:rsidTr="002246ED">
        <w:trPr>
          <w:trHeight w:hRule="exact" w:val="230"/>
        </w:trPr>
        <w:tc>
          <w:tcPr>
            <w:tcW w:w="900" w:type="dxa"/>
            <w:noWrap/>
            <w:hideMark/>
          </w:tcPr>
          <w:p w14:paraId="0ECE2E4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MI</w:t>
            </w:r>
          </w:p>
        </w:tc>
        <w:tc>
          <w:tcPr>
            <w:tcW w:w="1080" w:type="dxa"/>
            <w:noWrap/>
            <w:hideMark/>
          </w:tcPr>
          <w:p w14:paraId="16D1B47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01</w:t>
            </w:r>
          </w:p>
        </w:tc>
        <w:tc>
          <w:tcPr>
            <w:tcW w:w="5400" w:type="dxa"/>
            <w:noWrap/>
            <w:hideMark/>
          </w:tcPr>
          <w:p w14:paraId="06059AF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Grand Traverse Band of Ottawa &amp; Chippewa Indians</w:t>
            </w:r>
          </w:p>
        </w:tc>
        <w:tc>
          <w:tcPr>
            <w:tcW w:w="1304" w:type="dxa"/>
            <w:noWrap/>
            <w:hideMark/>
          </w:tcPr>
          <w:p w14:paraId="2017C09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$95,340</w:t>
            </w:r>
          </w:p>
        </w:tc>
        <w:tc>
          <w:tcPr>
            <w:tcW w:w="1216" w:type="dxa"/>
            <w:noWrap/>
            <w:hideMark/>
          </w:tcPr>
          <w:p w14:paraId="4A4525A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$27,640</w:t>
            </w:r>
          </w:p>
        </w:tc>
        <w:tc>
          <w:tcPr>
            <w:tcW w:w="1125" w:type="dxa"/>
            <w:noWrap/>
            <w:hideMark/>
          </w:tcPr>
          <w:p w14:paraId="59C2FAC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$15,047</w:t>
            </w:r>
          </w:p>
        </w:tc>
      </w:tr>
      <w:tr w:rsidR="00F17BF1" w:rsidRPr="002246ED" w14:paraId="65F7807A" w14:textId="77777777" w:rsidTr="002246ED">
        <w:trPr>
          <w:trHeight w:hRule="exact" w:val="230"/>
        </w:trPr>
        <w:tc>
          <w:tcPr>
            <w:tcW w:w="900" w:type="dxa"/>
            <w:noWrap/>
            <w:hideMark/>
          </w:tcPr>
          <w:p w14:paraId="36E9ECF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MI</w:t>
            </w:r>
          </w:p>
        </w:tc>
        <w:tc>
          <w:tcPr>
            <w:tcW w:w="1080" w:type="dxa"/>
            <w:noWrap/>
            <w:hideMark/>
          </w:tcPr>
          <w:p w14:paraId="47341D3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02</w:t>
            </w:r>
          </w:p>
        </w:tc>
        <w:tc>
          <w:tcPr>
            <w:tcW w:w="5400" w:type="dxa"/>
            <w:noWrap/>
            <w:hideMark/>
          </w:tcPr>
          <w:p w14:paraId="35509E6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Inter-Tribal Council of Michigan, Inc.</w:t>
            </w:r>
          </w:p>
        </w:tc>
        <w:tc>
          <w:tcPr>
            <w:tcW w:w="1304" w:type="dxa"/>
            <w:noWrap/>
            <w:hideMark/>
          </w:tcPr>
          <w:p w14:paraId="70D9480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5AAC3AD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hideMark/>
          </w:tcPr>
          <w:p w14:paraId="1C5AE45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$2,759</w:t>
            </w:r>
          </w:p>
        </w:tc>
      </w:tr>
      <w:tr w:rsidR="00F17BF1" w:rsidRPr="002246ED" w14:paraId="02159852" w14:textId="77777777" w:rsidTr="002246ED">
        <w:trPr>
          <w:trHeight w:hRule="exact" w:val="230"/>
        </w:trPr>
        <w:tc>
          <w:tcPr>
            <w:tcW w:w="900" w:type="dxa"/>
            <w:noWrap/>
            <w:hideMark/>
          </w:tcPr>
          <w:p w14:paraId="6308A71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MI</w:t>
            </w:r>
          </w:p>
        </w:tc>
        <w:tc>
          <w:tcPr>
            <w:tcW w:w="1080" w:type="dxa"/>
            <w:noWrap/>
            <w:hideMark/>
          </w:tcPr>
          <w:p w14:paraId="5DFF880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03</w:t>
            </w:r>
          </w:p>
        </w:tc>
        <w:tc>
          <w:tcPr>
            <w:tcW w:w="5400" w:type="dxa"/>
            <w:noWrap/>
            <w:hideMark/>
          </w:tcPr>
          <w:p w14:paraId="2F1270D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Keweenaw Bay Indian Community</w:t>
            </w:r>
          </w:p>
        </w:tc>
        <w:tc>
          <w:tcPr>
            <w:tcW w:w="1304" w:type="dxa"/>
            <w:noWrap/>
            <w:hideMark/>
          </w:tcPr>
          <w:p w14:paraId="71801BC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$95,340</w:t>
            </w:r>
          </w:p>
        </w:tc>
        <w:tc>
          <w:tcPr>
            <w:tcW w:w="1216" w:type="dxa"/>
            <w:noWrap/>
            <w:hideMark/>
          </w:tcPr>
          <w:p w14:paraId="5AB6B78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$27,640</w:t>
            </w:r>
          </w:p>
        </w:tc>
        <w:tc>
          <w:tcPr>
            <w:tcW w:w="1125" w:type="dxa"/>
            <w:noWrap/>
            <w:hideMark/>
          </w:tcPr>
          <w:p w14:paraId="2EAB70D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$23,224</w:t>
            </w:r>
          </w:p>
        </w:tc>
      </w:tr>
      <w:tr w:rsidR="00F17BF1" w:rsidRPr="002246ED" w14:paraId="798F9789" w14:textId="77777777" w:rsidTr="002246ED">
        <w:trPr>
          <w:trHeight w:hRule="exact" w:val="230"/>
        </w:trPr>
        <w:tc>
          <w:tcPr>
            <w:tcW w:w="900" w:type="dxa"/>
            <w:noWrap/>
            <w:hideMark/>
          </w:tcPr>
          <w:p w14:paraId="1181209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MI</w:t>
            </w:r>
          </w:p>
        </w:tc>
        <w:tc>
          <w:tcPr>
            <w:tcW w:w="1080" w:type="dxa"/>
            <w:noWrap/>
            <w:hideMark/>
          </w:tcPr>
          <w:p w14:paraId="21CBE71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04</w:t>
            </w:r>
          </w:p>
        </w:tc>
        <w:tc>
          <w:tcPr>
            <w:tcW w:w="5400" w:type="dxa"/>
            <w:noWrap/>
            <w:hideMark/>
          </w:tcPr>
          <w:p w14:paraId="266C807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Sault Ste. Marie Tribe of Chippewa Indians</w:t>
            </w:r>
          </w:p>
        </w:tc>
        <w:tc>
          <w:tcPr>
            <w:tcW w:w="1304" w:type="dxa"/>
            <w:noWrap/>
            <w:hideMark/>
          </w:tcPr>
          <w:p w14:paraId="2B88664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$180,720</w:t>
            </w:r>
          </w:p>
        </w:tc>
        <w:tc>
          <w:tcPr>
            <w:tcW w:w="1216" w:type="dxa"/>
            <w:noWrap/>
            <w:hideMark/>
          </w:tcPr>
          <w:p w14:paraId="2AC7F1C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w:t>
            </w:r>
          </w:p>
        </w:tc>
        <w:tc>
          <w:tcPr>
            <w:tcW w:w="1125" w:type="dxa"/>
            <w:noWrap/>
            <w:hideMark/>
          </w:tcPr>
          <w:p w14:paraId="5394410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$18,171</w:t>
            </w:r>
          </w:p>
        </w:tc>
      </w:tr>
      <w:tr w:rsidR="00F17BF1" w:rsidRPr="002246ED" w14:paraId="272029AB" w14:textId="77777777" w:rsidTr="002246ED">
        <w:trPr>
          <w:trHeight w:hRule="exact" w:val="230"/>
        </w:trPr>
        <w:tc>
          <w:tcPr>
            <w:tcW w:w="900" w:type="dxa"/>
            <w:noWrap/>
            <w:hideMark/>
          </w:tcPr>
          <w:p w14:paraId="14B5557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MI</w:t>
            </w:r>
          </w:p>
        </w:tc>
        <w:tc>
          <w:tcPr>
            <w:tcW w:w="1080" w:type="dxa"/>
            <w:noWrap/>
            <w:hideMark/>
          </w:tcPr>
          <w:p w14:paraId="0B9D537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05</w:t>
            </w:r>
          </w:p>
        </w:tc>
        <w:tc>
          <w:tcPr>
            <w:tcW w:w="5400" w:type="dxa"/>
            <w:noWrap/>
            <w:hideMark/>
          </w:tcPr>
          <w:p w14:paraId="2D9882E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Little Traverse Bay Bands of Odawa Indians</w:t>
            </w:r>
          </w:p>
        </w:tc>
        <w:tc>
          <w:tcPr>
            <w:tcW w:w="1304" w:type="dxa"/>
            <w:noWrap/>
            <w:hideMark/>
          </w:tcPr>
          <w:p w14:paraId="4EE3B7D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$118,820</w:t>
            </w:r>
          </w:p>
        </w:tc>
        <w:tc>
          <w:tcPr>
            <w:tcW w:w="1216" w:type="dxa"/>
            <w:noWrap/>
            <w:hideMark/>
          </w:tcPr>
          <w:p w14:paraId="11112CC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$41,470</w:t>
            </w:r>
          </w:p>
        </w:tc>
        <w:tc>
          <w:tcPr>
            <w:tcW w:w="1125" w:type="dxa"/>
            <w:noWrap/>
            <w:hideMark/>
          </w:tcPr>
          <w:p w14:paraId="5AEF3DB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$3,613</w:t>
            </w:r>
          </w:p>
        </w:tc>
      </w:tr>
      <w:tr w:rsidR="00F17BF1" w:rsidRPr="002246ED" w14:paraId="432788E4" w14:textId="77777777" w:rsidTr="002246ED">
        <w:trPr>
          <w:trHeight w:hRule="exact" w:val="230"/>
        </w:trPr>
        <w:tc>
          <w:tcPr>
            <w:tcW w:w="900" w:type="dxa"/>
            <w:noWrap/>
            <w:hideMark/>
          </w:tcPr>
          <w:p w14:paraId="17EB4CD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MI</w:t>
            </w:r>
          </w:p>
        </w:tc>
        <w:tc>
          <w:tcPr>
            <w:tcW w:w="1080" w:type="dxa"/>
            <w:noWrap/>
            <w:hideMark/>
          </w:tcPr>
          <w:p w14:paraId="38EF345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07</w:t>
            </w:r>
          </w:p>
        </w:tc>
        <w:tc>
          <w:tcPr>
            <w:tcW w:w="5400" w:type="dxa"/>
            <w:noWrap/>
            <w:hideMark/>
          </w:tcPr>
          <w:p w14:paraId="4BB7A07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Bay Mills Indian Community</w:t>
            </w:r>
          </w:p>
        </w:tc>
        <w:tc>
          <w:tcPr>
            <w:tcW w:w="1304" w:type="dxa"/>
            <w:noWrap/>
            <w:hideMark/>
          </w:tcPr>
          <w:p w14:paraId="5E94755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0066383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hideMark/>
          </w:tcPr>
          <w:p w14:paraId="6C88476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$6,309</w:t>
            </w:r>
          </w:p>
        </w:tc>
      </w:tr>
      <w:tr w:rsidR="00F17BF1" w:rsidRPr="002246ED" w14:paraId="5A3AADCE" w14:textId="77777777" w:rsidTr="002246ED">
        <w:trPr>
          <w:trHeight w:hRule="exact" w:val="230"/>
        </w:trPr>
        <w:tc>
          <w:tcPr>
            <w:tcW w:w="900" w:type="dxa"/>
            <w:noWrap/>
            <w:hideMark/>
          </w:tcPr>
          <w:p w14:paraId="5EBB78A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MI</w:t>
            </w:r>
          </w:p>
        </w:tc>
        <w:tc>
          <w:tcPr>
            <w:tcW w:w="1080" w:type="dxa"/>
            <w:noWrap/>
            <w:hideMark/>
          </w:tcPr>
          <w:p w14:paraId="5910991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08</w:t>
            </w:r>
          </w:p>
        </w:tc>
        <w:tc>
          <w:tcPr>
            <w:tcW w:w="5400" w:type="dxa"/>
            <w:noWrap/>
            <w:hideMark/>
          </w:tcPr>
          <w:p w14:paraId="6CCE4CA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Pokagon Band of Potawatomi Indians</w:t>
            </w:r>
          </w:p>
        </w:tc>
        <w:tc>
          <w:tcPr>
            <w:tcW w:w="1304" w:type="dxa"/>
            <w:noWrap/>
            <w:hideMark/>
          </w:tcPr>
          <w:p w14:paraId="415F136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$95,340</w:t>
            </w:r>
          </w:p>
        </w:tc>
        <w:tc>
          <w:tcPr>
            <w:tcW w:w="1216" w:type="dxa"/>
            <w:noWrap/>
            <w:hideMark/>
          </w:tcPr>
          <w:p w14:paraId="77776E5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w:t>
            </w:r>
          </w:p>
        </w:tc>
        <w:tc>
          <w:tcPr>
            <w:tcW w:w="1125" w:type="dxa"/>
            <w:noWrap/>
            <w:hideMark/>
          </w:tcPr>
          <w:p w14:paraId="3BD0F45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$3,904</w:t>
            </w:r>
          </w:p>
        </w:tc>
      </w:tr>
      <w:tr w:rsidR="00F17BF1" w:rsidRPr="002246ED" w14:paraId="6AE91020" w14:textId="77777777" w:rsidTr="002246ED">
        <w:trPr>
          <w:trHeight w:hRule="exact" w:val="230"/>
        </w:trPr>
        <w:tc>
          <w:tcPr>
            <w:tcW w:w="900" w:type="dxa"/>
            <w:noWrap/>
            <w:hideMark/>
          </w:tcPr>
          <w:p w14:paraId="182AAFE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MI</w:t>
            </w:r>
          </w:p>
        </w:tc>
        <w:tc>
          <w:tcPr>
            <w:tcW w:w="1080" w:type="dxa"/>
            <w:noWrap/>
            <w:hideMark/>
          </w:tcPr>
          <w:p w14:paraId="38A9D76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09</w:t>
            </w:r>
          </w:p>
        </w:tc>
        <w:tc>
          <w:tcPr>
            <w:tcW w:w="5400" w:type="dxa"/>
            <w:noWrap/>
            <w:hideMark/>
          </w:tcPr>
          <w:p w14:paraId="66B958A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Little River Band of Ottawa Indians</w:t>
            </w:r>
          </w:p>
        </w:tc>
        <w:tc>
          <w:tcPr>
            <w:tcW w:w="1304" w:type="dxa"/>
            <w:noWrap/>
            <w:hideMark/>
          </w:tcPr>
          <w:p w14:paraId="6F8A7DB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$107,430</w:t>
            </w:r>
          </w:p>
        </w:tc>
        <w:tc>
          <w:tcPr>
            <w:tcW w:w="1216" w:type="dxa"/>
            <w:noWrap/>
            <w:hideMark/>
          </w:tcPr>
          <w:p w14:paraId="2F04E1A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$34,550</w:t>
            </w:r>
          </w:p>
        </w:tc>
        <w:tc>
          <w:tcPr>
            <w:tcW w:w="1125" w:type="dxa"/>
            <w:noWrap/>
            <w:hideMark/>
          </w:tcPr>
          <w:p w14:paraId="6951319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$6,382</w:t>
            </w:r>
          </w:p>
        </w:tc>
      </w:tr>
      <w:tr w:rsidR="00F17BF1" w:rsidRPr="002246ED" w14:paraId="45502937" w14:textId="77777777" w:rsidTr="002246ED">
        <w:trPr>
          <w:trHeight w:hRule="exact" w:val="230"/>
        </w:trPr>
        <w:tc>
          <w:tcPr>
            <w:tcW w:w="900" w:type="dxa"/>
            <w:noWrap/>
            <w:hideMark/>
          </w:tcPr>
          <w:p w14:paraId="0A1C8F6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MI</w:t>
            </w:r>
          </w:p>
        </w:tc>
        <w:tc>
          <w:tcPr>
            <w:tcW w:w="1080" w:type="dxa"/>
            <w:noWrap/>
            <w:hideMark/>
          </w:tcPr>
          <w:p w14:paraId="04B5BB3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10</w:t>
            </w:r>
          </w:p>
        </w:tc>
        <w:tc>
          <w:tcPr>
            <w:tcW w:w="5400" w:type="dxa"/>
            <w:noWrap/>
            <w:hideMark/>
          </w:tcPr>
          <w:p w14:paraId="4ADCA05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Nottawaseppi Huron Band of the Potawatomi</w:t>
            </w:r>
          </w:p>
        </w:tc>
        <w:tc>
          <w:tcPr>
            <w:tcW w:w="1304" w:type="dxa"/>
            <w:noWrap/>
            <w:hideMark/>
          </w:tcPr>
          <w:p w14:paraId="0D004EF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$73,990</w:t>
            </w:r>
          </w:p>
        </w:tc>
        <w:tc>
          <w:tcPr>
            <w:tcW w:w="1216" w:type="dxa"/>
            <w:noWrap/>
            <w:hideMark/>
          </w:tcPr>
          <w:p w14:paraId="5FE27BB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w:t>
            </w:r>
          </w:p>
        </w:tc>
        <w:tc>
          <w:tcPr>
            <w:tcW w:w="1125" w:type="dxa"/>
            <w:noWrap/>
            <w:hideMark/>
          </w:tcPr>
          <w:p w14:paraId="0EB15D2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$5,385</w:t>
            </w:r>
          </w:p>
        </w:tc>
      </w:tr>
      <w:tr w:rsidR="00F17BF1" w:rsidRPr="002246ED" w14:paraId="18CB40A9" w14:textId="77777777" w:rsidTr="002246ED">
        <w:trPr>
          <w:trHeight w:hRule="exact" w:val="230"/>
        </w:trPr>
        <w:tc>
          <w:tcPr>
            <w:tcW w:w="900" w:type="dxa"/>
            <w:noWrap/>
            <w:hideMark/>
          </w:tcPr>
          <w:p w14:paraId="2F4A00B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080" w:type="dxa"/>
            <w:noWrap/>
            <w:hideMark/>
          </w:tcPr>
          <w:p w14:paraId="450A4F3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5400" w:type="dxa"/>
            <w:noWrap/>
            <w:hideMark/>
          </w:tcPr>
          <w:p w14:paraId="378E9A1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304" w:type="dxa"/>
            <w:noWrap/>
            <w:hideMark/>
          </w:tcPr>
          <w:p w14:paraId="74B9863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$934,900</w:t>
            </w:r>
          </w:p>
        </w:tc>
        <w:tc>
          <w:tcPr>
            <w:tcW w:w="1216" w:type="dxa"/>
            <w:noWrap/>
            <w:hideMark/>
          </w:tcPr>
          <w:p w14:paraId="0C5FF35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$172,760</w:t>
            </w:r>
          </w:p>
        </w:tc>
        <w:tc>
          <w:tcPr>
            <w:tcW w:w="1125" w:type="dxa"/>
            <w:noWrap/>
            <w:hideMark/>
          </w:tcPr>
          <w:p w14:paraId="5806D2A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$84,794</w:t>
            </w:r>
          </w:p>
        </w:tc>
      </w:tr>
      <w:tr w:rsidR="00F17BF1" w:rsidRPr="002246ED" w14:paraId="5CB57AEF" w14:textId="77777777" w:rsidTr="002246ED">
        <w:trPr>
          <w:trHeight w:hRule="exact" w:val="230"/>
        </w:trPr>
        <w:tc>
          <w:tcPr>
            <w:tcW w:w="900" w:type="dxa"/>
            <w:noWrap/>
            <w:hideMark/>
          </w:tcPr>
          <w:p w14:paraId="487C428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MN</w:t>
            </w:r>
          </w:p>
        </w:tc>
        <w:tc>
          <w:tcPr>
            <w:tcW w:w="1080" w:type="dxa"/>
            <w:noWrap/>
            <w:hideMark/>
          </w:tcPr>
          <w:p w14:paraId="6210F22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01</w:t>
            </w:r>
          </w:p>
        </w:tc>
        <w:tc>
          <w:tcPr>
            <w:tcW w:w="5400" w:type="dxa"/>
            <w:noWrap/>
            <w:hideMark/>
          </w:tcPr>
          <w:p w14:paraId="3F27D74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Bois Forte Band of Chippewa</w:t>
            </w:r>
          </w:p>
        </w:tc>
        <w:tc>
          <w:tcPr>
            <w:tcW w:w="1304" w:type="dxa"/>
            <w:noWrap/>
            <w:hideMark/>
          </w:tcPr>
          <w:p w14:paraId="767BAA3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013D185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hideMark/>
          </w:tcPr>
          <w:p w14:paraId="1FDC2CF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$11,200</w:t>
            </w:r>
          </w:p>
        </w:tc>
      </w:tr>
      <w:tr w:rsidR="00F17BF1" w:rsidRPr="002246ED" w14:paraId="5CCD4BAA" w14:textId="77777777" w:rsidTr="002246ED">
        <w:trPr>
          <w:trHeight w:hRule="exact" w:val="230"/>
        </w:trPr>
        <w:tc>
          <w:tcPr>
            <w:tcW w:w="900" w:type="dxa"/>
            <w:noWrap/>
            <w:hideMark/>
          </w:tcPr>
          <w:p w14:paraId="393A168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MN</w:t>
            </w:r>
          </w:p>
        </w:tc>
        <w:tc>
          <w:tcPr>
            <w:tcW w:w="1080" w:type="dxa"/>
            <w:noWrap/>
            <w:hideMark/>
          </w:tcPr>
          <w:p w14:paraId="047FFAC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02</w:t>
            </w:r>
          </w:p>
        </w:tc>
        <w:tc>
          <w:tcPr>
            <w:tcW w:w="5400" w:type="dxa"/>
            <w:noWrap/>
            <w:hideMark/>
          </w:tcPr>
          <w:p w14:paraId="3CC4C98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Fond du Lac Band of Lake Superior Chippewa</w:t>
            </w:r>
          </w:p>
        </w:tc>
        <w:tc>
          <w:tcPr>
            <w:tcW w:w="1304" w:type="dxa"/>
            <w:noWrap/>
            <w:hideMark/>
          </w:tcPr>
          <w:p w14:paraId="64736DE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$137,640</w:t>
            </w:r>
          </w:p>
        </w:tc>
        <w:tc>
          <w:tcPr>
            <w:tcW w:w="1216" w:type="dxa"/>
            <w:noWrap/>
            <w:hideMark/>
          </w:tcPr>
          <w:p w14:paraId="3B4CCD9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$48,380</w:t>
            </w:r>
          </w:p>
        </w:tc>
        <w:tc>
          <w:tcPr>
            <w:tcW w:w="1125" w:type="dxa"/>
            <w:noWrap/>
            <w:hideMark/>
          </w:tcPr>
          <w:p w14:paraId="0C776E4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$42,236</w:t>
            </w:r>
          </w:p>
        </w:tc>
      </w:tr>
      <w:tr w:rsidR="00F17BF1" w:rsidRPr="002246ED" w14:paraId="31F6EB54" w14:textId="77777777" w:rsidTr="002246ED">
        <w:trPr>
          <w:trHeight w:hRule="exact" w:val="230"/>
        </w:trPr>
        <w:tc>
          <w:tcPr>
            <w:tcW w:w="900" w:type="dxa"/>
            <w:noWrap/>
            <w:hideMark/>
          </w:tcPr>
          <w:p w14:paraId="4ADC9E5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MN</w:t>
            </w:r>
          </w:p>
        </w:tc>
        <w:tc>
          <w:tcPr>
            <w:tcW w:w="1080" w:type="dxa"/>
            <w:noWrap/>
            <w:hideMark/>
          </w:tcPr>
          <w:p w14:paraId="0CB414F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03</w:t>
            </w:r>
          </w:p>
        </w:tc>
        <w:tc>
          <w:tcPr>
            <w:tcW w:w="5400" w:type="dxa"/>
            <w:noWrap/>
            <w:hideMark/>
          </w:tcPr>
          <w:p w14:paraId="73948CD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Leech Lake Band of Ojibwe</w:t>
            </w:r>
          </w:p>
        </w:tc>
        <w:tc>
          <w:tcPr>
            <w:tcW w:w="1304" w:type="dxa"/>
            <w:noWrap/>
            <w:hideMark/>
          </w:tcPr>
          <w:p w14:paraId="24EBD06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$137,640</w:t>
            </w:r>
          </w:p>
        </w:tc>
        <w:tc>
          <w:tcPr>
            <w:tcW w:w="1216" w:type="dxa"/>
            <w:noWrap/>
            <w:hideMark/>
          </w:tcPr>
          <w:p w14:paraId="05A7A19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$48,380</w:t>
            </w:r>
          </w:p>
        </w:tc>
        <w:tc>
          <w:tcPr>
            <w:tcW w:w="1125" w:type="dxa"/>
            <w:noWrap/>
            <w:hideMark/>
          </w:tcPr>
          <w:p w14:paraId="0AEFF0D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$25,079</w:t>
            </w:r>
          </w:p>
        </w:tc>
      </w:tr>
      <w:tr w:rsidR="00F17BF1" w:rsidRPr="002246ED" w14:paraId="08C96927" w14:textId="77777777" w:rsidTr="002246ED">
        <w:trPr>
          <w:trHeight w:hRule="exact" w:val="230"/>
        </w:trPr>
        <w:tc>
          <w:tcPr>
            <w:tcW w:w="900" w:type="dxa"/>
            <w:noWrap/>
            <w:hideMark/>
          </w:tcPr>
          <w:p w14:paraId="68AEC81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MN</w:t>
            </w:r>
          </w:p>
        </w:tc>
        <w:tc>
          <w:tcPr>
            <w:tcW w:w="1080" w:type="dxa"/>
            <w:noWrap/>
            <w:hideMark/>
          </w:tcPr>
          <w:p w14:paraId="143ED44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07</w:t>
            </w:r>
          </w:p>
        </w:tc>
        <w:tc>
          <w:tcPr>
            <w:tcW w:w="5400" w:type="dxa"/>
            <w:noWrap/>
            <w:hideMark/>
          </w:tcPr>
          <w:p w14:paraId="49626AE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Red Lake Band of Chippewa Indians</w:t>
            </w:r>
          </w:p>
        </w:tc>
        <w:tc>
          <w:tcPr>
            <w:tcW w:w="1304" w:type="dxa"/>
            <w:noWrap/>
            <w:hideMark/>
          </w:tcPr>
          <w:p w14:paraId="5FACFCB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$137,640</w:t>
            </w:r>
          </w:p>
        </w:tc>
        <w:tc>
          <w:tcPr>
            <w:tcW w:w="1216" w:type="dxa"/>
            <w:noWrap/>
            <w:hideMark/>
          </w:tcPr>
          <w:p w14:paraId="0A679A3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w:t>
            </w:r>
          </w:p>
        </w:tc>
        <w:tc>
          <w:tcPr>
            <w:tcW w:w="1125" w:type="dxa"/>
            <w:noWrap/>
            <w:hideMark/>
          </w:tcPr>
          <w:p w14:paraId="4393665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$55,728</w:t>
            </w:r>
          </w:p>
        </w:tc>
      </w:tr>
      <w:tr w:rsidR="00F17BF1" w:rsidRPr="002246ED" w14:paraId="06A176C9" w14:textId="77777777" w:rsidTr="002246ED">
        <w:trPr>
          <w:trHeight w:hRule="exact" w:val="230"/>
        </w:trPr>
        <w:tc>
          <w:tcPr>
            <w:tcW w:w="900" w:type="dxa"/>
            <w:noWrap/>
            <w:hideMark/>
          </w:tcPr>
          <w:p w14:paraId="31D3BF5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MN</w:t>
            </w:r>
          </w:p>
        </w:tc>
        <w:tc>
          <w:tcPr>
            <w:tcW w:w="1080" w:type="dxa"/>
            <w:noWrap/>
            <w:hideMark/>
          </w:tcPr>
          <w:p w14:paraId="235FE24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08</w:t>
            </w:r>
          </w:p>
        </w:tc>
        <w:tc>
          <w:tcPr>
            <w:tcW w:w="5400" w:type="dxa"/>
            <w:noWrap/>
            <w:hideMark/>
          </w:tcPr>
          <w:p w14:paraId="307821F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White Earth Reservation Tribal Council</w:t>
            </w:r>
          </w:p>
        </w:tc>
        <w:tc>
          <w:tcPr>
            <w:tcW w:w="1304" w:type="dxa"/>
            <w:noWrap/>
            <w:hideMark/>
          </w:tcPr>
          <w:p w14:paraId="0BBCFE9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$137,640</w:t>
            </w:r>
          </w:p>
        </w:tc>
        <w:tc>
          <w:tcPr>
            <w:tcW w:w="1216" w:type="dxa"/>
            <w:noWrap/>
            <w:hideMark/>
          </w:tcPr>
          <w:p w14:paraId="6C7ECCB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$48,380</w:t>
            </w:r>
          </w:p>
        </w:tc>
        <w:tc>
          <w:tcPr>
            <w:tcW w:w="1125" w:type="dxa"/>
            <w:noWrap/>
            <w:hideMark/>
          </w:tcPr>
          <w:p w14:paraId="5780E36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$12,158</w:t>
            </w:r>
          </w:p>
        </w:tc>
      </w:tr>
      <w:tr w:rsidR="00F17BF1" w:rsidRPr="002246ED" w14:paraId="7B3EA0DE" w14:textId="77777777" w:rsidTr="002246ED">
        <w:trPr>
          <w:trHeight w:hRule="exact" w:val="230"/>
        </w:trPr>
        <w:tc>
          <w:tcPr>
            <w:tcW w:w="900" w:type="dxa"/>
            <w:noWrap/>
            <w:hideMark/>
          </w:tcPr>
          <w:p w14:paraId="7B56BA9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MN</w:t>
            </w:r>
          </w:p>
        </w:tc>
        <w:tc>
          <w:tcPr>
            <w:tcW w:w="1080" w:type="dxa"/>
            <w:noWrap/>
            <w:hideMark/>
          </w:tcPr>
          <w:p w14:paraId="4941D85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09</w:t>
            </w:r>
          </w:p>
        </w:tc>
        <w:tc>
          <w:tcPr>
            <w:tcW w:w="5400" w:type="dxa"/>
            <w:noWrap/>
            <w:hideMark/>
          </w:tcPr>
          <w:p w14:paraId="7E15BAE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Grand Portage Band of Lake Superior Chippewa</w:t>
            </w:r>
          </w:p>
        </w:tc>
        <w:tc>
          <w:tcPr>
            <w:tcW w:w="1304" w:type="dxa"/>
            <w:noWrap/>
            <w:hideMark/>
          </w:tcPr>
          <w:p w14:paraId="22B0115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$73,990</w:t>
            </w:r>
          </w:p>
        </w:tc>
        <w:tc>
          <w:tcPr>
            <w:tcW w:w="1216" w:type="dxa"/>
            <w:noWrap/>
            <w:hideMark/>
          </w:tcPr>
          <w:p w14:paraId="57957C1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$13,820</w:t>
            </w:r>
          </w:p>
        </w:tc>
        <w:tc>
          <w:tcPr>
            <w:tcW w:w="1125" w:type="dxa"/>
            <w:noWrap/>
            <w:hideMark/>
          </w:tcPr>
          <w:p w14:paraId="1CC6372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$4,760</w:t>
            </w:r>
          </w:p>
        </w:tc>
      </w:tr>
      <w:tr w:rsidR="00F17BF1" w:rsidRPr="002246ED" w14:paraId="208C8F08" w14:textId="77777777" w:rsidTr="002246ED">
        <w:trPr>
          <w:trHeight w:hRule="exact" w:val="230"/>
        </w:trPr>
        <w:tc>
          <w:tcPr>
            <w:tcW w:w="900" w:type="dxa"/>
            <w:noWrap/>
            <w:hideMark/>
          </w:tcPr>
          <w:p w14:paraId="2CAE4C5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MN</w:t>
            </w:r>
          </w:p>
        </w:tc>
        <w:tc>
          <w:tcPr>
            <w:tcW w:w="1080" w:type="dxa"/>
            <w:noWrap/>
            <w:hideMark/>
          </w:tcPr>
          <w:p w14:paraId="35B3DB2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10</w:t>
            </w:r>
          </w:p>
        </w:tc>
        <w:tc>
          <w:tcPr>
            <w:tcW w:w="5400" w:type="dxa"/>
            <w:noWrap/>
            <w:hideMark/>
          </w:tcPr>
          <w:p w14:paraId="4FEB6BC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Mille Lacs Band of Ojibwe</w:t>
            </w:r>
          </w:p>
        </w:tc>
        <w:tc>
          <w:tcPr>
            <w:tcW w:w="1304" w:type="dxa"/>
            <w:noWrap/>
            <w:hideMark/>
          </w:tcPr>
          <w:p w14:paraId="1593118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4615410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hideMark/>
          </w:tcPr>
          <w:p w14:paraId="386BF46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$25,940</w:t>
            </w:r>
          </w:p>
        </w:tc>
      </w:tr>
      <w:tr w:rsidR="00F17BF1" w:rsidRPr="002246ED" w14:paraId="6FD55ECC" w14:textId="77777777" w:rsidTr="002246ED">
        <w:trPr>
          <w:trHeight w:hRule="exact" w:val="230"/>
        </w:trPr>
        <w:tc>
          <w:tcPr>
            <w:tcW w:w="900" w:type="dxa"/>
            <w:noWrap/>
            <w:hideMark/>
          </w:tcPr>
          <w:p w14:paraId="4B57D76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MN</w:t>
            </w:r>
          </w:p>
        </w:tc>
        <w:tc>
          <w:tcPr>
            <w:tcW w:w="1080" w:type="dxa"/>
            <w:noWrap/>
            <w:hideMark/>
          </w:tcPr>
          <w:p w14:paraId="03F099A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11</w:t>
            </w:r>
          </w:p>
        </w:tc>
        <w:tc>
          <w:tcPr>
            <w:tcW w:w="5400" w:type="dxa"/>
            <w:noWrap/>
            <w:hideMark/>
          </w:tcPr>
          <w:p w14:paraId="4042D3A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Lower Sioux Indian Community</w:t>
            </w:r>
          </w:p>
        </w:tc>
        <w:tc>
          <w:tcPr>
            <w:tcW w:w="1304" w:type="dxa"/>
            <w:noWrap/>
            <w:hideMark/>
          </w:tcPr>
          <w:p w14:paraId="5EBEE53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$73,990</w:t>
            </w:r>
          </w:p>
        </w:tc>
        <w:tc>
          <w:tcPr>
            <w:tcW w:w="1216" w:type="dxa"/>
            <w:noWrap/>
            <w:hideMark/>
          </w:tcPr>
          <w:p w14:paraId="5C6D561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$13,820</w:t>
            </w:r>
          </w:p>
        </w:tc>
        <w:tc>
          <w:tcPr>
            <w:tcW w:w="1125" w:type="dxa"/>
            <w:noWrap/>
            <w:hideMark/>
          </w:tcPr>
          <w:p w14:paraId="698D612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$4,730</w:t>
            </w:r>
          </w:p>
        </w:tc>
      </w:tr>
      <w:tr w:rsidR="00F17BF1" w:rsidRPr="002246ED" w14:paraId="1751BDA8" w14:textId="77777777" w:rsidTr="002246ED">
        <w:trPr>
          <w:trHeight w:hRule="exact" w:val="230"/>
        </w:trPr>
        <w:tc>
          <w:tcPr>
            <w:tcW w:w="900" w:type="dxa"/>
            <w:noWrap/>
            <w:hideMark/>
          </w:tcPr>
          <w:p w14:paraId="67A2B07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080" w:type="dxa"/>
            <w:noWrap/>
            <w:hideMark/>
          </w:tcPr>
          <w:p w14:paraId="6757D47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5400" w:type="dxa"/>
            <w:noWrap/>
            <w:hideMark/>
          </w:tcPr>
          <w:p w14:paraId="2F7EA4E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304" w:type="dxa"/>
            <w:noWrap/>
            <w:hideMark/>
          </w:tcPr>
          <w:p w14:paraId="288943A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$866,460</w:t>
            </w:r>
          </w:p>
        </w:tc>
        <w:tc>
          <w:tcPr>
            <w:tcW w:w="1216" w:type="dxa"/>
            <w:noWrap/>
            <w:hideMark/>
          </w:tcPr>
          <w:p w14:paraId="34F542A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$214,240</w:t>
            </w:r>
          </w:p>
        </w:tc>
        <w:tc>
          <w:tcPr>
            <w:tcW w:w="1125" w:type="dxa"/>
            <w:noWrap/>
            <w:hideMark/>
          </w:tcPr>
          <w:p w14:paraId="400B94A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$181,831</w:t>
            </w:r>
          </w:p>
        </w:tc>
      </w:tr>
      <w:tr w:rsidR="00F17BF1" w:rsidRPr="002246ED" w14:paraId="77D3A1FC" w14:textId="77777777" w:rsidTr="002246ED">
        <w:trPr>
          <w:trHeight w:hRule="exact" w:val="230"/>
        </w:trPr>
        <w:tc>
          <w:tcPr>
            <w:tcW w:w="900" w:type="dxa"/>
            <w:noWrap/>
            <w:hideMark/>
          </w:tcPr>
          <w:p w14:paraId="35E58F5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MS</w:t>
            </w:r>
          </w:p>
        </w:tc>
        <w:tc>
          <w:tcPr>
            <w:tcW w:w="1080" w:type="dxa"/>
            <w:noWrap/>
            <w:hideMark/>
          </w:tcPr>
          <w:p w14:paraId="42B947D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01</w:t>
            </w:r>
          </w:p>
        </w:tc>
        <w:tc>
          <w:tcPr>
            <w:tcW w:w="5400" w:type="dxa"/>
            <w:noWrap/>
            <w:hideMark/>
          </w:tcPr>
          <w:p w14:paraId="5904C16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Mississippi Band of Choctaw Indians</w:t>
            </w:r>
          </w:p>
        </w:tc>
        <w:tc>
          <w:tcPr>
            <w:tcW w:w="1304" w:type="dxa"/>
            <w:noWrap/>
            <w:hideMark/>
          </w:tcPr>
          <w:p w14:paraId="267CEAF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$137,640</w:t>
            </w:r>
          </w:p>
        </w:tc>
        <w:tc>
          <w:tcPr>
            <w:tcW w:w="1216" w:type="dxa"/>
            <w:noWrap/>
            <w:hideMark/>
          </w:tcPr>
          <w:p w14:paraId="214E7E9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$48,380</w:t>
            </w:r>
          </w:p>
        </w:tc>
        <w:tc>
          <w:tcPr>
            <w:tcW w:w="1125" w:type="dxa"/>
            <w:noWrap/>
            <w:hideMark/>
          </w:tcPr>
          <w:p w14:paraId="5B5C1D0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$23,989</w:t>
            </w:r>
          </w:p>
        </w:tc>
      </w:tr>
      <w:tr w:rsidR="00F17BF1" w:rsidRPr="002246ED" w14:paraId="6787C600" w14:textId="77777777" w:rsidTr="002246ED">
        <w:trPr>
          <w:trHeight w:hRule="exact" w:val="230"/>
        </w:trPr>
        <w:tc>
          <w:tcPr>
            <w:tcW w:w="900" w:type="dxa"/>
            <w:noWrap/>
            <w:hideMark/>
          </w:tcPr>
          <w:p w14:paraId="0CFA431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080" w:type="dxa"/>
            <w:noWrap/>
            <w:hideMark/>
          </w:tcPr>
          <w:p w14:paraId="77EBF38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5400" w:type="dxa"/>
            <w:noWrap/>
            <w:hideMark/>
          </w:tcPr>
          <w:p w14:paraId="31EBB5F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304" w:type="dxa"/>
            <w:noWrap/>
            <w:hideMark/>
          </w:tcPr>
          <w:p w14:paraId="3AB1099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$137,640</w:t>
            </w:r>
          </w:p>
        </w:tc>
        <w:tc>
          <w:tcPr>
            <w:tcW w:w="1216" w:type="dxa"/>
            <w:noWrap/>
            <w:hideMark/>
          </w:tcPr>
          <w:p w14:paraId="34C8E00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$48,380</w:t>
            </w:r>
          </w:p>
        </w:tc>
        <w:tc>
          <w:tcPr>
            <w:tcW w:w="1125" w:type="dxa"/>
            <w:noWrap/>
            <w:hideMark/>
          </w:tcPr>
          <w:p w14:paraId="1947836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$23,989</w:t>
            </w:r>
          </w:p>
        </w:tc>
      </w:tr>
      <w:tr w:rsidR="00F17BF1" w:rsidRPr="002246ED" w14:paraId="44B5677D" w14:textId="77777777" w:rsidTr="002246ED">
        <w:trPr>
          <w:trHeight w:hRule="exact" w:val="230"/>
        </w:trPr>
        <w:tc>
          <w:tcPr>
            <w:tcW w:w="900" w:type="dxa"/>
            <w:noWrap/>
            <w:hideMark/>
          </w:tcPr>
          <w:p w14:paraId="5EC3DCD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MT</w:t>
            </w:r>
          </w:p>
        </w:tc>
        <w:tc>
          <w:tcPr>
            <w:tcW w:w="1080" w:type="dxa"/>
            <w:noWrap/>
            <w:hideMark/>
          </w:tcPr>
          <w:p w14:paraId="1AFB309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01</w:t>
            </w:r>
          </w:p>
        </w:tc>
        <w:tc>
          <w:tcPr>
            <w:tcW w:w="5400" w:type="dxa"/>
            <w:noWrap/>
            <w:hideMark/>
          </w:tcPr>
          <w:p w14:paraId="3183011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Fort Peck Assiniboine and Sioux Tribes</w:t>
            </w:r>
          </w:p>
        </w:tc>
        <w:tc>
          <w:tcPr>
            <w:tcW w:w="1304" w:type="dxa"/>
            <w:noWrap/>
            <w:hideMark/>
          </w:tcPr>
          <w:p w14:paraId="09CCD39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$137,640</w:t>
            </w:r>
          </w:p>
        </w:tc>
        <w:tc>
          <w:tcPr>
            <w:tcW w:w="1216" w:type="dxa"/>
            <w:noWrap/>
            <w:hideMark/>
          </w:tcPr>
          <w:p w14:paraId="11DD858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$48,380</w:t>
            </w:r>
          </w:p>
        </w:tc>
        <w:tc>
          <w:tcPr>
            <w:tcW w:w="1125" w:type="dxa"/>
            <w:noWrap/>
            <w:hideMark/>
          </w:tcPr>
          <w:p w14:paraId="7A5908D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$42,236</w:t>
            </w:r>
          </w:p>
        </w:tc>
      </w:tr>
      <w:tr w:rsidR="00F17BF1" w:rsidRPr="002246ED" w14:paraId="3784A9FD" w14:textId="77777777" w:rsidTr="002246ED">
        <w:trPr>
          <w:trHeight w:hRule="exact" w:val="230"/>
        </w:trPr>
        <w:tc>
          <w:tcPr>
            <w:tcW w:w="900" w:type="dxa"/>
            <w:noWrap/>
            <w:hideMark/>
          </w:tcPr>
          <w:p w14:paraId="7E500D9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MT</w:t>
            </w:r>
          </w:p>
        </w:tc>
        <w:tc>
          <w:tcPr>
            <w:tcW w:w="1080" w:type="dxa"/>
            <w:noWrap/>
            <w:hideMark/>
          </w:tcPr>
          <w:p w14:paraId="602611E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02</w:t>
            </w:r>
          </w:p>
        </w:tc>
        <w:tc>
          <w:tcPr>
            <w:tcW w:w="5400" w:type="dxa"/>
            <w:noWrap/>
            <w:hideMark/>
          </w:tcPr>
          <w:p w14:paraId="2F899FA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Blackfeet Tribe - Eagle Shield Center</w:t>
            </w:r>
          </w:p>
        </w:tc>
        <w:tc>
          <w:tcPr>
            <w:tcW w:w="1304" w:type="dxa"/>
            <w:noWrap/>
            <w:hideMark/>
          </w:tcPr>
          <w:p w14:paraId="4DBF00F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$137,640</w:t>
            </w:r>
          </w:p>
        </w:tc>
        <w:tc>
          <w:tcPr>
            <w:tcW w:w="1216" w:type="dxa"/>
            <w:noWrap/>
            <w:hideMark/>
          </w:tcPr>
          <w:p w14:paraId="339402A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$48,380</w:t>
            </w:r>
          </w:p>
        </w:tc>
        <w:tc>
          <w:tcPr>
            <w:tcW w:w="1125" w:type="dxa"/>
            <w:noWrap/>
            <w:hideMark/>
          </w:tcPr>
          <w:p w14:paraId="5035B59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$28,780</w:t>
            </w:r>
          </w:p>
        </w:tc>
      </w:tr>
      <w:tr w:rsidR="00F17BF1" w:rsidRPr="002246ED" w14:paraId="31F82730" w14:textId="77777777" w:rsidTr="002246ED">
        <w:trPr>
          <w:trHeight w:hRule="exact" w:val="230"/>
        </w:trPr>
        <w:tc>
          <w:tcPr>
            <w:tcW w:w="900" w:type="dxa"/>
            <w:noWrap/>
            <w:hideMark/>
          </w:tcPr>
          <w:p w14:paraId="777A2EF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MT</w:t>
            </w:r>
          </w:p>
        </w:tc>
        <w:tc>
          <w:tcPr>
            <w:tcW w:w="1080" w:type="dxa"/>
            <w:noWrap/>
            <w:hideMark/>
          </w:tcPr>
          <w:p w14:paraId="2568B4B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03</w:t>
            </w:r>
          </w:p>
        </w:tc>
        <w:tc>
          <w:tcPr>
            <w:tcW w:w="5400" w:type="dxa"/>
            <w:noWrap/>
            <w:hideMark/>
          </w:tcPr>
          <w:p w14:paraId="3CE8A0A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Chippewa Cree Tribe Senior Citizens Department</w:t>
            </w:r>
          </w:p>
        </w:tc>
        <w:tc>
          <w:tcPr>
            <w:tcW w:w="1304" w:type="dxa"/>
            <w:noWrap/>
            <w:hideMark/>
          </w:tcPr>
          <w:p w14:paraId="4366E80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$107,430</w:t>
            </w:r>
          </w:p>
        </w:tc>
        <w:tc>
          <w:tcPr>
            <w:tcW w:w="1216" w:type="dxa"/>
            <w:noWrap/>
            <w:hideMark/>
          </w:tcPr>
          <w:p w14:paraId="5DE110F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$34,550</w:t>
            </w:r>
          </w:p>
        </w:tc>
        <w:tc>
          <w:tcPr>
            <w:tcW w:w="1125" w:type="dxa"/>
            <w:noWrap/>
            <w:hideMark/>
          </w:tcPr>
          <w:p w14:paraId="1E54B03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$52,735</w:t>
            </w:r>
          </w:p>
        </w:tc>
      </w:tr>
      <w:tr w:rsidR="00F17BF1" w:rsidRPr="002246ED" w14:paraId="54CD2893" w14:textId="77777777" w:rsidTr="002246ED">
        <w:trPr>
          <w:trHeight w:hRule="exact" w:val="230"/>
        </w:trPr>
        <w:tc>
          <w:tcPr>
            <w:tcW w:w="900" w:type="dxa"/>
            <w:noWrap/>
            <w:hideMark/>
          </w:tcPr>
          <w:p w14:paraId="180418A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MT</w:t>
            </w:r>
          </w:p>
        </w:tc>
        <w:tc>
          <w:tcPr>
            <w:tcW w:w="1080" w:type="dxa"/>
            <w:noWrap/>
            <w:hideMark/>
          </w:tcPr>
          <w:p w14:paraId="7033A68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04</w:t>
            </w:r>
          </w:p>
        </w:tc>
        <w:tc>
          <w:tcPr>
            <w:tcW w:w="5400" w:type="dxa"/>
            <w:noWrap/>
            <w:hideMark/>
          </w:tcPr>
          <w:p w14:paraId="088932D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Confederated Salish and Kootenai Tribes</w:t>
            </w:r>
          </w:p>
        </w:tc>
        <w:tc>
          <w:tcPr>
            <w:tcW w:w="1304" w:type="dxa"/>
            <w:noWrap/>
            <w:hideMark/>
          </w:tcPr>
          <w:p w14:paraId="126F030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$137,640</w:t>
            </w:r>
          </w:p>
        </w:tc>
        <w:tc>
          <w:tcPr>
            <w:tcW w:w="1216" w:type="dxa"/>
            <w:noWrap/>
            <w:hideMark/>
          </w:tcPr>
          <w:p w14:paraId="47D4A0A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$48,380</w:t>
            </w:r>
          </w:p>
        </w:tc>
        <w:tc>
          <w:tcPr>
            <w:tcW w:w="1125" w:type="dxa"/>
            <w:noWrap/>
            <w:hideMark/>
          </w:tcPr>
          <w:p w14:paraId="4323F07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$4,055</w:t>
            </w:r>
          </w:p>
        </w:tc>
      </w:tr>
      <w:tr w:rsidR="00F17BF1" w:rsidRPr="002246ED" w14:paraId="15A6AD99" w14:textId="77777777" w:rsidTr="002246ED">
        <w:trPr>
          <w:trHeight w:hRule="exact" w:val="230"/>
        </w:trPr>
        <w:tc>
          <w:tcPr>
            <w:tcW w:w="900" w:type="dxa"/>
            <w:noWrap/>
            <w:hideMark/>
          </w:tcPr>
          <w:p w14:paraId="5D9A685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MT</w:t>
            </w:r>
          </w:p>
        </w:tc>
        <w:tc>
          <w:tcPr>
            <w:tcW w:w="1080" w:type="dxa"/>
            <w:noWrap/>
            <w:hideMark/>
          </w:tcPr>
          <w:p w14:paraId="07A1C2C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05</w:t>
            </w:r>
          </w:p>
        </w:tc>
        <w:tc>
          <w:tcPr>
            <w:tcW w:w="5400" w:type="dxa"/>
            <w:noWrap/>
            <w:hideMark/>
          </w:tcPr>
          <w:p w14:paraId="63B8FDD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Fort Belknap Indian Community</w:t>
            </w:r>
          </w:p>
        </w:tc>
        <w:tc>
          <w:tcPr>
            <w:tcW w:w="1304" w:type="dxa"/>
            <w:noWrap/>
            <w:hideMark/>
          </w:tcPr>
          <w:p w14:paraId="4AEFF76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$107,430</w:t>
            </w:r>
          </w:p>
        </w:tc>
        <w:tc>
          <w:tcPr>
            <w:tcW w:w="1216" w:type="dxa"/>
            <w:noWrap/>
            <w:hideMark/>
          </w:tcPr>
          <w:p w14:paraId="72F213E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$34,550</w:t>
            </w:r>
          </w:p>
        </w:tc>
        <w:tc>
          <w:tcPr>
            <w:tcW w:w="1125" w:type="dxa"/>
            <w:noWrap/>
            <w:hideMark/>
          </w:tcPr>
          <w:p w14:paraId="4BF1C88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$17,553</w:t>
            </w:r>
          </w:p>
        </w:tc>
      </w:tr>
      <w:tr w:rsidR="00F17BF1" w:rsidRPr="002246ED" w14:paraId="67699DB4" w14:textId="77777777" w:rsidTr="002246ED">
        <w:trPr>
          <w:trHeight w:hRule="exact" w:val="230"/>
        </w:trPr>
        <w:tc>
          <w:tcPr>
            <w:tcW w:w="900" w:type="dxa"/>
            <w:noWrap/>
            <w:hideMark/>
          </w:tcPr>
          <w:p w14:paraId="365E962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MT</w:t>
            </w:r>
          </w:p>
        </w:tc>
        <w:tc>
          <w:tcPr>
            <w:tcW w:w="1080" w:type="dxa"/>
            <w:noWrap/>
            <w:hideMark/>
          </w:tcPr>
          <w:p w14:paraId="65B3529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06</w:t>
            </w:r>
          </w:p>
        </w:tc>
        <w:tc>
          <w:tcPr>
            <w:tcW w:w="5400" w:type="dxa"/>
            <w:noWrap/>
            <w:hideMark/>
          </w:tcPr>
          <w:p w14:paraId="2B7592A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Northern Cheyenne Elderly Program</w:t>
            </w:r>
          </w:p>
        </w:tc>
        <w:tc>
          <w:tcPr>
            <w:tcW w:w="1304" w:type="dxa"/>
            <w:noWrap/>
            <w:hideMark/>
          </w:tcPr>
          <w:p w14:paraId="5887D1E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$118,820</w:t>
            </w:r>
          </w:p>
        </w:tc>
        <w:tc>
          <w:tcPr>
            <w:tcW w:w="1216" w:type="dxa"/>
            <w:noWrap/>
            <w:hideMark/>
          </w:tcPr>
          <w:p w14:paraId="6D8D795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$41,470</w:t>
            </w:r>
          </w:p>
        </w:tc>
        <w:tc>
          <w:tcPr>
            <w:tcW w:w="1125" w:type="dxa"/>
            <w:noWrap/>
            <w:hideMark/>
          </w:tcPr>
          <w:p w14:paraId="6773FAC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$29,023</w:t>
            </w:r>
          </w:p>
        </w:tc>
      </w:tr>
      <w:tr w:rsidR="00F17BF1" w:rsidRPr="002246ED" w14:paraId="5ABACCD3" w14:textId="77777777" w:rsidTr="002246ED">
        <w:trPr>
          <w:trHeight w:hRule="exact" w:val="230"/>
        </w:trPr>
        <w:tc>
          <w:tcPr>
            <w:tcW w:w="900" w:type="dxa"/>
            <w:noWrap/>
            <w:hideMark/>
          </w:tcPr>
          <w:p w14:paraId="59D3FFA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MT</w:t>
            </w:r>
          </w:p>
        </w:tc>
        <w:tc>
          <w:tcPr>
            <w:tcW w:w="1080" w:type="dxa"/>
            <w:noWrap/>
            <w:hideMark/>
          </w:tcPr>
          <w:p w14:paraId="350437E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07</w:t>
            </w:r>
          </w:p>
        </w:tc>
        <w:tc>
          <w:tcPr>
            <w:tcW w:w="5400" w:type="dxa"/>
            <w:noWrap/>
            <w:hideMark/>
          </w:tcPr>
          <w:p w14:paraId="7DE2AC7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Crow Tribal Elders Program</w:t>
            </w:r>
          </w:p>
        </w:tc>
        <w:tc>
          <w:tcPr>
            <w:tcW w:w="1304" w:type="dxa"/>
            <w:noWrap/>
            <w:hideMark/>
          </w:tcPr>
          <w:p w14:paraId="7BFFD0A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$137,640</w:t>
            </w:r>
          </w:p>
        </w:tc>
        <w:tc>
          <w:tcPr>
            <w:tcW w:w="1216" w:type="dxa"/>
            <w:noWrap/>
            <w:hideMark/>
          </w:tcPr>
          <w:p w14:paraId="1FF4C57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$48,380</w:t>
            </w:r>
          </w:p>
        </w:tc>
        <w:tc>
          <w:tcPr>
            <w:tcW w:w="1125" w:type="dxa"/>
            <w:noWrap/>
            <w:hideMark/>
          </w:tcPr>
          <w:p w14:paraId="0C48AA5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$49,638</w:t>
            </w:r>
          </w:p>
        </w:tc>
      </w:tr>
      <w:tr w:rsidR="00F17BF1" w:rsidRPr="002246ED" w14:paraId="07A96D59" w14:textId="77777777" w:rsidTr="002246ED">
        <w:trPr>
          <w:trHeight w:hRule="exact" w:val="230"/>
        </w:trPr>
        <w:tc>
          <w:tcPr>
            <w:tcW w:w="900" w:type="dxa"/>
            <w:noWrap/>
            <w:hideMark/>
          </w:tcPr>
          <w:p w14:paraId="4B50ADF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080" w:type="dxa"/>
            <w:noWrap/>
            <w:hideMark/>
          </w:tcPr>
          <w:p w14:paraId="712ECB7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5400" w:type="dxa"/>
            <w:noWrap/>
            <w:hideMark/>
          </w:tcPr>
          <w:p w14:paraId="2B40CCA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304" w:type="dxa"/>
            <w:noWrap/>
            <w:hideMark/>
          </w:tcPr>
          <w:p w14:paraId="6FF7171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$884,240</w:t>
            </w:r>
          </w:p>
        </w:tc>
        <w:tc>
          <w:tcPr>
            <w:tcW w:w="1216" w:type="dxa"/>
            <w:noWrap/>
            <w:hideMark/>
          </w:tcPr>
          <w:p w14:paraId="753D24E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$304,090</w:t>
            </w:r>
          </w:p>
        </w:tc>
        <w:tc>
          <w:tcPr>
            <w:tcW w:w="1125" w:type="dxa"/>
            <w:noWrap/>
            <w:hideMark/>
          </w:tcPr>
          <w:p w14:paraId="45BD3BB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$224,020</w:t>
            </w:r>
          </w:p>
        </w:tc>
      </w:tr>
      <w:tr w:rsidR="00F17BF1" w:rsidRPr="002246ED" w14:paraId="741E5659" w14:textId="77777777" w:rsidTr="002246ED">
        <w:trPr>
          <w:trHeight w:hRule="exact" w:val="230"/>
        </w:trPr>
        <w:tc>
          <w:tcPr>
            <w:tcW w:w="900" w:type="dxa"/>
            <w:noWrap/>
            <w:hideMark/>
          </w:tcPr>
          <w:p w14:paraId="09D49ED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NC</w:t>
            </w:r>
          </w:p>
        </w:tc>
        <w:tc>
          <w:tcPr>
            <w:tcW w:w="1080" w:type="dxa"/>
            <w:noWrap/>
            <w:hideMark/>
          </w:tcPr>
          <w:p w14:paraId="3CDE57B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01</w:t>
            </w:r>
          </w:p>
        </w:tc>
        <w:tc>
          <w:tcPr>
            <w:tcW w:w="5400" w:type="dxa"/>
            <w:noWrap/>
            <w:hideMark/>
          </w:tcPr>
          <w:p w14:paraId="38D8483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Eastern Band of Cherokee Indians</w:t>
            </w:r>
          </w:p>
        </w:tc>
        <w:tc>
          <w:tcPr>
            <w:tcW w:w="1304" w:type="dxa"/>
            <w:noWrap/>
            <w:hideMark/>
          </w:tcPr>
          <w:p w14:paraId="5C5686E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$180,720</w:t>
            </w:r>
          </w:p>
        </w:tc>
        <w:tc>
          <w:tcPr>
            <w:tcW w:w="1216" w:type="dxa"/>
            <w:noWrap/>
            <w:hideMark/>
          </w:tcPr>
          <w:p w14:paraId="7E81EC2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$55,280</w:t>
            </w:r>
          </w:p>
        </w:tc>
        <w:tc>
          <w:tcPr>
            <w:tcW w:w="1125" w:type="dxa"/>
            <w:noWrap/>
            <w:hideMark/>
          </w:tcPr>
          <w:p w14:paraId="594CD89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$33,096</w:t>
            </w:r>
          </w:p>
        </w:tc>
      </w:tr>
      <w:tr w:rsidR="00F17BF1" w:rsidRPr="002246ED" w14:paraId="70BA67BB" w14:textId="77777777" w:rsidTr="002246ED">
        <w:trPr>
          <w:trHeight w:hRule="exact" w:val="230"/>
        </w:trPr>
        <w:tc>
          <w:tcPr>
            <w:tcW w:w="900" w:type="dxa"/>
            <w:noWrap/>
            <w:hideMark/>
          </w:tcPr>
          <w:p w14:paraId="4AE37C5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080" w:type="dxa"/>
            <w:noWrap/>
            <w:hideMark/>
          </w:tcPr>
          <w:p w14:paraId="1425A73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5400" w:type="dxa"/>
            <w:noWrap/>
            <w:hideMark/>
          </w:tcPr>
          <w:p w14:paraId="038CB6C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304" w:type="dxa"/>
            <w:noWrap/>
            <w:hideMark/>
          </w:tcPr>
          <w:p w14:paraId="484BF8C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$180,720</w:t>
            </w:r>
          </w:p>
        </w:tc>
        <w:tc>
          <w:tcPr>
            <w:tcW w:w="1216" w:type="dxa"/>
            <w:noWrap/>
            <w:hideMark/>
          </w:tcPr>
          <w:p w14:paraId="2593F55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$55,280</w:t>
            </w:r>
          </w:p>
        </w:tc>
        <w:tc>
          <w:tcPr>
            <w:tcW w:w="1125" w:type="dxa"/>
            <w:noWrap/>
            <w:hideMark/>
          </w:tcPr>
          <w:p w14:paraId="3838A90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$33,096</w:t>
            </w:r>
          </w:p>
        </w:tc>
      </w:tr>
      <w:tr w:rsidR="00F17BF1" w:rsidRPr="002246ED" w14:paraId="2C2D5088" w14:textId="77777777" w:rsidTr="002246ED">
        <w:trPr>
          <w:trHeight w:hRule="exact" w:val="230"/>
        </w:trPr>
        <w:tc>
          <w:tcPr>
            <w:tcW w:w="900" w:type="dxa"/>
            <w:noWrap/>
            <w:hideMark/>
          </w:tcPr>
          <w:p w14:paraId="3A2A757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ND</w:t>
            </w:r>
          </w:p>
        </w:tc>
        <w:tc>
          <w:tcPr>
            <w:tcW w:w="1080" w:type="dxa"/>
            <w:noWrap/>
            <w:hideMark/>
          </w:tcPr>
          <w:p w14:paraId="09E9D5F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01</w:t>
            </w:r>
          </w:p>
        </w:tc>
        <w:tc>
          <w:tcPr>
            <w:tcW w:w="5400" w:type="dxa"/>
            <w:noWrap/>
            <w:hideMark/>
          </w:tcPr>
          <w:p w14:paraId="6AC215E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Spirit Lake Tribe</w:t>
            </w:r>
          </w:p>
        </w:tc>
        <w:tc>
          <w:tcPr>
            <w:tcW w:w="1304" w:type="dxa"/>
            <w:noWrap/>
            <w:hideMark/>
          </w:tcPr>
          <w:p w14:paraId="32CE5EF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$95,340</w:t>
            </w:r>
          </w:p>
        </w:tc>
        <w:tc>
          <w:tcPr>
            <w:tcW w:w="1216" w:type="dxa"/>
            <w:noWrap/>
            <w:hideMark/>
          </w:tcPr>
          <w:p w14:paraId="321CDCE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$27,640</w:t>
            </w:r>
          </w:p>
        </w:tc>
        <w:tc>
          <w:tcPr>
            <w:tcW w:w="1125" w:type="dxa"/>
            <w:noWrap/>
            <w:hideMark/>
          </w:tcPr>
          <w:p w14:paraId="1852665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$42,875</w:t>
            </w:r>
          </w:p>
        </w:tc>
      </w:tr>
      <w:tr w:rsidR="00F17BF1" w:rsidRPr="002246ED" w14:paraId="6B48D178" w14:textId="77777777" w:rsidTr="002246ED">
        <w:trPr>
          <w:trHeight w:hRule="exact" w:val="230"/>
        </w:trPr>
        <w:tc>
          <w:tcPr>
            <w:tcW w:w="900" w:type="dxa"/>
            <w:noWrap/>
            <w:hideMark/>
          </w:tcPr>
          <w:p w14:paraId="61772FF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ND</w:t>
            </w:r>
          </w:p>
        </w:tc>
        <w:tc>
          <w:tcPr>
            <w:tcW w:w="1080" w:type="dxa"/>
            <w:noWrap/>
            <w:hideMark/>
          </w:tcPr>
          <w:p w14:paraId="347830A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02</w:t>
            </w:r>
          </w:p>
        </w:tc>
        <w:tc>
          <w:tcPr>
            <w:tcW w:w="5400" w:type="dxa"/>
            <w:noWrap/>
            <w:hideMark/>
          </w:tcPr>
          <w:p w14:paraId="01EE942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Standing Rock Sioux Tribe</w:t>
            </w:r>
          </w:p>
        </w:tc>
        <w:tc>
          <w:tcPr>
            <w:tcW w:w="1304" w:type="dxa"/>
            <w:noWrap/>
            <w:hideMark/>
          </w:tcPr>
          <w:p w14:paraId="38B5E20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$137,640</w:t>
            </w:r>
          </w:p>
        </w:tc>
        <w:tc>
          <w:tcPr>
            <w:tcW w:w="1216" w:type="dxa"/>
            <w:noWrap/>
            <w:hideMark/>
          </w:tcPr>
          <w:p w14:paraId="34ACDBD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$48,380</w:t>
            </w:r>
          </w:p>
        </w:tc>
        <w:tc>
          <w:tcPr>
            <w:tcW w:w="1125" w:type="dxa"/>
            <w:noWrap/>
            <w:hideMark/>
          </w:tcPr>
          <w:p w14:paraId="6679D76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$69,057</w:t>
            </w:r>
          </w:p>
        </w:tc>
      </w:tr>
      <w:tr w:rsidR="00F17BF1" w:rsidRPr="002246ED" w14:paraId="69F063D8" w14:textId="77777777" w:rsidTr="002246ED">
        <w:trPr>
          <w:trHeight w:hRule="exact" w:val="230"/>
        </w:trPr>
        <w:tc>
          <w:tcPr>
            <w:tcW w:w="900" w:type="dxa"/>
            <w:noWrap/>
            <w:hideMark/>
          </w:tcPr>
          <w:p w14:paraId="6398E6F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ND</w:t>
            </w:r>
          </w:p>
        </w:tc>
        <w:tc>
          <w:tcPr>
            <w:tcW w:w="1080" w:type="dxa"/>
            <w:noWrap/>
            <w:hideMark/>
          </w:tcPr>
          <w:p w14:paraId="7BE2AEF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03</w:t>
            </w:r>
          </w:p>
        </w:tc>
        <w:tc>
          <w:tcPr>
            <w:tcW w:w="5400" w:type="dxa"/>
            <w:noWrap/>
            <w:hideMark/>
          </w:tcPr>
          <w:p w14:paraId="425EE38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Three Affiliated Tribes</w:t>
            </w:r>
          </w:p>
        </w:tc>
        <w:tc>
          <w:tcPr>
            <w:tcW w:w="1304" w:type="dxa"/>
            <w:noWrap/>
            <w:hideMark/>
          </w:tcPr>
          <w:p w14:paraId="4D4C0CC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$137,640</w:t>
            </w:r>
          </w:p>
        </w:tc>
        <w:tc>
          <w:tcPr>
            <w:tcW w:w="1216" w:type="dxa"/>
            <w:noWrap/>
            <w:hideMark/>
          </w:tcPr>
          <w:p w14:paraId="7992505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$48,380</w:t>
            </w:r>
          </w:p>
        </w:tc>
        <w:tc>
          <w:tcPr>
            <w:tcW w:w="1125" w:type="dxa"/>
            <w:noWrap/>
            <w:hideMark/>
          </w:tcPr>
          <w:p w14:paraId="7D20AF4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$29,749</w:t>
            </w:r>
          </w:p>
        </w:tc>
      </w:tr>
      <w:tr w:rsidR="00F17BF1" w:rsidRPr="002246ED" w14:paraId="09BC800C" w14:textId="77777777" w:rsidTr="002246ED">
        <w:trPr>
          <w:trHeight w:hRule="exact" w:val="230"/>
        </w:trPr>
        <w:tc>
          <w:tcPr>
            <w:tcW w:w="900" w:type="dxa"/>
            <w:noWrap/>
            <w:hideMark/>
          </w:tcPr>
          <w:p w14:paraId="463352D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ND</w:t>
            </w:r>
          </w:p>
        </w:tc>
        <w:tc>
          <w:tcPr>
            <w:tcW w:w="1080" w:type="dxa"/>
            <w:noWrap/>
            <w:hideMark/>
          </w:tcPr>
          <w:p w14:paraId="39FD3E1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04</w:t>
            </w:r>
          </w:p>
        </w:tc>
        <w:tc>
          <w:tcPr>
            <w:tcW w:w="5400" w:type="dxa"/>
            <w:noWrap/>
            <w:hideMark/>
          </w:tcPr>
          <w:p w14:paraId="4343151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Trenton Indian Service Area</w:t>
            </w:r>
          </w:p>
        </w:tc>
        <w:tc>
          <w:tcPr>
            <w:tcW w:w="1304" w:type="dxa"/>
            <w:noWrap/>
            <w:hideMark/>
          </w:tcPr>
          <w:p w14:paraId="7F8C604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$95,340</w:t>
            </w:r>
          </w:p>
        </w:tc>
        <w:tc>
          <w:tcPr>
            <w:tcW w:w="1216" w:type="dxa"/>
            <w:noWrap/>
            <w:hideMark/>
          </w:tcPr>
          <w:p w14:paraId="47557C1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$27,640</w:t>
            </w:r>
          </w:p>
        </w:tc>
        <w:tc>
          <w:tcPr>
            <w:tcW w:w="1125" w:type="dxa"/>
            <w:noWrap/>
            <w:hideMark/>
          </w:tcPr>
          <w:p w14:paraId="3586A6D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$1,482</w:t>
            </w:r>
          </w:p>
        </w:tc>
      </w:tr>
      <w:tr w:rsidR="00F17BF1" w:rsidRPr="002246ED" w14:paraId="165AF398" w14:textId="77777777" w:rsidTr="002246ED">
        <w:trPr>
          <w:trHeight w:hRule="exact" w:val="230"/>
        </w:trPr>
        <w:tc>
          <w:tcPr>
            <w:tcW w:w="900" w:type="dxa"/>
            <w:noWrap/>
            <w:hideMark/>
          </w:tcPr>
          <w:p w14:paraId="1F89075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ND</w:t>
            </w:r>
          </w:p>
        </w:tc>
        <w:tc>
          <w:tcPr>
            <w:tcW w:w="1080" w:type="dxa"/>
            <w:noWrap/>
            <w:hideMark/>
          </w:tcPr>
          <w:p w14:paraId="66EAF97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05</w:t>
            </w:r>
          </w:p>
        </w:tc>
        <w:tc>
          <w:tcPr>
            <w:tcW w:w="5400" w:type="dxa"/>
            <w:noWrap/>
            <w:hideMark/>
          </w:tcPr>
          <w:p w14:paraId="5F71C6F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Turtle Mountain Band of Chippewa Indians</w:t>
            </w:r>
          </w:p>
        </w:tc>
        <w:tc>
          <w:tcPr>
            <w:tcW w:w="1304" w:type="dxa"/>
            <w:noWrap/>
            <w:hideMark/>
          </w:tcPr>
          <w:p w14:paraId="2AEABF0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$137,640</w:t>
            </w:r>
          </w:p>
        </w:tc>
        <w:tc>
          <w:tcPr>
            <w:tcW w:w="1216" w:type="dxa"/>
            <w:noWrap/>
            <w:hideMark/>
          </w:tcPr>
          <w:p w14:paraId="0AB0675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$48,380</w:t>
            </w:r>
          </w:p>
        </w:tc>
        <w:tc>
          <w:tcPr>
            <w:tcW w:w="1125" w:type="dxa"/>
            <w:noWrap/>
            <w:hideMark/>
          </w:tcPr>
          <w:p w14:paraId="2C7818C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$17,794</w:t>
            </w:r>
          </w:p>
        </w:tc>
      </w:tr>
      <w:tr w:rsidR="00F17BF1" w:rsidRPr="002246ED" w14:paraId="6EA3B995" w14:textId="77777777" w:rsidTr="002246ED">
        <w:trPr>
          <w:trHeight w:hRule="exact" w:val="230"/>
        </w:trPr>
        <w:tc>
          <w:tcPr>
            <w:tcW w:w="900" w:type="dxa"/>
            <w:noWrap/>
            <w:hideMark/>
          </w:tcPr>
          <w:p w14:paraId="3A3FC04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080" w:type="dxa"/>
            <w:noWrap/>
            <w:hideMark/>
          </w:tcPr>
          <w:p w14:paraId="3ABFFDC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5400" w:type="dxa"/>
            <w:noWrap/>
            <w:hideMark/>
          </w:tcPr>
          <w:p w14:paraId="72782FB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304" w:type="dxa"/>
            <w:noWrap/>
            <w:hideMark/>
          </w:tcPr>
          <w:p w14:paraId="07CB203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$603,600</w:t>
            </w:r>
          </w:p>
        </w:tc>
        <w:tc>
          <w:tcPr>
            <w:tcW w:w="1216" w:type="dxa"/>
            <w:noWrap/>
            <w:hideMark/>
          </w:tcPr>
          <w:p w14:paraId="16A0131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$200,420</w:t>
            </w:r>
          </w:p>
        </w:tc>
        <w:tc>
          <w:tcPr>
            <w:tcW w:w="1125" w:type="dxa"/>
            <w:noWrap/>
            <w:hideMark/>
          </w:tcPr>
          <w:p w14:paraId="1608E77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$160,957</w:t>
            </w:r>
          </w:p>
        </w:tc>
      </w:tr>
      <w:tr w:rsidR="00F17BF1" w:rsidRPr="002246ED" w14:paraId="47F38739" w14:textId="77777777" w:rsidTr="002246ED">
        <w:trPr>
          <w:trHeight w:hRule="exact" w:val="230"/>
        </w:trPr>
        <w:tc>
          <w:tcPr>
            <w:tcW w:w="900" w:type="dxa"/>
            <w:noWrap/>
            <w:hideMark/>
          </w:tcPr>
          <w:p w14:paraId="1A1379A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NE</w:t>
            </w:r>
          </w:p>
        </w:tc>
        <w:tc>
          <w:tcPr>
            <w:tcW w:w="1080" w:type="dxa"/>
            <w:noWrap/>
            <w:hideMark/>
          </w:tcPr>
          <w:p w14:paraId="782F8EB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01</w:t>
            </w:r>
          </w:p>
        </w:tc>
        <w:tc>
          <w:tcPr>
            <w:tcW w:w="5400" w:type="dxa"/>
            <w:noWrap/>
            <w:hideMark/>
          </w:tcPr>
          <w:p w14:paraId="53836E3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Omaha Tribe of Nebraska</w:t>
            </w:r>
          </w:p>
        </w:tc>
        <w:tc>
          <w:tcPr>
            <w:tcW w:w="1304" w:type="dxa"/>
            <w:noWrap/>
            <w:hideMark/>
          </w:tcPr>
          <w:p w14:paraId="7427ABC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30F72C1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hideMark/>
          </w:tcPr>
          <w:p w14:paraId="156467E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$10,169</w:t>
            </w:r>
          </w:p>
        </w:tc>
      </w:tr>
      <w:tr w:rsidR="00F17BF1" w:rsidRPr="002246ED" w14:paraId="3F3E5388" w14:textId="77777777" w:rsidTr="002246ED">
        <w:trPr>
          <w:trHeight w:hRule="exact" w:val="230"/>
        </w:trPr>
        <w:tc>
          <w:tcPr>
            <w:tcW w:w="900" w:type="dxa"/>
            <w:noWrap/>
            <w:hideMark/>
          </w:tcPr>
          <w:p w14:paraId="6497824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NE</w:t>
            </w:r>
          </w:p>
        </w:tc>
        <w:tc>
          <w:tcPr>
            <w:tcW w:w="1080" w:type="dxa"/>
            <w:noWrap/>
            <w:hideMark/>
          </w:tcPr>
          <w:p w14:paraId="236DBF3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02</w:t>
            </w:r>
          </w:p>
        </w:tc>
        <w:tc>
          <w:tcPr>
            <w:tcW w:w="5400" w:type="dxa"/>
            <w:noWrap/>
            <w:hideMark/>
          </w:tcPr>
          <w:p w14:paraId="444CE67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Santee Sioux Nation</w:t>
            </w:r>
          </w:p>
        </w:tc>
        <w:tc>
          <w:tcPr>
            <w:tcW w:w="1304" w:type="dxa"/>
            <w:noWrap/>
            <w:hideMark/>
          </w:tcPr>
          <w:p w14:paraId="55321C0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$73,990</w:t>
            </w:r>
          </w:p>
        </w:tc>
        <w:tc>
          <w:tcPr>
            <w:tcW w:w="1216" w:type="dxa"/>
            <w:noWrap/>
            <w:hideMark/>
          </w:tcPr>
          <w:p w14:paraId="7E6A063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w:t>
            </w:r>
          </w:p>
        </w:tc>
        <w:tc>
          <w:tcPr>
            <w:tcW w:w="1125" w:type="dxa"/>
            <w:noWrap/>
            <w:hideMark/>
          </w:tcPr>
          <w:p w14:paraId="447E603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$5,677</w:t>
            </w:r>
          </w:p>
        </w:tc>
      </w:tr>
      <w:tr w:rsidR="00F17BF1" w:rsidRPr="002246ED" w14:paraId="1777D941" w14:textId="77777777" w:rsidTr="002246ED">
        <w:trPr>
          <w:trHeight w:hRule="exact" w:val="230"/>
        </w:trPr>
        <w:tc>
          <w:tcPr>
            <w:tcW w:w="900" w:type="dxa"/>
            <w:noWrap/>
            <w:hideMark/>
          </w:tcPr>
          <w:p w14:paraId="551766A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NE</w:t>
            </w:r>
          </w:p>
        </w:tc>
        <w:tc>
          <w:tcPr>
            <w:tcW w:w="1080" w:type="dxa"/>
            <w:noWrap/>
            <w:hideMark/>
          </w:tcPr>
          <w:p w14:paraId="7DCA74E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03</w:t>
            </w:r>
          </w:p>
        </w:tc>
        <w:tc>
          <w:tcPr>
            <w:tcW w:w="5400" w:type="dxa"/>
            <w:noWrap/>
            <w:hideMark/>
          </w:tcPr>
          <w:p w14:paraId="5AF49AE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Winnebago Senior Citizen Center</w:t>
            </w:r>
          </w:p>
        </w:tc>
        <w:tc>
          <w:tcPr>
            <w:tcW w:w="1304" w:type="dxa"/>
            <w:noWrap/>
            <w:hideMark/>
          </w:tcPr>
          <w:p w14:paraId="74E6DAC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57647FE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hideMark/>
          </w:tcPr>
          <w:p w14:paraId="458B98F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$17,304</w:t>
            </w:r>
          </w:p>
        </w:tc>
      </w:tr>
      <w:tr w:rsidR="00F17BF1" w:rsidRPr="002246ED" w14:paraId="782A1D27" w14:textId="77777777" w:rsidTr="002246ED">
        <w:trPr>
          <w:trHeight w:hRule="exact" w:val="230"/>
        </w:trPr>
        <w:tc>
          <w:tcPr>
            <w:tcW w:w="900" w:type="dxa"/>
            <w:noWrap/>
            <w:hideMark/>
          </w:tcPr>
          <w:p w14:paraId="6BD65BD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NE</w:t>
            </w:r>
          </w:p>
        </w:tc>
        <w:tc>
          <w:tcPr>
            <w:tcW w:w="1080" w:type="dxa"/>
            <w:noWrap/>
            <w:hideMark/>
          </w:tcPr>
          <w:p w14:paraId="198D4C8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04</w:t>
            </w:r>
          </w:p>
        </w:tc>
        <w:tc>
          <w:tcPr>
            <w:tcW w:w="5400" w:type="dxa"/>
            <w:noWrap/>
            <w:hideMark/>
          </w:tcPr>
          <w:p w14:paraId="5CBD843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Ponca Tribe of Nebraska</w:t>
            </w:r>
          </w:p>
        </w:tc>
        <w:tc>
          <w:tcPr>
            <w:tcW w:w="1304" w:type="dxa"/>
            <w:noWrap/>
            <w:hideMark/>
          </w:tcPr>
          <w:p w14:paraId="6D866CD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$73,990</w:t>
            </w:r>
          </w:p>
        </w:tc>
        <w:tc>
          <w:tcPr>
            <w:tcW w:w="1216" w:type="dxa"/>
            <w:noWrap/>
            <w:hideMark/>
          </w:tcPr>
          <w:p w14:paraId="590AC17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$13,820</w:t>
            </w:r>
          </w:p>
        </w:tc>
        <w:tc>
          <w:tcPr>
            <w:tcW w:w="1125" w:type="dxa"/>
            <w:noWrap/>
            <w:hideMark/>
          </w:tcPr>
          <w:p w14:paraId="0CAD873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$12,256</w:t>
            </w:r>
          </w:p>
        </w:tc>
      </w:tr>
      <w:tr w:rsidR="00F17BF1" w:rsidRPr="002246ED" w14:paraId="4A8D0FE0" w14:textId="77777777" w:rsidTr="002246ED">
        <w:trPr>
          <w:trHeight w:hRule="exact" w:val="230"/>
        </w:trPr>
        <w:tc>
          <w:tcPr>
            <w:tcW w:w="900" w:type="dxa"/>
            <w:noWrap/>
            <w:hideMark/>
          </w:tcPr>
          <w:p w14:paraId="02AD53E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080" w:type="dxa"/>
            <w:noWrap/>
            <w:hideMark/>
          </w:tcPr>
          <w:p w14:paraId="4E77E28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5400" w:type="dxa"/>
            <w:noWrap/>
            <w:hideMark/>
          </w:tcPr>
          <w:p w14:paraId="683A8F0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304" w:type="dxa"/>
            <w:noWrap/>
            <w:hideMark/>
          </w:tcPr>
          <w:p w14:paraId="298D76D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$315,900</w:t>
            </w:r>
          </w:p>
        </w:tc>
        <w:tc>
          <w:tcPr>
            <w:tcW w:w="1216" w:type="dxa"/>
            <w:noWrap/>
            <w:hideMark/>
          </w:tcPr>
          <w:p w14:paraId="3315605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$55,280</w:t>
            </w:r>
          </w:p>
        </w:tc>
        <w:tc>
          <w:tcPr>
            <w:tcW w:w="1125" w:type="dxa"/>
            <w:noWrap/>
            <w:hideMark/>
          </w:tcPr>
          <w:p w14:paraId="561DA69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$45,406</w:t>
            </w:r>
          </w:p>
        </w:tc>
      </w:tr>
      <w:tr w:rsidR="00F17BF1" w:rsidRPr="002246ED" w14:paraId="509746F4" w14:textId="77777777" w:rsidTr="002246ED">
        <w:trPr>
          <w:trHeight w:hRule="exact" w:val="230"/>
        </w:trPr>
        <w:tc>
          <w:tcPr>
            <w:tcW w:w="900" w:type="dxa"/>
            <w:noWrap/>
            <w:hideMark/>
          </w:tcPr>
          <w:p w14:paraId="20A6EB7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NM</w:t>
            </w:r>
          </w:p>
        </w:tc>
        <w:tc>
          <w:tcPr>
            <w:tcW w:w="1080" w:type="dxa"/>
            <w:noWrap/>
            <w:hideMark/>
          </w:tcPr>
          <w:p w14:paraId="3EA47EC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01</w:t>
            </w:r>
          </w:p>
        </w:tc>
        <w:tc>
          <w:tcPr>
            <w:tcW w:w="5400" w:type="dxa"/>
            <w:noWrap/>
            <w:hideMark/>
          </w:tcPr>
          <w:p w14:paraId="479FD7B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Eight Northern Indian Pueblos Council,Inc.(Picuris,etc)</w:t>
            </w:r>
          </w:p>
        </w:tc>
        <w:tc>
          <w:tcPr>
            <w:tcW w:w="1304" w:type="dxa"/>
            <w:noWrap/>
            <w:hideMark/>
          </w:tcPr>
          <w:p w14:paraId="5A22FE9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$180,720</w:t>
            </w:r>
          </w:p>
        </w:tc>
        <w:tc>
          <w:tcPr>
            <w:tcW w:w="1216" w:type="dxa"/>
            <w:noWrap/>
            <w:hideMark/>
          </w:tcPr>
          <w:p w14:paraId="0B8CC2E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$55,280</w:t>
            </w:r>
          </w:p>
        </w:tc>
        <w:tc>
          <w:tcPr>
            <w:tcW w:w="1125" w:type="dxa"/>
            <w:noWrap/>
            <w:hideMark/>
          </w:tcPr>
          <w:p w14:paraId="321E545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$28,173</w:t>
            </w:r>
          </w:p>
        </w:tc>
      </w:tr>
      <w:tr w:rsidR="00F17BF1" w:rsidRPr="002246ED" w14:paraId="5B67B828" w14:textId="77777777" w:rsidTr="002246ED">
        <w:trPr>
          <w:trHeight w:hRule="exact" w:val="230"/>
        </w:trPr>
        <w:tc>
          <w:tcPr>
            <w:tcW w:w="900" w:type="dxa"/>
            <w:noWrap/>
            <w:hideMark/>
          </w:tcPr>
          <w:p w14:paraId="5689F04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NM</w:t>
            </w:r>
          </w:p>
        </w:tc>
        <w:tc>
          <w:tcPr>
            <w:tcW w:w="1080" w:type="dxa"/>
            <w:noWrap/>
            <w:hideMark/>
          </w:tcPr>
          <w:p w14:paraId="04D4CF3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02</w:t>
            </w:r>
          </w:p>
        </w:tc>
        <w:tc>
          <w:tcPr>
            <w:tcW w:w="5400" w:type="dxa"/>
            <w:noWrap/>
            <w:hideMark/>
          </w:tcPr>
          <w:p w14:paraId="731EDDA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Eight Northern Indian Pueblos Council, Inc. (San</w:t>
            </w:r>
          </w:p>
        </w:tc>
        <w:tc>
          <w:tcPr>
            <w:tcW w:w="1304" w:type="dxa"/>
            <w:noWrap/>
            <w:hideMark/>
          </w:tcPr>
          <w:p w14:paraId="022B2E7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$107,430</w:t>
            </w:r>
          </w:p>
        </w:tc>
        <w:tc>
          <w:tcPr>
            <w:tcW w:w="1216" w:type="dxa"/>
            <w:noWrap/>
            <w:hideMark/>
          </w:tcPr>
          <w:p w14:paraId="4DA30F9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$34,550</w:t>
            </w:r>
          </w:p>
        </w:tc>
        <w:tc>
          <w:tcPr>
            <w:tcW w:w="1125" w:type="dxa"/>
            <w:noWrap/>
            <w:hideMark/>
          </w:tcPr>
          <w:p w14:paraId="039A8ED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$6,742</w:t>
            </w:r>
          </w:p>
        </w:tc>
      </w:tr>
      <w:tr w:rsidR="00F17BF1" w:rsidRPr="002246ED" w14:paraId="7BA4A7E3" w14:textId="77777777" w:rsidTr="002246ED">
        <w:trPr>
          <w:trHeight w:hRule="exact" w:val="230"/>
        </w:trPr>
        <w:tc>
          <w:tcPr>
            <w:tcW w:w="900" w:type="dxa"/>
            <w:noWrap/>
            <w:hideMark/>
          </w:tcPr>
          <w:p w14:paraId="3510CAB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NM</w:t>
            </w:r>
          </w:p>
        </w:tc>
        <w:tc>
          <w:tcPr>
            <w:tcW w:w="1080" w:type="dxa"/>
            <w:noWrap/>
            <w:hideMark/>
          </w:tcPr>
          <w:p w14:paraId="603ED0A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03</w:t>
            </w:r>
          </w:p>
        </w:tc>
        <w:tc>
          <w:tcPr>
            <w:tcW w:w="5400" w:type="dxa"/>
            <w:noWrap/>
            <w:hideMark/>
          </w:tcPr>
          <w:p w14:paraId="64D7C3FA" w14:textId="77777777" w:rsidR="00F17BF1" w:rsidRPr="002246ED" w:rsidRDefault="00F17BF1" w:rsidP="00F17BF1">
            <w:pPr>
              <w:spacing w:after="200" w:line="276" w:lineRule="auto"/>
              <w:contextualSpacing/>
              <w:rPr>
                <w:rFonts w:ascii="Arial" w:hAnsi="Arial" w:cs="Arial"/>
                <w:sz w:val="18"/>
                <w:szCs w:val="18"/>
                <w:lang w:val="es-ES"/>
              </w:rPr>
            </w:pPr>
            <w:r w:rsidRPr="002246ED">
              <w:rPr>
                <w:rFonts w:ascii="Arial" w:hAnsi="Arial" w:cs="Arial"/>
                <w:sz w:val="18"/>
                <w:szCs w:val="18"/>
                <w:lang w:val="es-ES"/>
              </w:rPr>
              <w:t>Five Sandoval Indian Pueblos, Inc.</w:t>
            </w:r>
          </w:p>
        </w:tc>
        <w:tc>
          <w:tcPr>
            <w:tcW w:w="1304" w:type="dxa"/>
            <w:noWrap/>
            <w:hideMark/>
          </w:tcPr>
          <w:p w14:paraId="44862CD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$107,430</w:t>
            </w:r>
          </w:p>
        </w:tc>
        <w:tc>
          <w:tcPr>
            <w:tcW w:w="1216" w:type="dxa"/>
            <w:noWrap/>
            <w:hideMark/>
          </w:tcPr>
          <w:p w14:paraId="6A72A72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$34,550</w:t>
            </w:r>
          </w:p>
        </w:tc>
        <w:tc>
          <w:tcPr>
            <w:tcW w:w="1125" w:type="dxa"/>
            <w:noWrap/>
            <w:hideMark/>
          </w:tcPr>
          <w:p w14:paraId="4B83000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$8,154</w:t>
            </w:r>
          </w:p>
        </w:tc>
      </w:tr>
      <w:tr w:rsidR="00F17BF1" w:rsidRPr="002246ED" w14:paraId="4221AEE4" w14:textId="77777777" w:rsidTr="002246ED">
        <w:trPr>
          <w:trHeight w:hRule="exact" w:val="230"/>
        </w:trPr>
        <w:tc>
          <w:tcPr>
            <w:tcW w:w="900" w:type="dxa"/>
            <w:noWrap/>
            <w:hideMark/>
          </w:tcPr>
          <w:p w14:paraId="76C9BB2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NM</w:t>
            </w:r>
          </w:p>
        </w:tc>
        <w:tc>
          <w:tcPr>
            <w:tcW w:w="1080" w:type="dxa"/>
            <w:noWrap/>
            <w:hideMark/>
          </w:tcPr>
          <w:p w14:paraId="341CD10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04</w:t>
            </w:r>
          </w:p>
        </w:tc>
        <w:tc>
          <w:tcPr>
            <w:tcW w:w="5400" w:type="dxa"/>
            <w:noWrap/>
            <w:hideMark/>
          </w:tcPr>
          <w:p w14:paraId="508B027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Jicarilla Apache Nation</w:t>
            </w:r>
          </w:p>
        </w:tc>
        <w:tc>
          <w:tcPr>
            <w:tcW w:w="1304" w:type="dxa"/>
            <w:noWrap/>
            <w:hideMark/>
          </w:tcPr>
          <w:p w14:paraId="7FEB10D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$118,820</w:t>
            </w:r>
          </w:p>
        </w:tc>
        <w:tc>
          <w:tcPr>
            <w:tcW w:w="1216" w:type="dxa"/>
            <w:noWrap/>
            <w:hideMark/>
          </w:tcPr>
          <w:p w14:paraId="77F1A7A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$41,470</w:t>
            </w:r>
          </w:p>
        </w:tc>
        <w:tc>
          <w:tcPr>
            <w:tcW w:w="1125" w:type="dxa"/>
            <w:noWrap/>
            <w:hideMark/>
          </w:tcPr>
          <w:p w14:paraId="0CB9774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$23,151</w:t>
            </w:r>
          </w:p>
        </w:tc>
      </w:tr>
      <w:tr w:rsidR="00F17BF1" w:rsidRPr="002246ED" w14:paraId="53B880B1" w14:textId="77777777" w:rsidTr="002246ED">
        <w:trPr>
          <w:trHeight w:hRule="exact" w:val="230"/>
        </w:trPr>
        <w:tc>
          <w:tcPr>
            <w:tcW w:w="900" w:type="dxa"/>
            <w:noWrap/>
            <w:hideMark/>
          </w:tcPr>
          <w:p w14:paraId="213F415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NM</w:t>
            </w:r>
          </w:p>
        </w:tc>
        <w:tc>
          <w:tcPr>
            <w:tcW w:w="1080" w:type="dxa"/>
            <w:noWrap/>
            <w:hideMark/>
          </w:tcPr>
          <w:p w14:paraId="12BA584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05</w:t>
            </w:r>
          </w:p>
        </w:tc>
        <w:tc>
          <w:tcPr>
            <w:tcW w:w="5400" w:type="dxa"/>
            <w:noWrap/>
            <w:hideMark/>
          </w:tcPr>
          <w:p w14:paraId="11D9AC6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Laguna Rainbow Corporation</w:t>
            </w:r>
          </w:p>
        </w:tc>
        <w:tc>
          <w:tcPr>
            <w:tcW w:w="1304" w:type="dxa"/>
            <w:noWrap/>
            <w:hideMark/>
          </w:tcPr>
          <w:p w14:paraId="66B7DAF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$180,720</w:t>
            </w:r>
          </w:p>
        </w:tc>
        <w:tc>
          <w:tcPr>
            <w:tcW w:w="1216" w:type="dxa"/>
            <w:noWrap/>
            <w:hideMark/>
          </w:tcPr>
          <w:p w14:paraId="3658E12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$55,280</w:t>
            </w:r>
          </w:p>
        </w:tc>
        <w:tc>
          <w:tcPr>
            <w:tcW w:w="1125" w:type="dxa"/>
            <w:noWrap/>
            <w:hideMark/>
          </w:tcPr>
          <w:p w14:paraId="0AC21BF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$18,100</w:t>
            </w:r>
          </w:p>
        </w:tc>
      </w:tr>
      <w:tr w:rsidR="00F17BF1" w:rsidRPr="002246ED" w14:paraId="239BACB1" w14:textId="77777777" w:rsidTr="002246ED">
        <w:trPr>
          <w:trHeight w:hRule="exact" w:val="230"/>
        </w:trPr>
        <w:tc>
          <w:tcPr>
            <w:tcW w:w="900" w:type="dxa"/>
            <w:noWrap/>
            <w:hideMark/>
          </w:tcPr>
          <w:p w14:paraId="682DE09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NM</w:t>
            </w:r>
          </w:p>
        </w:tc>
        <w:tc>
          <w:tcPr>
            <w:tcW w:w="1080" w:type="dxa"/>
            <w:noWrap/>
            <w:hideMark/>
          </w:tcPr>
          <w:p w14:paraId="430DD5F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06</w:t>
            </w:r>
          </w:p>
        </w:tc>
        <w:tc>
          <w:tcPr>
            <w:tcW w:w="5400" w:type="dxa"/>
            <w:noWrap/>
            <w:hideMark/>
          </w:tcPr>
          <w:p w14:paraId="04D6987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Mescalero Apache Tribe Elderly Program</w:t>
            </w:r>
          </w:p>
        </w:tc>
        <w:tc>
          <w:tcPr>
            <w:tcW w:w="1304" w:type="dxa"/>
            <w:noWrap/>
            <w:hideMark/>
          </w:tcPr>
          <w:p w14:paraId="37A49D8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$107,430</w:t>
            </w:r>
          </w:p>
        </w:tc>
        <w:tc>
          <w:tcPr>
            <w:tcW w:w="1216" w:type="dxa"/>
            <w:noWrap/>
            <w:hideMark/>
          </w:tcPr>
          <w:p w14:paraId="413BD44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w:t>
            </w:r>
          </w:p>
        </w:tc>
        <w:tc>
          <w:tcPr>
            <w:tcW w:w="1125" w:type="dxa"/>
            <w:noWrap/>
            <w:hideMark/>
          </w:tcPr>
          <w:p w14:paraId="2F4C77C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$8,941</w:t>
            </w:r>
          </w:p>
        </w:tc>
      </w:tr>
      <w:tr w:rsidR="00F17BF1" w:rsidRPr="002246ED" w14:paraId="6FBBBD9B" w14:textId="77777777" w:rsidTr="002246ED">
        <w:trPr>
          <w:trHeight w:hRule="exact" w:val="230"/>
        </w:trPr>
        <w:tc>
          <w:tcPr>
            <w:tcW w:w="900" w:type="dxa"/>
            <w:noWrap/>
            <w:hideMark/>
          </w:tcPr>
          <w:p w14:paraId="263CB9E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NM</w:t>
            </w:r>
          </w:p>
        </w:tc>
        <w:tc>
          <w:tcPr>
            <w:tcW w:w="1080" w:type="dxa"/>
            <w:noWrap/>
            <w:hideMark/>
          </w:tcPr>
          <w:p w14:paraId="02B47DD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07</w:t>
            </w:r>
          </w:p>
        </w:tc>
        <w:tc>
          <w:tcPr>
            <w:tcW w:w="5400" w:type="dxa"/>
            <w:noWrap/>
            <w:hideMark/>
          </w:tcPr>
          <w:p w14:paraId="614CF11B" w14:textId="77777777" w:rsidR="00F17BF1" w:rsidRPr="002246ED" w:rsidRDefault="00F17BF1" w:rsidP="00F17BF1">
            <w:pPr>
              <w:spacing w:after="200" w:line="276" w:lineRule="auto"/>
              <w:contextualSpacing/>
              <w:rPr>
                <w:rFonts w:ascii="Arial" w:hAnsi="Arial" w:cs="Arial"/>
                <w:sz w:val="18"/>
                <w:szCs w:val="18"/>
                <w:lang w:val="es-ES"/>
              </w:rPr>
            </w:pPr>
            <w:r w:rsidRPr="002246ED">
              <w:rPr>
                <w:rFonts w:ascii="Arial" w:hAnsi="Arial" w:cs="Arial"/>
                <w:sz w:val="18"/>
                <w:szCs w:val="18"/>
                <w:lang w:val="es-ES"/>
              </w:rPr>
              <w:t>Pueblo de Cochiti Elder Program</w:t>
            </w:r>
          </w:p>
        </w:tc>
        <w:tc>
          <w:tcPr>
            <w:tcW w:w="1304" w:type="dxa"/>
            <w:noWrap/>
            <w:hideMark/>
          </w:tcPr>
          <w:p w14:paraId="5FCA7BA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75F6237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hideMark/>
          </w:tcPr>
          <w:p w14:paraId="7EBB3A6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$7,543</w:t>
            </w:r>
          </w:p>
        </w:tc>
      </w:tr>
      <w:tr w:rsidR="00F17BF1" w:rsidRPr="002246ED" w14:paraId="3232D4BF" w14:textId="77777777" w:rsidTr="002246ED">
        <w:trPr>
          <w:trHeight w:hRule="exact" w:val="230"/>
        </w:trPr>
        <w:tc>
          <w:tcPr>
            <w:tcW w:w="900" w:type="dxa"/>
            <w:noWrap/>
            <w:hideMark/>
          </w:tcPr>
          <w:p w14:paraId="1065D4D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NM</w:t>
            </w:r>
          </w:p>
        </w:tc>
        <w:tc>
          <w:tcPr>
            <w:tcW w:w="1080" w:type="dxa"/>
            <w:noWrap/>
            <w:hideMark/>
          </w:tcPr>
          <w:p w14:paraId="2DA283B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09</w:t>
            </w:r>
          </w:p>
        </w:tc>
        <w:tc>
          <w:tcPr>
            <w:tcW w:w="5400" w:type="dxa"/>
            <w:noWrap/>
            <w:hideMark/>
          </w:tcPr>
          <w:p w14:paraId="4EA2B308" w14:textId="77777777" w:rsidR="00F17BF1" w:rsidRPr="002246ED" w:rsidRDefault="00F17BF1" w:rsidP="00F17BF1">
            <w:pPr>
              <w:spacing w:after="200" w:line="276" w:lineRule="auto"/>
              <w:contextualSpacing/>
              <w:rPr>
                <w:rFonts w:ascii="Arial" w:hAnsi="Arial" w:cs="Arial"/>
                <w:sz w:val="18"/>
                <w:szCs w:val="18"/>
                <w:lang w:val="es-ES"/>
              </w:rPr>
            </w:pPr>
            <w:r w:rsidRPr="002246ED">
              <w:rPr>
                <w:rFonts w:ascii="Arial" w:hAnsi="Arial" w:cs="Arial"/>
                <w:sz w:val="18"/>
                <w:szCs w:val="18"/>
                <w:lang w:val="es-ES"/>
              </w:rPr>
              <w:t>Pueblo of Isleta Elder Center</w:t>
            </w:r>
          </w:p>
        </w:tc>
        <w:tc>
          <w:tcPr>
            <w:tcW w:w="1304" w:type="dxa"/>
            <w:noWrap/>
            <w:hideMark/>
          </w:tcPr>
          <w:p w14:paraId="52BB074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$137,640</w:t>
            </w:r>
          </w:p>
        </w:tc>
        <w:tc>
          <w:tcPr>
            <w:tcW w:w="1216" w:type="dxa"/>
            <w:noWrap/>
            <w:hideMark/>
          </w:tcPr>
          <w:p w14:paraId="6C142D8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w:t>
            </w:r>
          </w:p>
        </w:tc>
        <w:tc>
          <w:tcPr>
            <w:tcW w:w="1125" w:type="dxa"/>
            <w:noWrap/>
            <w:hideMark/>
          </w:tcPr>
          <w:p w14:paraId="5D2366F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$26,798</w:t>
            </w:r>
          </w:p>
        </w:tc>
      </w:tr>
      <w:tr w:rsidR="00F17BF1" w:rsidRPr="002246ED" w14:paraId="0148A716" w14:textId="77777777" w:rsidTr="002246ED">
        <w:trPr>
          <w:trHeight w:hRule="exact" w:val="230"/>
        </w:trPr>
        <w:tc>
          <w:tcPr>
            <w:tcW w:w="900" w:type="dxa"/>
            <w:noWrap/>
            <w:hideMark/>
          </w:tcPr>
          <w:p w14:paraId="63187F3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NM</w:t>
            </w:r>
          </w:p>
        </w:tc>
        <w:tc>
          <w:tcPr>
            <w:tcW w:w="1080" w:type="dxa"/>
            <w:noWrap/>
            <w:hideMark/>
          </w:tcPr>
          <w:p w14:paraId="3DD6884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10</w:t>
            </w:r>
          </w:p>
        </w:tc>
        <w:tc>
          <w:tcPr>
            <w:tcW w:w="5400" w:type="dxa"/>
            <w:noWrap/>
            <w:hideMark/>
          </w:tcPr>
          <w:p w14:paraId="6A35DC7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Pueblo of Jemez Senior Citizens Program</w:t>
            </w:r>
          </w:p>
        </w:tc>
        <w:tc>
          <w:tcPr>
            <w:tcW w:w="1304" w:type="dxa"/>
            <w:noWrap/>
            <w:hideMark/>
          </w:tcPr>
          <w:p w14:paraId="2F57733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$137,640</w:t>
            </w:r>
          </w:p>
        </w:tc>
        <w:tc>
          <w:tcPr>
            <w:tcW w:w="1216" w:type="dxa"/>
            <w:noWrap/>
            <w:hideMark/>
          </w:tcPr>
          <w:p w14:paraId="48EB980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$48,380</w:t>
            </w:r>
          </w:p>
        </w:tc>
        <w:tc>
          <w:tcPr>
            <w:tcW w:w="1125" w:type="dxa"/>
            <w:noWrap/>
            <w:hideMark/>
          </w:tcPr>
          <w:p w14:paraId="11338A2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$9,787</w:t>
            </w:r>
          </w:p>
        </w:tc>
      </w:tr>
      <w:tr w:rsidR="00F17BF1" w:rsidRPr="002246ED" w14:paraId="5FDFBB7B" w14:textId="77777777" w:rsidTr="002246ED">
        <w:trPr>
          <w:trHeight w:hRule="exact" w:val="230"/>
        </w:trPr>
        <w:tc>
          <w:tcPr>
            <w:tcW w:w="900" w:type="dxa"/>
            <w:noWrap/>
            <w:hideMark/>
          </w:tcPr>
          <w:p w14:paraId="5B3E961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NM</w:t>
            </w:r>
          </w:p>
        </w:tc>
        <w:tc>
          <w:tcPr>
            <w:tcW w:w="1080" w:type="dxa"/>
            <w:noWrap/>
            <w:hideMark/>
          </w:tcPr>
          <w:p w14:paraId="0B10B27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11</w:t>
            </w:r>
          </w:p>
        </w:tc>
        <w:tc>
          <w:tcPr>
            <w:tcW w:w="5400" w:type="dxa"/>
            <w:noWrap/>
            <w:hideMark/>
          </w:tcPr>
          <w:p w14:paraId="1A9A864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Pueblo of San Felipe Elderly Services Program</w:t>
            </w:r>
          </w:p>
        </w:tc>
        <w:tc>
          <w:tcPr>
            <w:tcW w:w="1304" w:type="dxa"/>
            <w:noWrap/>
            <w:hideMark/>
          </w:tcPr>
          <w:p w14:paraId="351EE50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$137,640</w:t>
            </w:r>
          </w:p>
        </w:tc>
        <w:tc>
          <w:tcPr>
            <w:tcW w:w="1216" w:type="dxa"/>
            <w:noWrap/>
            <w:hideMark/>
          </w:tcPr>
          <w:p w14:paraId="7D44379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$48,380</w:t>
            </w:r>
          </w:p>
        </w:tc>
        <w:tc>
          <w:tcPr>
            <w:tcW w:w="1125" w:type="dxa"/>
            <w:noWrap/>
            <w:hideMark/>
          </w:tcPr>
          <w:p w14:paraId="3D14BE9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$32,806</w:t>
            </w:r>
          </w:p>
        </w:tc>
      </w:tr>
      <w:tr w:rsidR="00F17BF1" w:rsidRPr="002246ED" w14:paraId="20E7CC67" w14:textId="77777777" w:rsidTr="002246ED">
        <w:trPr>
          <w:trHeight w:hRule="exact" w:val="230"/>
        </w:trPr>
        <w:tc>
          <w:tcPr>
            <w:tcW w:w="900" w:type="dxa"/>
            <w:noWrap/>
            <w:hideMark/>
          </w:tcPr>
          <w:p w14:paraId="252852B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NM</w:t>
            </w:r>
          </w:p>
        </w:tc>
        <w:tc>
          <w:tcPr>
            <w:tcW w:w="1080" w:type="dxa"/>
            <w:noWrap/>
            <w:hideMark/>
          </w:tcPr>
          <w:p w14:paraId="16FA526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12</w:t>
            </w:r>
          </w:p>
        </w:tc>
        <w:tc>
          <w:tcPr>
            <w:tcW w:w="5400" w:type="dxa"/>
            <w:noWrap/>
            <w:hideMark/>
          </w:tcPr>
          <w:p w14:paraId="1C38396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Taos Pueblo Senior Citizens Program</w:t>
            </w:r>
          </w:p>
        </w:tc>
        <w:tc>
          <w:tcPr>
            <w:tcW w:w="1304" w:type="dxa"/>
            <w:noWrap/>
            <w:hideMark/>
          </w:tcPr>
          <w:p w14:paraId="33FEBAD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$95,340</w:t>
            </w:r>
          </w:p>
        </w:tc>
        <w:tc>
          <w:tcPr>
            <w:tcW w:w="1216" w:type="dxa"/>
            <w:noWrap/>
            <w:hideMark/>
          </w:tcPr>
          <w:p w14:paraId="4E51F00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$27,640</w:t>
            </w:r>
          </w:p>
        </w:tc>
        <w:tc>
          <w:tcPr>
            <w:tcW w:w="1125" w:type="dxa"/>
            <w:noWrap/>
            <w:hideMark/>
          </w:tcPr>
          <w:p w14:paraId="3872A31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$9,918</w:t>
            </w:r>
          </w:p>
        </w:tc>
      </w:tr>
      <w:tr w:rsidR="00F17BF1" w:rsidRPr="002246ED" w14:paraId="1D7EFF1F" w14:textId="77777777" w:rsidTr="002246ED">
        <w:trPr>
          <w:trHeight w:hRule="exact" w:val="230"/>
        </w:trPr>
        <w:tc>
          <w:tcPr>
            <w:tcW w:w="900" w:type="dxa"/>
            <w:noWrap/>
            <w:hideMark/>
          </w:tcPr>
          <w:p w14:paraId="7799487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NM</w:t>
            </w:r>
          </w:p>
        </w:tc>
        <w:tc>
          <w:tcPr>
            <w:tcW w:w="1080" w:type="dxa"/>
            <w:noWrap/>
            <w:hideMark/>
          </w:tcPr>
          <w:p w14:paraId="4E7E984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w:t>
            </w:r>
          </w:p>
        </w:tc>
        <w:tc>
          <w:tcPr>
            <w:tcW w:w="5400" w:type="dxa"/>
            <w:noWrap/>
            <w:hideMark/>
          </w:tcPr>
          <w:p w14:paraId="69A5F1D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Zuni Tribe</w:t>
            </w:r>
          </w:p>
        </w:tc>
        <w:tc>
          <w:tcPr>
            <w:tcW w:w="1304" w:type="dxa"/>
            <w:noWrap/>
            <w:hideMark/>
          </w:tcPr>
          <w:p w14:paraId="1E3B37C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$180,720</w:t>
            </w:r>
          </w:p>
        </w:tc>
        <w:tc>
          <w:tcPr>
            <w:tcW w:w="1216" w:type="dxa"/>
            <w:noWrap/>
            <w:hideMark/>
          </w:tcPr>
          <w:p w14:paraId="60D74DA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$55,280</w:t>
            </w:r>
          </w:p>
        </w:tc>
        <w:tc>
          <w:tcPr>
            <w:tcW w:w="1125" w:type="dxa"/>
            <w:noWrap/>
            <w:hideMark/>
          </w:tcPr>
          <w:p w14:paraId="3ECB6F7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$21,349</w:t>
            </w:r>
          </w:p>
        </w:tc>
      </w:tr>
      <w:tr w:rsidR="00F17BF1" w:rsidRPr="002246ED" w14:paraId="4BBBDA87" w14:textId="77777777" w:rsidTr="002246ED">
        <w:trPr>
          <w:trHeight w:hRule="exact" w:val="230"/>
        </w:trPr>
        <w:tc>
          <w:tcPr>
            <w:tcW w:w="900" w:type="dxa"/>
            <w:noWrap/>
            <w:hideMark/>
          </w:tcPr>
          <w:p w14:paraId="2C0DFD2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NM</w:t>
            </w:r>
          </w:p>
        </w:tc>
        <w:tc>
          <w:tcPr>
            <w:tcW w:w="1080" w:type="dxa"/>
            <w:noWrap/>
            <w:hideMark/>
          </w:tcPr>
          <w:p w14:paraId="2FB5F0E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14</w:t>
            </w:r>
          </w:p>
        </w:tc>
        <w:tc>
          <w:tcPr>
            <w:tcW w:w="5400" w:type="dxa"/>
            <w:noWrap/>
            <w:hideMark/>
          </w:tcPr>
          <w:p w14:paraId="71E6993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Ohkay Owingeh Senior Citizens Program</w:t>
            </w:r>
          </w:p>
        </w:tc>
        <w:tc>
          <w:tcPr>
            <w:tcW w:w="1304" w:type="dxa"/>
            <w:noWrap/>
            <w:hideMark/>
          </w:tcPr>
          <w:p w14:paraId="368FC22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$137,640</w:t>
            </w:r>
          </w:p>
        </w:tc>
        <w:tc>
          <w:tcPr>
            <w:tcW w:w="1216" w:type="dxa"/>
            <w:noWrap/>
            <w:hideMark/>
          </w:tcPr>
          <w:p w14:paraId="4417DB1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$48,380</w:t>
            </w:r>
          </w:p>
        </w:tc>
        <w:tc>
          <w:tcPr>
            <w:tcW w:w="1125" w:type="dxa"/>
            <w:noWrap/>
            <w:hideMark/>
          </w:tcPr>
          <w:p w14:paraId="623CA61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$14,651</w:t>
            </w:r>
          </w:p>
        </w:tc>
      </w:tr>
      <w:tr w:rsidR="00F17BF1" w:rsidRPr="002246ED" w14:paraId="129E7756" w14:textId="77777777" w:rsidTr="002246ED">
        <w:trPr>
          <w:trHeight w:hRule="exact" w:val="230"/>
        </w:trPr>
        <w:tc>
          <w:tcPr>
            <w:tcW w:w="900" w:type="dxa"/>
            <w:noWrap/>
            <w:hideMark/>
          </w:tcPr>
          <w:p w14:paraId="00BB4CA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NM</w:t>
            </w:r>
          </w:p>
        </w:tc>
        <w:tc>
          <w:tcPr>
            <w:tcW w:w="1080" w:type="dxa"/>
            <w:noWrap/>
            <w:hideMark/>
          </w:tcPr>
          <w:p w14:paraId="2C7873D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15</w:t>
            </w:r>
          </w:p>
        </w:tc>
        <w:tc>
          <w:tcPr>
            <w:tcW w:w="5400" w:type="dxa"/>
            <w:noWrap/>
            <w:hideMark/>
          </w:tcPr>
          <w:p w14:paraId="23FFE7E7" w14:textId="77777777" w:rsidR="00F17BF1" w:rsidRPr="002246ED" w:rsidRDefault="00F17BF1" w:rsidP="00F17BF1">
            <w:pPr>
              <w:spacing w:after="200" w:line="276" w:lineRule="auto"/>
              <w:contextualSpacing/>
              <w:rPr>
                <w:rFonts w:ascii="Arial" w:hAnsi="Arial" w:cs="Arial"/>
                <w:sz w:val="18"/>
                <w:szCs w:val="18"/>
                <w:lang w:val="es-ES"/>
              </w:rPr>
            </w:pPr>
            <w:r w:rsidRPr="002246ED">
              <w:rPr>
                <w:rFonts w:ascii="Arial" w:hAnsi="Arial" w:cs="Arial"/>
                <w:sz w:val="18"/>
                <w:szCs w:val="18"/>
                <w:lang w:val="es-ES"/>
              </w:rPr>
              <w:t>Santa Clara Pueblo Senior Center</w:t>
            </w:r>
          </w:p>
        </w:tc>
        <w:tc>
          <w:tcPr>
            <w:tcW w:w="1304" w:type="dxa"/>
            <w:noWrap/>
            <w:hideMark/>
          </w:tcPr>
          <w:p w14:paraId="2B70592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$137,640</w:t>
            </w:r>
          </w:p>
        </w:tc>
        <w:tc>
          <w:tcPr>
            <w:tcW w:w="1216" w:type="dxa"/>
            <w:noWrap/>
            <w:hideMark/>
          </w:tcPr>
          <w:p w14:paraId="10181EC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$48,380</w:t>
            </w:r>
          </w:p>
        </w:tc>
        <w:tc>
          <w:tcPr>
            <w:tcW w:w="1125" w:type="dxa"/>
            <w:noWrap/>
            <w:hideMark/>
          </w:tcPr>
          <w:p w14:paraId="08612A3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$29,036</w:t>
            </w:r>
          </w:p>
        </w:tc>
      </w:tr>
      <w:tr w:rsidR="00F17BF1" w:rsidRPr="002246ED" w14:paraId="7C135981" w14:textId="77777777" w:rsidTr="002246ED">
        <w:trPr>
          <w:trHeight w:hRule="exact" w:val="230"/>
        </w:trPr>
        <w:tc>
          <w:tcPr>
            <w:tcW w:w="900" w:type="dxa"/>
            <w:noWrap/>
            <w:hideMark/>
          </w:tcPr>
          <w:p w14:paraId="6454E22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NM</w:t>
            </w:r>
          </w:p>
        </w:tc>
        <w:tc>
          <w:tcPr>
            <w:tcW w:w="1080" w:type="dxa"/>
            <w:noWrap/>
            <w:hideMark/>
          </w:tcPr>
          <w:p w14:paraId="2775452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16</w:t>
            </w:r>
          </w:p>
        </w:tc>
        <w:tc>
          <w:tcPr>
            <w:tcW w:w="5400" w:type="dxa"/>
            <w:noWrap/>
            <w:hideMark/>
          </w:tcPr>
          <w:p w14:paraId="58E9D94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Santo Domingo Tribe</w:t>
            </w:r>
          </w:p>
        </w:tc>
        <w:tc>
          <w:tcPr>
            <w:tcW w:w="1304" w:type="dxa"/>
            <w:noWrap/>
            <w:hideMark/>
          </w:tcPr>
          <w:p w14:paraId="1E4268C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$137,640</w:t>
            </w:r>
          </w:p>
        </w:tc>
        <w:tc>
          <w:tcPr>
            <w:tcW w:w="1216" w:type="dxa"/>
            <w:noWrap/>
            <w:hideMark/>
          </w:tcPr>
          <w:p w14:paraId="74BA027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$48,380</w:t>
            </w:r>
          </w:p>
        </w:tc>
        <w:tc>
          <w:tcPr>
            <w:tcW w:w="1125" w:type="dxa"/>
            <w:noWrap/>
            <w:hideMark/>
          </w:tcPr>
          <w:p w14:paraId="1EFD723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$18,301</w:t>
            </w:r>
          </w:p>
        </w:tc>
      </w:tr>
      <w:tr w:rsidR="00F17BF1" w:rsidRPr="002246ED" w14:paraId="58A83914" w14:textId="77777777" w:rsidTr="002246ED">
        <w:trPr>
          <w:trHeight w:hRule="exact" w:val="230"/>
        </w:trPr>
        <w:tc>
          <w:tcPr>
            <w:tcW w:w="900" w:type="dxa"/>
            <w:noWrap/>
            <w:hideMark/>
          </w:tcPr>
          <w:p w14:paraId="0D5DAC8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NM</w:t>
            </w:r>
          </w:p>
        </w:tc>
        <w:tc>
          <w:tcPr>
            <w:tcW w:w="1080" w:type="dxa"/>
            <w:noWrap/>
            <w:hideMark/>
          </w:tcPr>
          <w:p w14:paraId="5DB0FB9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17</w:t>
            </w:r>
          </w:p>
        </w:tc>
        <w:tc>
          <w:tcPr>
            <w:tcW w:w="5400" w:type="dxa"/>
            <w:noWrap/>
            <w:hideMark/>
          </w:tcPr>
          <w:p w14:paraId="69B0479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Pueblo of Tesuque</w:t>
            </w:r>
          </w:p>
        </w:tc>
        <w:tc>
          <w:tcPr>
            <w:tcW w:w="1304" w:type="dxa"/>
            <w:noWrap/>
            <w:hideMark/>
          </w:tcPr>
          <w:p w14:paraId="2AB82CA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$73,990</w:t>
            </w:r>
          </w:p>
        </w:tc>
        <w:tc>
          <w:tcPr>
            <w:tcW w:w="1216" w:type="dxa"/>
            <w:noWrap/>
            <w:hideMark/>
          </w:tcPr>
          <w:p w14:paraId="7694C0C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$13,820</w:t>
            </w:r>
          </w:p>
        </w:tc>
        <w:tc>
          <w:tcPr>
            <w:tcW w:w="1125" w:type="dxa"/>
            <w:noWrap/>
            <w:hideMark/>
          </w:tcPr>
          <w:p w14:paraId="43B382A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$7,424</w:t>
            </w:r>
          </w:p>
        </w:tc>
      </w:tr>
      <w:tr w:rsidR="00F17BF1" w:rsidRPr="002246ED" w14:paraId="33E9D070" w14:textId="77777777" w:rsidTr="002246ED">
        <w:trPr>
          <w:trHeight w:hRule="exact" w:val="230"/>
        </w:trPr>
        <w:tc>
          <w:tcPr>
            <w:tcW w:w="900" w:type="dxa"/>
            <w:noWrap/>
            <w:hideMark/>
          </w:tcPr>
          <w:p w14:paraId="48A28A2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NM</w:t>
            </w:r>
          </w:p>
        </w:tc>
        <w:tc>
          <w:tcPr>
            <w:tcW w:w="1080" w:type="dxa"/>
            <w:noWrap/>
            <w:hideMark/>
          </w:tcPr>
          <w:p w14:paraId="1E9A1A5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18</w:t>
            </w:r>
          </w:p>
        </w:tc>
        <w:tc>
          <w:tcPr>
            <w:tcW w:w="5400" w:type="dxa"/>
            <w:noWrap/>
            <w:hideMark/>
          </w:tcPr>
          <w:p w14:paraId="18F122D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Pueblo of Acoma</w:t>
            </w:r>
          </w:p>
        </w:tc>
        <w:tc>
          <w:tcPr>
            <w:tcW w:w="1304" w:type="dxa"/>
            <w:noWrap/>
            <w:hideMark/>
          </w:tcPr>
          <w:p w14:paraId="75D37F6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$107,430</w:t>
            </w:r>
          </w:p>
        </w:tc>
        <w:tc>
          <w:tcPr>
            <w:tcW w:w="1216" w:type="dxa"/>
            <w:noWrap/>
            <w:hideMark/>
          </w:tcPr>
          <w:p w14:paraId="4DCA992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$34,550</w:t>
            </w:r>
          </w:p>
        </w:tc>
        <w:tc>
          <w:tcPr>
            <w:tcW w:w="1125" w:type="dxa"/>
            <w:noWrap/>
            <w:hideMark/>
          </w:tcPr>
          <w:p w14:paraId="70637E1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$15,460</w:t>
            </w:r>
          </w:p>
        </w:tc>
      </w:tr>
      <w:tr w:rsidR="00F17BF1" w:rsidRPr="002246ED" w14:paraId="1199F5C8" w14:textId="77777777" w:rsidTr="002246ED">
        <w:trPr>
          <w:trHeight w:hRule="exact" w:val="230"/>
        </w:trPr>
        <w:tc>
          <w:tcPr>
            <w:tcW w:w="900" w:type="dxa"/>
            <w:noWrap/>
            <w:hideMark/>
          </w:tcPr>
          <w:p w14:paraId="2BEE31A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080" w:type="dxa"/>
            <w:noWrap/>
            <w:hideMark/>
          </w:tcPr>
          <w:p w14:paraId="6BF2B84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5400" w:type="dxa"/>
            <w:noWrap/>
            <w:hideMark/>
          </w:tcPr>
          <w:p w14:paraId="5993ED2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304" w:type="dxa"/>
            <w:noWrap/>
            <w:hideMark/>
          </w:tcPr>
          <w:p w14:paraId="1AFEEDE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$2,169,830</w:t>
            </w:r>
          </w:p>
        </w:tc>
        <w:tc>
          <w:tcPr>
            <w:tcW w:w="1216" w:type="dxa"/>
            <w:noWrap/>
            <w:hideMark/>
          </w:tcPr>
          <w:p w14:paraId="40F8A75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$615,050</w:t>
            </w:r>
          </w:p>
        </w:tc>
        <w:tc>
          <w:tcPr>
            <w:tcW w:w="1125" w:type="dxa"/>
            <w:noWrap/>
            <w:hideMark/>
          </w:tcPr>
          <w:p w14:paraId="1E39270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$286,334</w:t>
            </w:r>
          </w:p>
        </w:tc>
      </w:tr>
      <w:tr w:rsidR="00F17BF1" w:rsidRPr="002246ED" w14:paraId="1AD1DA27" w14:textId="77777777" w:rsidTr="002246ED">
        <w:trPr>
          <w:trHeight w:hRule="exact" w:val="230"/>
        </w:trPr>
        <w:tc>
          <w:tcPr>
            <w:tcW w:w="900" w:type="dxa"/>
            <w:noWrap/>
            <w:hideMark/>
          </w:tcPr>
          <w:p w14:paraId="5A76B7C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NV</w:t>
            </w:r>
          </w:p>
        </w:tc>
        <w:tc>
          <w:tcPr>
            <w:tcW w:w="1080" w:type="dxa"/>
            <w:noWrap/>
            <w:hideMark/>
          </w:tcPr>
          <w:p w14:paraId="1774F0A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01</w:t>
            </w:r>
          </w:p>
        </w:tc>
        <w:tc>
          <w:tcPr>
            <w:tcW w:w="5400" w:type="dxa"/>
            <w:noWrap/>
            <w:hideMark/>
          </w:tcPr>
          <w:p w14:paraId="7C41530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Fallon Paiute-Shoshone Tribes</w:t>
            </w:r>
          </w:p>
        </w:tc>
        <w:tc>
          <w:tcPr>
            <w:tcW w:w="1304" w:type="dxa"/>
            <w:noWrap/>
            <w:hideMark/>
          </w:tcPr>
          <w:p w14:paraId="711BAA0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4D57CC0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hideMark/>
          </w:tcPr>
          <w:p w14:paraId="3C3A120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$21,025</w:t>
            </w:r>
          </w:p>
        </w:tc>
      </w:tr>
      <w:tr w:rsidR="00F17BF1" w:rsidRPr="002246ED" w14:paraId="7F1C4C9F" w14:textId="77777777" w:rsidTr="002246ED">
        <w:trPr>
          <w:trHeight w:hRule="exact" w:val="230"/>
        </w:trPr>
        <w:tc>
          <w:tcPr>
            <w:tcW w:w="900" w:type="dxa"/>
            <w:noWrap/>
            <w:hideMark/>
          </w:tcPr>
          <w:p w14:paraId="7FAAD49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NV</w:t>
            </w:r>
          </w:p>
        </w:tc>
        <w:tc>
          <w:tcPr>
            <w:tcW w:w="1080" w:type="dxa"/>
            <w:noWrap/>
            <w:hideMark/>
          </w:tcPr>
          <w:p w14:paraId="57A9CD0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02</w:t>
            </w:r>
          </w:p>
        </w:tc>
        <w:tc>
          <w:tcPr>
            <w:tcW w:w="5400" w:type="dxa"/>
            <w:noWrap/>
            <w:hideMark/>
          </w:tcPr>
          <w:p w14:paraId="282BD6F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Inter-Tribal Council of Nevada, Inc. (McDermitt, etc.)</w:t>
            </w:r>
          </w:p>
        </w:tc>
        <w:tc>
          <w:tcPr>
            <w:tcW w:w="1304" w:type="dxa"/>
            <w:noWrap/>
            <w:hideMark/>
          </w:tcPr>
          <w:p w14:paraId="34E2B5D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$73,990</w:t>
            </w:r>
          </w:p>
        </w:tc>
        <w:tc>
          <w:tcPr>
            <w:tcW w:w="1216" w:type="dxa"/>
            <w:noWrap/>
            <w:hideMark/>
          </w:tcPr>
          <w:p w14:paraId="7867F45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$13,820</w:t>
            </w:r>
          </w:p>
        </w:tc>
        <w:tc>
          <w:tcPr>
            <w:tcW w:w="1125" w:type="dxa"/>
            <w:noWrap/>
            <w:hideMark/>
          </w:tcPr>
          <w:p w14:paraId="4714AC2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$5,390</w:t>
            </w:r>
          </w:p>
        </w:tc>
      </w:tr>
      <w:tr w:rsidR="00F17BF1" w:rsidRPr="002246ED" w14:paraId="3AC5160F" w14:textId="77777777" w:rsidTr="002246ED">
        <w:trPr>
          <w:trHeight w:hRule="exact" w:val="230"/>
        </w:trPr>
        <w:tc>
          <w:tcPr>
            <w:tcW w:w="900" w:type="dxa"/>
            <w:noWrap/>
            <w:hideMark/>
          </w:tcPr>
          <w:p w14:paraId="7BB4596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NV</w:t>
            </w:r>
          </w:p>
        </w:tc>
        <w:tc>
          <w:tcPr>
            <w:tcW w:w="1080" w:type="dxa"/>
            <w:noWrap/>
            <w:hideMark/>
          </w:tcPr>
          <w:p w14:paraId="50D6EF7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03</w:t>
            </w:r>
          </w:p>
        </w:tc>
        <w:tc>
          <w:tcPr>
            <w:tcW w:w="5400" w:type="dxa"/>
            <w:noWrap/>
            <w:hideMark/>
          </w:tcPr>
          <w:p w14:paraId="60AE0F8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Inter-Tribal Council of Nevada, Inc. (Duckwater, etc.)</w:t>
            </w:r>
          </w:p>
        </w:tc>
        <w:tc>
          <w:tcPr>
            <w:tcW w:w="1304" w:type="dxa"/>
            <w:noWrap/>
            <w:hideMark/>
          </w:tcPr>
          <w:p w14:paraId="1096CA0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$73,990</w:t>
            </w:r>
          </w:p>
        </w:tc>
        <w:tc>
          <w:tcPr>
            <w:tcW w:w="1216" w:type="dxa"/>
            <w:noWrap/>
            <w:hideMark/>
          </w:tcPr>
          <w:p w14:paraId="03D1E89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$13,820</w:t>
            </w:r>
          </w:p>
        </w:tc>
        <w:tc>
          <w:tcPr>
            <w:tcW w:w="1125" w:type="dxa"/>
            <w:noWrap/>
            <w:hideMark/>
          </w:tcPr>
          <w:p w14:paraId="26D454C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$5,196</w:t>
            </w:r>
          </w:p>
        </w:tc>
      </w:tr>
      <w:tr w:rsidR="00F17BF1" w:rsidRPr="002246ED" w14:paraId="7FA88CF4" w14:textId="77777777" w:rsidTr="002246ED">
        <w:trPr>
          <w:trHeight w:hRule="exact" w:val="230"/>
        </w:trPr>
        <w:tc>
          <w:tcPr>
            <w:tcW w:w="900" w:type="dxa"/>
            <w:noWrap/>
            <w:hideMark/>
          </w:tcPr>
          <w:p w14:paraId="35EC070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NV</w:t>
            </w:r>
          </w:p>
        </w:tc>
        <w:tc>
          <w:tcPr>
            <w:tcW w:w="1080" w:type="dxa"/>
            <w:noWrap/>
            <w:hideMark/>
          </w:tcPr>
          <w:p w14:paraId="3AD67F9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04</w:t>
            </w:r>
          </w:p>
        </w:tc>
        <w:tc>
          <w:tcPr>
            <w:tcW w:w="5400" w:type="dxa"/>
            <w:noWrap/>
            <w:hideMark/>
          </w:tcPr>
          <w:p w14:paraId="51EAB5B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Inter-Tribal Council of Nevada, Inc. (Ely, etc.)</w:t>
            </w:r>
          </w:p>
        </w:tc>
        <w:tc>
          <w:tcPr>
            <w:tcW w:w="1304" w:type="dxa"/>
            <w:noWrap/>
            <w:hideMark/>
          </w:tcPr>
          <w:p w14:paraId="3449840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$73,990</w:t>
            </w:r>
          </w:p>
        </w:tc>
        <w:tc>
          <w:tcPr>
            <w:tcW w:w="1216" w:type="dxa"/>
            <w:noWrap/>
            <w:hideMark/>
          </w:tcPr>
          <w:p w14:paraId="035B890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$13,820</w:t>
            </w:r>
          </w:p>
        </w:tc>
        <w:tc>
          <w:tcPr>
            <w:tcW w:w="1125" w:type="dxa"/>
            <w:noWrap/>
            <w:hideMark/>
          </w:tcPr>
          <w:p w14:paraId="69A525D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$2,658</w:t>
            </w:r>
          </w:p>
        </w:tc>
      </w:tr>
      <w:tr w:rsidR="00F17BF1" w:rsidRPr="002246ED" w14:paraId="04DC7F8B" w14:textId="77777777" w:rsidTr="002246ED">
        <w:trPr>
          <w:trHeight w:hRule="exact" w:val="230"/>
        </w:trPr>
        <w:tc>
          <w:tcPr>
            <w:tcW w:w="900" w:type="dxa"/>
            <w:noWrap/>
            <w:hideMark/>
          </w:tcPr>
          <w:p w14:paraId="0034582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NV</w:t>
            </w:r>
          </w:p>
        </w:tc>
        <w:tc>
          <w:tcPr>
            <w:tcW w:w="1080" w:type="dxa"/>
            <w:noWrap/>
            <w:hideMark/>
          </w:tcPr>
          <w:p w14:paraId="73270FE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05</w:t>
            </w:r>
          </w:p>
        </w:tc>
        <w:tc>
          <w:tcPr>
            <w:tcW w:w="5400" w:type="dxa"/>
            <w:noWrap/>
            <w:hideMark/>
          </w:tcPr>
          <w:p w14:paraId="3C9A308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Shoshone-Paiute Tribes</w:t>
            </w:r>
          </w:p>
        </w:tc>
        <w:tc>
          <w:tcPr>
            <w:tcW w:w="1304" w:type="dxa"/>
            <w:noWrap/>
            <w:hideMark/>
          </w:tcPr>
          <w:p w14:paraId="02441C2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$107,430</w:t>
            </w:r>
          </w:p>
        </w:tc>
        <w:tc>
          <w:tcPr>
            <w:tcW w:w="1216" w:type="dxa"/>
            <w:noWrap/>
            <w:hideMark/>
          </w:tcPr>
          <w:p w14:paraId="09F8189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$34,550</w:t>
            </w:r>
          </w:p>
        </w:tc>
        <w:tc>
          <w:tcPr>
            <w:tcW w:w="1125" w:type="dxa"/>
            <w:noWrap/>
            <w:hideMark/>
          </w:tcPr>
          <w:p w14:paraId="0DD3792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$8,581</w:t>
            </w:r>
          </w:p>
        </w:tc>
      </w:tr>
      <w:tr w:rsidR="00F17BF1" w:rsidRPr="002246ED" w14:paraId="521B6CD8" w14:textId="77777777" w:rsidTr="002246ED">
        <w:trPr>
          <w:trHeight w:hRule="exact" w:val="230"/>
        </w:trPr>
        <w:tc>
          <w:tcPr>
            <w:tcW w:w="900" w:type="dxa"/>
            <w:noWrap/>
            <w:hideMark/>
          </w:tcPr>
          <w:p w14:paraId="1A15B7A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NV</w:t>
            </w:r>
          </w:p>
        </w:tc>
        <w:tc>
          <w:tcPr>
            <w:tcW w:w="1080" w:type="dxa"/>
            <w:noWrap/>
            <w:hideMark/>
          </w:tcPr>
          <w:p w14:paraId="4E341E3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06</w:t>
            </w:r>
          </w:p>
        </w:tc>
        <w:tc>
          <w:tcPr>
            <w:tcW w:w="5400" w:type="dxa"/>
            <w:noWrap/>
            <w:hideMark/>
          </w:tcPr>
          <w:p w14:paraId="4077BBD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Walker River Paiute Tribe</w:t>
            </w:r>
          </w:p>
        </w:tc>
        <w:tc>
          <w:tcPr>
            <w:tcW w:w="1304" w:type="dxa"/>
            <w:noWrap/>
            <w:hideMark/>
          </w:tcPr>
          <w:p w14:paraId="4C6E34D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3AEF1BF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hideMark/>
          </w:tcPr>
          <w:p w14:paraId="02109B1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$10,007</w:t>
            </w:r>
          </w:p>
        </w:tc>
      </w:tr>
      <w:tr w:rsidR="00F17BF1" w:rsidRPr="002246ED" w14:paraId="1E2E210F" w14:textId="77777777" w:rsidTr="002246ED">
        <w:trPr>
          <w:trHeight w:hRule="exact" w:val="230"/>
        </w:trPr>
        <w:tc>
          <w:tcPr>
            <w:tcW w:w="900" w:type="dxa"/>
            <w:noWrap/>
            <w:hideMark/>
          </w:tcPr>
          <w:p w14:paraId="012B74F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NV</w:t>
            </w:r>
          </w:p>
        </w:tc>
        <w:tc>
          <w:tcPr>
            <w:tcW w:w="1080" w:type="dxa"/>
            <w:noWrap/>
            <w:hideMark/>
          </w:tcPr>
          <w:p w14:paraId="7B33C23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07</w:t>
            </w:r>
          </w:p>
        </w:tc>
        <w:tc>
          <w:tcPr>
            <w:tcW w:w="5400" w:type="dxa"/>
            <w:noWrap/>
            <w:hideMark/>
          </w:tcPr>
          <w:p w14:paraId="0BAE633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Washoe Tribe of Nevada and California</w:t>
            </w:r>
          </w:p>
        </w:tc>
        <w:tc>
          <w:tcPr>
            <w:tcW w:w="1304" w:type="dxa"/>
            <w:noWrap/>
            <w:hideMark/>
          </w:tcPr>
          <w:p w14:paraId="3C21130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5BE358B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hideMark/>
          </w:tcPr>
          <w:p w14:paraId="3BCF63A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$15,471</w:t>
            </w:r>
          </w:p>
        </w:tc>
      </w:tr>
      <w:tr w:rsidR="00F17BF1" w:rsidRPr="002246ED" w14:paraId="65320D2F" w14:textId="77777777" w:rsidTr="002246ED">
        <w:trPr>
          <w:trHeight w:hRule="exact" w:val="230"/>
        </w:trPr>
        <w:tc>
          <w:tcPr>
            <w:tcW w:w="900" w:type="dxa"/>
            <w:noWrap/>
            <w:hideMark/>
          </w:tcPr>
          <w:p w14:paraId="6AB702C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NV</w:t>
            </w:r>
          </w:p>
        </w:tc>
        <w:tc>
          <w:tcPr>
            <w:tcW w:w="1080" w:type="dxa"/>
            <w:noWrap/>
            <w:hideMark/>
          </w:tcPr>
          <w:p w14:paraId="09F3882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08</w:t>
            </w:r>
          </w:p>
        </w:tc>
        <w:tc>
          <w:tcPr>
            <w:tcW w:w="5400" w:type="dxa"/>
            <w:noWrap/>
            <w:hideMark/>
          </w:tcPr>
          <w:p w14:paraId="5EBC236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Yerington Paiute Tribe</w:t>
            </w:r>
          </w:p>
        </w:tc>
        <w:tc>
          <w:tcPr>
            <w:tcW w:w="1304" w:type="dxa"/>
            <w:noWrap/>
            <w:hideMark/>
          </w:tcPr>
          <w:p w14:paraId="72A7065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$73,990</w:t>
            </w:r>
          </w:p>
        </w:tc>
        <w:tc>
          <w:tcPr>
            <w:tcW w:w="1216" w:type="dxa"/>
            <w:noWrap/>
            <w:hideMark/>
          </w:tcPr>
          <w:p w14:paraId="0CAA8B2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$13,820</w:t>
            </w:r>
          </w:p>
        </w:tc>
        <w:tc>
          <w:tcPr>
            <w:tcW w:w="1125" w:type="dxa"/>
            <w:noWrap/>
            <w:hideMark/>
          </w:tcPr>
          <w:p w14:paraId="05A9FBE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$7,272</w:t>
            </w:r>
          </w:p>
        </w:tc>
      </w:tr>
      <w:tr w:rsidR="00F17BF1" w:rsidRPr="002246ED" w14:paraId="2542647A" w14:textId="77777777" w:rsidTr="002246ED">
        <w:trPr>
          <w:trHeight w:hRule="exact" w:val="230"/>
        </w:trPr>
        <w:tc>
          <w:tcPr>
            <w:tcW w:w="900" w:type="dxa"/>
            <w:noWrap/>
            <w:hideMark/>
          </w:tcPr>
          <w:p w14:paraId="4C30A15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NV</w:t>
            </w:r>
          </w:p>
        </w:tc>
        <w:tc>
          <w:tcPr>
            <w:tcW w:w="1080" w:type="dxa"/>
            <w:noWrap/>
            <w:hideMark/>
          </w:tcPr>
          <w:p w14:paraId="00AB25B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09</w:t>
            </w:r>
          </w:p>
        </w:tc>
        <w:tc>
          <w:tcPr>
            <w:tcW w:w="5400" w:type="dxa"/>
            <w:noWrap/>
            <w:hideMark/>
          </w:tcPr>
          <w:p w14:paraId="40D3529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Pyramid Lake Paiute Tribe</w:t>
            </w:r>
          </w:p>
        </w:tc>
        <w:tc>
          <w:tcPr>
            <w:tcW w:w="1304" w:type="dxa"/>
            <w:noWrap/>
            <w:hideMark/>
          </w:tcPr>
          <w:p w14:paraId="06138A8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36B51F2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hideMark/>
          </w:tcPr>
          <w:p w14:paraId="5D79D08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$7,043</w:t>
            </w:r>
          </w:p>
        </w:tc>
      </w:tr>
      <w:tr w:rsidR="00F17BF1" w:rsidRPr="002246ED" w14:paraId="1954A543" w14:textId="77777777" w:rsidTr="002246ED">
        <w:trPr>
          <w:trHeight w:hRule="exact" w:val="230"/>
        </w:trPr>
        <w:tc>
          <w:tcPr>
            <w:tcW w:w="900" w:type="dxa"/>
            <w:noWrap/>
            <w:hideMark/>
          </w:tcPr>
          <w:p w14:paraId="7F15591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NV</w:t>
            </w:r>
          </w:p>
        </w:tc>
        <w:tc>
          <w:tcPr>
            <w:tcW w:w="1080" w:type="dxa"/>
            <w:noWrap/>
            <w:hideMark/>
          </w:tcPr>
          <w:p w14:paraId="710786B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10</w:t>
            </w:r>
          </w:p>
        </w:tc>
        <w:tc>
          <w:tcPr>
            <w:tcW w:w="5400" w:type="dxa"/>
            <w:noWrap/>
            <w:hideMark/>
          </w:tcPr>
          <w:p w14:paraId="48C91AA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Elko Band Council</w:t>
            </w:r>
          </w:p>
        </w:tc>
        <w:tc>
          <w:tcPr>
            <w:tcW w:w="1304" w:type="dxa"/>
            <w:noWrap/>
            <w:hideMark/>
          </w:tcPr>
          <w:p w14:paraId="660FC38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05CD8DA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hideMark/>
          </w:tcPr>
          <w:p w14:paraId="39C0178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$8,909</w:t>
            </w:r>
          </w:p>
        </w:tc>
      </w:tr>
      <w:tr w:rsidR="00F17BF1" w:rsidRPr="002246ED" w14:paraId="7823286F" w14:textId="77777777" w:rsidTr="002246ED">
        <w:trPr>
          <w:trHeight w:hRule="exact" w:val="230"/>
        </w:trPr>
        <w:tc>
          <w:tcPr>
            <w:tcW w:w="900" w:type="dxa"/>
            <w:noWrap/>
            <w:hideMark/>
          </w:tcPr>
          <w:p w14:paraId="5F54CCC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NV</w:t>
            </w:r>
          </w:p>
        </w:tc>
        <w:tc>
          <w:tcPr>
            <w:tcW w:w="1080" w:type="dxa"/>
            <w:noWrap/>
            <w:hideMark/>
          </w:tcPr>
          <w:p w14:paraId="534125D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11</w:t>
            </w:r>
          </w:p>
        </w:tc>
        <w:tc>
          <w:tcPr>
            <w:tcW w:w="5400" w:type="dxa"/>
            <w:noWrap/>
            <w:hideMark/>
          </w:tcPr>
          <w:p w14:paraId="0556903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Reno-Sparks Indian Colony</w:t>
            </w:r>
          </w:p>
        </w:tc>
        <w:tc>
          <w:tcPr>
            <w:tcW w:w="1304" w:type="dxa"/>
            <w:noWrap/>
            <w:hideMark/>
          </w:tcPr>
          <w:p w14:paraId="64E83EC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3CBDA1E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hideMark/>
          </w:tcPr>
          <w:p w14:paraId="51F9D31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$14,290</w:t>
            </w:r>
          </w:p>
        </w:tc>
      </w:tr>
      <w:tr w:rsidR="00F17BF1" w:rsidRPr="002246ED" w14:paraId="062ADC2A" w14:textId="77777777" w:rsidTr="002246ED">
        <w:trPr>
          <w:trHeight w:hRule="exact" w:val="230"/>
        </w:trPr>
        <w:tc>
          <w:tcPr>
            <w:tcW w:w="900" w:type="dxa"/>
            <w:noWrap/>
            <w:hideMark/>
          </w:tcPr>
          <w:p w14:paraId="77D334C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080" w:type="dxa"/>
            <w:noWrap/>
            <w:hideMark/>
          </w:tcPr>
          <w:p w14:paraId="7C9D1CF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5400" w:type="dxa"/>
            <w:noWrap/>
            <w:hideMark/>
          </w:tcPr>
          <w:p w14:paraId="326E46F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304" w:type="dxa"/>
            <w:noWrap/>
            <w:hideMark/>
          </w:tcPr>
          <w:p w14:paraId="4BA553F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$907,150</w:t>
            </w:r>
          </w:p>
        </w:tc>
        <w:tc>
          <w:tcPr>
            <w:tcW w:w="1216" w:type="dxa"/>
            <w:noWrap/>
            <w:hideMark/>
          </w:tcPr>
          <w:p w14:paraId="2092E33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$214,210</w:t>
            </w:r>
          </w:p>
        </w:tc>
        <w:tc>
          <w:tcPr>
            <w:tcW w:w="1125" w:type="dxa"/>
            <w:noWrap/>
            <w:hideMark/>
          </w:tcPr>
          <w:p w14:paraId="3E24004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$105,842</w:t>
            </w:r>
          </w:p>
        </w:tc>
      </w:tr>
      <w:tr w:rsidR="00F17BF1" w:rsidRPr="002246ED" w14:paraId="2D51D069" w14:textId="77777777" w:rsidTr="002246ED">
        <w:trPr>
          <w:trHeight w:hRule="exact" w:val="230"/>
        </w:trPr>
        <w:tc>
          <w:tcPr>
            <w:tcW w:w="900" w:type="dxa"/>
            <w:noWrap/>
            <w:hideMark/>
          </w:tcPr>
          <w:p w14:paraId="354CF83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NY</w:t>
            </w:r>
          </w:p>
        </w:tc>
        <w:tc>
          <w:tcPr>
            <w:tcW w:w="1080" w:type="dxa"/>
            <w:noWrap/>
            <w:hideMark/>
          </w:tcPr>
          <w:p w14:paraId="64DB68B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01</w:t>
            </w:r>
          </w:p>
        </w:tc>
        <w:tc>
          <w:tcPr>
            <w:tcW w:w="5400" w:type="dxa"/>
            <w:noWrap/>
            <w:hideMark/>
          </w:tcPr>
          <w:p w14:paraId="504C1AC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Saint Regis Mohawk Tribe</w:t>
            </w:r>
          </w:p>
        </w:tc>
        <w:tc>
          <w:tcPr>
            <w:tcW w:w="1304" w:type="dxa"/>
            <w:noWrap/>
            <w:hideMark/>
          </w:tcPr>
          <w:p w14:paraId="12AD15C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$137,640</w:t>
            </w:r>
          </w:p>
        </w:tc>
        <w:tc>
          <w:tcPr>
            <w:tcW w:w="1216" w:type="dxa"/>
            <w:noWrap/>
            <w:hideMark/>
          </w:tcPr>
          <w:p w14:paraId="1529049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$48,380</w:t>
            </w:r>
          </w:p>
        </w:tc>
        <w:tc>
          <w:tcPr>
            <w:tcW w:w="1125" w:type="dxa"/>
            <w:noWrap/>
            <w:hideMark/>
          </w:tcPr>
          <w:p w14:paraId="61A2603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$10,839</w:t>
            </w:r>
          </w:p>
        </w:tc>
      </w:tr>
      <w:tr w:rsidR="00F17BF1" w:rsidRPr="002246ED" w14:paraId="2DEE0215" w14:textId="77777777" w:rsidTr="002246ED">
        <w:trPr>
          <w:trHeight w:hRule="exact" w:val="230"/>
        </w:trPr>
        <w:tc>
          <w:tcPr>
            <w:tcW w:w="900" w:type="dxa"/>
            <w:noWrap/>
            <w:hideMark/>
          </w:tcPr>
          <w:p w14:paraId="36B508F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NY</w:t>
            </w:r>
          </w:p>
        </w:tc>
        <w:tc>
          <w:tcPr>
            <w:tcW w:w="1080" w:type="dxa"/>
            <w:noWrap/>
            <w:hideMark/>
          </w:tcPr>
          <w:p w14:paraId="5A26984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02</w:t>
            </w:r>
          </w:p>
        </w:tc>
        <w:tc>
          <w:tcPr>
            <w:tcW w:w="5400" w:type="dxa"/>
            <w:noWrap/>
            <w:hideMark/>
          </w:tcPr>
          <w:p w14:paraId="15AC580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Seneca Nation Area Office for the Aging</w:t>
            </w:r>
          </w:p>
        </w:tc>
        <w:tc>
          <w:tcPr>
            <w:tcW w:w="1304" w:type="dxa"/>
            <w:noWrap/>
            <w:hideMark/>
          </w:tcPr>
          <w:p w14:paraId="0FBA9B0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$137,640</w:t>
            </w:r>
          </w:p>
        </w:tc>
        <w:tc>
          <w:tcPr>
            <w:tcW w:w="1216" w:type="dxa"/>
            <w:noWrap/>
            <w:hideMark/>
          </w:tcPr>
          <w:p w14:paraId="04DB21A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$48,380</w:t>
            </w:r>
          </w:p>
        </w:tc>
        <w:tc>
          <w:tcPr>
            <w:tcW w:w="1125" w:type="dxa"/>
            <w:noWrap/>
            <w:hideMark/>
          </w:tcPr>
          <w:p w14:paraId="65A60A8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$19,465</w:t>
            </w:r>
          </w:p>
        </w:tc>
      </w:tr>
      <w:tr w:rsidR="00F17BF1" w:rsidRPr="002246ED" w14:paraId="45C0D06D" w14:textId="77777777" w:rsidTr="002246ED">
        <w:trPr>
          <w:trHeight w:hRule="exact" w:val="230"/>
        </w:trPr>
        <w:tc>
          <w:tcPr>
            <w:tcW w:w="900" w:type="dxa"/>
            <w:noWrap/>
            <w:hideMark/>
          </w:tcPr>
          <w:p w14:paraId="1ED2A5D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NY</w:t>
            </w:r>
          </w:p>
        </w:tc>
        <w:tc>
          <w:tcPr>
            <w:tcW w:w="1080" w:type="dxa"/>
            <w:noWrap/>
            <w:hideMark/>
          </w:tcPr>
          <w:p w14:paraId="1230E42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04</w:t>
            </w:r>
          </w:p>
        </w:tc>
        <w:tc>
          <w:tcPr>
            <w:tcW w:w="5400" w:type="dxa"/>
            <w:noWrap/>
            <w:hideMark/>
          </w:tcPr>
          <w:p w14:paraId="78AD64B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Oneida Indian Nation Elders Program</w:t>
            </w:r>
          </w:p>
        </w:tc>
        <w:tc>
          <w:tcPr>
            <w:tcW w:w="1304" w:type="dxa"/>
            <w:noWrap/>
            <w:hideMark/>
          </w:tcPr>
          <w:p w14:paraId="2EFE85D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7560972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hideMark/>
          </w:tcPr>
          <w:p w14:paraId="15930F5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$4,646</w:t>
            </w:r>
          </w:p>
        </w:tc>
      </w:tr>
      <w:tr w:rsidR="00F17BF1" w:rsidRPr="002246ED" w14:paraId="40142192" w14:textId="77777777" w:rsidTr="002246ED">
        <w:trPr>
          <w:trHeight w:hRule="exact" w:val="230"/>
        </w:trPr>
        <w:tc>
          <w:tcPr>
            <w:tcW w:w="900" w:type="dxa"/>
            <w:noWrap/>
            <w:hideMark/>
          </w:tcPr>
          <w:p w14:paraId="1108D28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NY</w:t>
            </w:r>
          </w:p>
        </w:tc>
        <w:tc>
          <w:tcPr>
            <w:tcW w:w="1080" w:type="dxa"/>
            <w:noWrap/>
            <w:hideMark/>
          </w:tcPr>
          <w:p w14:paraId="1A81FC6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05</w:t>
            </w:r>
          </w:p>
        </w:tc>
        <w:tc>
          <w:tcPr>
            <w:tcW w:w="5400" w:type="dxa"/>
            <w:noWrap/>
            <w:hideMark/>
          </w:tcPr>
          <w:p w14:paraId="07BC05E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Shinnecock Indian Nation</w:t>
            </w:r>
          </w:p>
        </w:tc>
        <w:tc>
          <w:tcPr>
            <w:tcW w:w="1304" w:type="dxa"/>
            <w:noWrap/>
            <w:hideMark/>
          </w:tcPr>
          <w:p w14:paraId="533C5C7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4DB5303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hideMark/>
          </w:tcPr>
          <w:p w14:paraId="3B0814D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$4,363</w:t>
            </w:r>
          </w:p>
        </w:tc>
      </w:tr>
      <w:tr w:rsidR="00F17BF1" w:rsidRPr="002246ED" w14:paraId="29569EE1" w14:textId="77777777" w:rsidTr="002246ED">
        <w:trPr>
          <w:trHeight w:hRule="exact" w:val="230"/>
        </w:trPr>
        <w:tc>
          <w:tcPr>
            <w:tcW w:w="900" w:type="dxa"/>
            <w:noWrap/>
            <w:hideMark/>
          </w:tcPr>
          <w:p w14:paraId="5F58B0F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080" w:type="dxa"/>
            <w:noWrap/>
            <w:hideMark/>
          </w:tcPr>
          <w:p w14:paraId="688A904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5400" w:type="dxa"/>
            <w:noWrap/>
            <w:hideMark/>
          </w:tcPr>
          <w:p w14:paraId="26CEFB9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304" w:type="dxa"/>
            <w:noWrap/>
            <w:hideMark/>
          </w:tcPr>
          <w:p w14:paraId="6D96C85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$443,200</w:t>
            </w:r>
          </w:p>
        </w:tc>
        <w:tc>
          <w:tcPr>
            <w:tcW w:w="1216" w:type="dxa"/>
            <w:noWrap/>
            <w:hideMark/>
          </w:tcPr>
          <w:p w14:paraId="4C908E7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$138,220</w:t>
            </w:r>
          </w:p>
        </w:tc>
        <w:tc>
          <w:tcPr>
            <w:tcW w:w="1125" w:type="dxa"/>
            <w:noWrap/>
            <w:hideMark/>
          </w:tcPr>
          <w:p w14:paraId="60B560F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$39,313</w:t>
            </w:r>
          </w:p>
        </w:tc>
      </w:tr>
      <w:tr w:rsidR="00F17BF1" w:rsidRPr="002246ED" w14:paraId="6825C815" w14:textId="77777777" w:rsidTr="002246ED">
        <w:trPr>
          <w:trHeight w:hRule="exact" w:val="230"/>
        </w:trPr>
        <w:tc>
          <w:tcPr>
            <w:tcW w:w="900" w:type="dxa"/>
            <w:noWrap/>
            <w:hideMark/>
          </w:tcPr>
          <w:p w14:paraId="7B19F6D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OK</w:t>
            </w:r>
          </w:p>
        </w:tc>
        <w:tc>
          <w:tcPr>
            <w:tcW w:w="1080" w:type="dxa"/>
            <w:noWrap/>
            <w:hideMark/>
          </w:tcPr>
          <w:p w14:paraId="2E1EFBB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01</w:t>
            </w:r>
          </w:p>
        </w:tc>
        <w:tc>
          <w:tcPr>
            <w:tcW w:w="5400" w:type="dxa"/>
            <w:noWrap/>
            <w:hideMark/>
          </w:tcPr>
          <w:p w14:paraId="75AC112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Apache Tribe of Oklahoma</w:t>
            </w:r>
          </w:p>
        </w:tc>
        <w:tc>
          <w:tcPr>
            <w:tcW w:w="1304" w:type="dxa"/>
            <w:noWrap/>
            <w:hideMark/>
          </w:tcPr>
          <w:p w14:paraId="651B8F7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6D5B90F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hideMark/>
          </w:tcPr>
          <w:p w14:paraId="6CD5FBB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$20,869</w:t>
            </w:r>
          </w:p>
        </w:tc>
      </w:tr>
      <w:tr w:rsidR="00F17BF1" w:rsidRPr="002246ED" w14:paraId="23CF2513" w14:textId="77777777" w:rsidTr="002246ED">
        <w:trPr>
          <w:trHeight w:hRule="exact" w:val="230"/>
        </w:trPr>
        <w:tc>
          <w:tcPr>
            <w:tcW w:w="900" w:type="dxa"/>
            <w:noWrap/>
            <w:hideMark/>
          </w:tcPr>
          <w:p w14:paraId="0C79C78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OK</w:t>
            </w:r>
          </w:p>
        </w:tc>
        <w:tc>
          <w:tcPr>
            <w:tcW w:w="1080" w:type="dxa"/>
            <w:noWrap/>
            <w:hideMark/>
          </w:tcPr>
          <w:p w14:paraId="36E8C0E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02</w:t>
            </w:r>
          </w:p>
        </w:tc>
        <w:tc>
          <w:tcPr>
            <w:tcW w:w="5400" w:type="dxa"/>
            <w:noWrap/>
            <w:hideMark/>
          </w:tcPr>
          <w:p w14:paraId="1A3DAB4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Caddo Nation of Oklahoma</w:t>
            </w:r>
          </w:p>
        </w:tc>
        <w:tc>
          <w:tcPr>
            <w:tcW w:w="1304" w:type="dxa"/>
            <w:noWrap/>
            <w:hideMark/>
          </w:tcPr>
          <w:p w14:paraId="4AE157B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$73,990</w:t>
            </w:r>
          </w:p>
        </w:tc>
        <w:tc>
          <w:tcPr>
            <w:tcW w:w="1216" w:type="dxa"/>
            <w:noWrap/>
            <w:hideMark/>
          </w:tcPr>
          <w:p w14:paraId="41EF619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$13,820</w:t>
            </w:r>
          </w:p>
        </w:tc>
        <w:tc>
          <w:tcPr>
            <w:tcW w:w="1125" w:type="dxa"/>
            <w:noWrap/>
            <w:hideMark/>
          </w:tcPr>
          <w:p w14:paraId="177FFB0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$1,991</w:t>
            </w:r>
          </w:p>
        </w:tc>
      </w:tr>
      <w:tr w:rsidR="00F17BF1" w:rsidRPr="002246ED" w14:paraId="5FBEE182" w14:textId="77777777" w:rsidTr="002246ED">
        <w:trPr>
          <w:trHeight w:hRule="exact" w:val="230"/>
        </w:trPr>
        <w:tc>
          <w:tcPr>
            <w:tcW w:w="900" w:type="dxa"/>
            <w:noWrap/>
            <w:hideMark/>
          </w:tcPr>
          <w:p w14:paraId="5CCE0D5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OK</w:t>
            </w:r>
          </w:p>
        </w:tc>
        <w:tc>
          <w:tcPr>
            <w:tcW w:w="1080" w:type="dxa"/>
            <w:noWrap/>
            <w:hideMark/>
          </w:tcPr>
          <w:p w14:paraId="67E2885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03</w:t>
            </w:r>
          </w:p>
        </w:tc>
        <w:tc>
          <w:tcPr>
            <w:tcW w:w="5400" w:type="dxa"/>
            <w:noWrap/>
            <w:hideMark/>
          </w:tcPr>
          <w:p w14:paraId="789635B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Cherokee Nation</w:t>
            </w:r>
          </w:p>
        </w:tc>
        <w:tc>
          <w:tcPr>
            <w:tcW w:w="1304" w:type="dxa"/>
            <w:noWrap/>
            <w:hideMark/>
          </w:tcPr>
          <w:p w14:paraId="3598B1A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$181,831</w:t>
            </w:r>
          </w:p>
        </w:tc>
        <w:tc>
          <w:tcPr>
            <w:tcW w:w="1216" w:type="dxa"/>
            <w:noWrap/>
            <w:hideMark/>
          </w:tcPr>
          <w:p w14:paraId="3DE5639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$56,560</w:t>
            </w:r>
          </w:p>
        </w:tc>
        <w:tc>
          <w:tcPr>
            <w:tcW w:w="1125" w:type="dxa"/>
            <w:noWrap/>
            <w:hideMark/>
          </w:tcPr>
          <w:p w14:paraId="24294EC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$53,767</w:t>
            </w:r>
          </w:p>
        </w:tc>
      </w:tr>
      <w:tr w:rsidR="00F17BF1" w:rsidRPr="002246ED" w14:paraId="76C14E4A" w14:textId="77777777" w:rsidTr="002246ED">
        <w:trPr>
          <w:trHeight w:hRule="exact" w:val="230"/>
        </w:trPr>
        <w:tc>
          <w:tcPr>
            <w:tcW w:w="900" w:type="dxa"/>
            <w:noWrap/>
            <w:hideMark/>
          </w:tcPr>
          <w:p w14:paraId="38DE163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OK</w:t>
            </w:r>
          </w:p>
        </w:tc>
        <w:tc>
          <w:tcPr>
            <w:tcW w:w="1080" w:type="dxa"/>
            <w:noWrap/>
            <w:hideMark/>
          </w:tcPr>
          <w:p w14:paraId="3B0600B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04</w:t>
            </w:r>
          </w:p>
        </w:tc>
        <w:tc>
          <w:tcPr>
            <w:tcW w:w="5400" w:type="dxa"/>
            <w:noWrap/>
            <w:hideMark/>
          </w:tcPr>
          <w:p w14:paraId="7057093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Cheyenne and Arapaho Tribes of Oklahoma</w:t>
            </w:r>
          </w:p>
        </w:tc>
        <w:tc>
          <w:tcPr>
            <w:tcW w:w="1304" w:type="dxa"/>
            <w:noWrap/>
            <w:hideMark/>
          </w:tcPr>
          <w:p w14:paraId="5609191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$137,640</w:t>
            </w:r>
          </w:p>
        </w:tc>
        <w:tc>
          <w:tcPr>
            <w:tcW w:w="1216" w:type="dxa"/>
            <w:noWrap/>
            <w:hideMark/>
          </w:tcPr>
          <w:p w14:paraId="36142AF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$48,380</w:t>
            </w:r>
          </w:p>
        </w:tc>
        <w:tc>
          <w:tcPr>
            <w:tcW w:w="1125" w:type="dxa"/>
            <w:noWrap/>
            <w:hideMark/>
          </w:tcPr>
          <w:p w14:paraId="3EC06A7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$6,757</w:t>
            </w:r>
          </w:p>
        </w:tc>
      </w:tr>
      <w:tr w:rsidR="00F17BF1" w:rsidRPr="002246ED" w14:paraId="01700944" w14:textId="77777777" w:rsidTr="002246ED">
        <w:trPr>
          <w:trHeight w:hRule="exact" w:val="230"/>
        </w:trPr>
        <w:tc>
          <w:tcPr>
            <w:tcW w:w="900" w:type="dxa"/>
            <w:noWrap/>
            <w:hideMark/>
          </w:tcPr>
          <w:p w14:paraId="70E55EC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OK</w:t>
            </w:r>
          </w:p>
        </w:tc>
        <w:tc>
          <w:tcPr>
            <w:tcW w:w="1080" w:type="dxa"/>
            <w:noWrap/>
            <w:hideMark/>
          </w:tcPr>
          <w:p w14:paraId="2A71AF5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06</w:t>
            </w:r>
          </w:p>
        </w:tc>
        <w:tc>
          <w:tcPr>
            <w:tcW w:w="5400" w:type="dxa"/>
            <w:noWrap/>
            <w:hideMark/>
          </w:tcPr>
          <w:p w14:paraId="6661701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Choctaw Nation of Oklahoma</w:t>
            </w:r>
          </w:p>
        </w:tc>
        <w:tc>
          <w:tcPr>
            <w:tcW w:w="1304" w:type="dxa"/>
            <w:noWrap/>
            <w:hideMark/>
          </w:tcPr>
          <w:p w14:paraId="4316962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$180,720</w:t>
            </w:r>
          </w:p>
        </w:tc>
        <w:tc>
          <w:tcPr>
            <w:tcW w:w="1216" w:type="dxa"/>
            <w:noWrap/>
            <w:hideMark/>
          </w:tcPr>
          <w:p w14:paraId="548BF21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$55,280</w:t>
            </w:r>
          </w:p>
        </w:tc>
        <w:tc>
          <w:tcPr>
            <w:tcW w:w="1125" w:type="dxa"/>
            <w:noWrap/>
            <w:hideMark/>
          </w:tcPr>
          <w:p w14:paraId="17D27F7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$41,288</w:t>
            </w:r>
          </w:p>
        </w:tc>
      </w:tr>
      <w:tr w:rsidR="00F17BF1" w:rsidRPr="002246ED" w14:paraId="5E0B646C" w14:textId="77777777" w:rsidTr="002246ED">
        <w:trPr>
          <w:trHeight w:hRule="exact" w:val="230"/>
        </w:trPr>
        <w:tc>
          <w:tcPr>
            <w:tcW w:w="900" w:type="dxa"/>
            <w:noWrap/>
            <w:hideMark/>
          </w:tcPr>
          <w:p w14:paraId="422028C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OK</w:t>
            </w:r>
          </w:p>
        </w:tc>
        <w:tc>
          <w:tcPr>
            <w:tcW w:w="1080" w:type="dxa"/>
            <w:noWrap/>
            <w:hideMark/>
          </w:tcPr>
          <w:p w14:paraId="66CA3C0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07</w:t>
            </w:r>
          </w:p>
        </w:tc>
        <w:tc>
          <w:tcPr>
            <w:tcW w:w="5400" w:type="dxa"/>
            <w:noWrap/>
            <w:hideMark/>
          </w:tcPr>
          <w:p w14:paraId="776DD20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Citizen Potawatomi Nation</w:t>
            </w:r>
          </w:p>
        </w:tc>
        <w:tc>
          <w:tcPr>
            <w:tcW w:w="1304" w:type="dxa"/>
            <w:noWrap/>
            <w:hideMark/>
          </w:tcPr>
          <w:p w14:paraId="4B1E34B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$180,720</w:t>
            </w:r>
          </w:p>
        </w:tc>
        <w:tc>
          <w:tcPr>
            <w:tcW w:w="1216" w:type="dxa"/>
            <w:noWrap/>
            <w:hideMark/>
          </w:tcPr>
          <w:p w14:paraId="60D883A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$55,280</w:t>
            </w:r>
          </w:p>
        </w:tc>
        <w:tc>
          <w:tcPr>
            <w:tcW w:w="1125" w:type="dxa"/>
            <w:noWrap/>
            <w:hideMark/>
          </w:tcPr>
          <w:p w14:paraId="6D407D1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$12,567</w:t>
            </w:r>
          </w:p>
        </w:tc>
      </w:tr>
      <w:tr w:rsidR="00F17BF1" w:rsidRPr="002246ED" w14:paraId="2FE30D8F" w14:textId="77777777" w:rsidTr="002246ED">
        <w:trPr>
          <w:trHeight w:hRule="exact" w:val="230"/>
        </w:trPr>
        <w:tc>
          <w:tcPr>
            <w:tcW w:w="900" w:type="dxa"/>
            <w:noWrap/>
            <w:hideMark/>
          </w:tcPr>
          <w:p w14:paraId="76185C5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OK</w:t>
            </w:r>
          </w:p>
        </w:tc>
        <w:tc>
          <w:tcPr>
            <w:tcW w:w="1080" w:type="dxa"/>
            <w:noWrap/>
            <w:hideMark/>
          </w:tcPr>
          <w:p w14:paraId="1F9AB4D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08</w:t>
            </w:r>
          </w:p>
        </w:tc>
        <w:tc>
          <w:tcPr>
            <w:tcW w:w="5400" w:type="dxa"/>
            <w:noWrap/>
            <w:hideMark/>
          </w:tcPr>
          <w:p w14:paraId="0D1984E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Comanche Nation</w:t>
            </w:r>
          </w:p>
        </w:tc>
        <w:tc>
          <w:tcPr>
            <w:tcW w:w="1304" w:type="dxa"/>
            <w:noWrap/>
            <w:hideMark/>
          </w:tcPr>
          <w:p w14:paraId="270BC2F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$137,640</w:t>
            </w:r>
          </w:p>
        </w:tc>
        <w:tc>
          <w:tcPr>
            <w:tcW w:w="1216" w:type="dxa"/>
            <w:noWrap/>
            <w:hideMark/>
          </w:tcPr>
          <w:p w14:paraId="0942868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$48,380</w:t>
            </w:r>
          </w:p>
        </w:tc>
        <w:tc>
          <w:tcPr>
            <w:tcW w:w="1125" w:type="dxa"/>
            <w:noWrap/>
            <w:hideMark/>
          </w:tcPr>
          <w:p w14:paraId="582F768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$21,960</w:t>
            </w:r>
          </w:p>
        </w:tc>
      </w:tr>
      <w:tr w:rsidR="00F17BF1" w:rsidRPr="002246ED" w14:paraId="4394BA76" w14:textId="77777777" w:rsidTr="002246ED">
        <w:trPr>
          <w:trHeight w:hRule="exact" w:val="230"/>
        </w:trPr>
        <w:tc>
          <w:tcPr>
            <w:tcW w:w="900" w:type="dxa"/>
            <w:noWrap/>
            <w:hideMark/>
          </w:tcPr>
          <w:p w14:paraId="348BEBB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OK</w:t>
            </w:r>
          </w:p>
        </w:tc>
        <w:tc>
          <w:tcPr>
            <w:tcW w:w="1080" w:type="dxa"/>
            <w:noWrap/>
            <w:hideMark/>
          </w:tcPr>
          <w:p w14:paraId="76DF5B6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09</w:t>
            </w:r>
          </w:p>
        </w:tc>
        <w:tc>
          <w:tcPr>
            <w:tcW w:w="5400" w:type="dxa"/>
            <w:noWrap/>
            <w:hideMark/>
          </w:tcPr>
          <w:p w14:paraId="71C2123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Delaware Nation</w:t>
            </w:r>
          </w:p>
        </w:tc>
        <w:tc>
          <w:tcPr>
            <w:tcW w:w="1304" w:type="dxa"/>
            <w:noWrap/>
            <w:hideMark/>
          </w:tcPr>
          <w:p w14:paraId="3D41069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$78,960</w:t>
            </w:r>
          </w:p>
        </w:tc>
        <w:tc>
          <w:tcPr>
            <w:tcW w:w="1216" w:type="dxa"/>
            <w:noWrap/>
            <w:hideMark/>
          </w:tcPr>
          <w:p w14:paraId="02A5D30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$13,820</w:t>
            </w:r>
          </w:p>
        </w:tc>
        <w:tc>
          <w:tcPr>
            <w:tcW w:w="1125" w:type="dxa"/>
            <w:noWrap/>
            <w:hideMark/>
          </w:tcPr>
          <w:p w14:paraId="2E9C772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$8,846</w:t>
            </w:r>
          </w:p>
        </w:tc>
      </w:tr>
      <w:tr w:rsidR="00F17BF1" w:rsidRPr="002246ED" w14:paraId="71FED723" w14:textId="77777777" w:rsidTr="002246ED">
        <w:trPr>
          <w:trHeight w:hRule="exact" w:val="230"/>
        </w:trPr>
        <w:tc>
          <w:tcPr>
            <w:tcW w:w="900" w:type="dxa"/>
            <w:noWrap/>
            <w:hideMark/>
          </w:tcPr>
          <w:p w14:paraId="3BC22BC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OK</w:t>
            </w:r>
          </w:p>
        </w:tc>
        <w:tc>
          <w:tcPr>
            <w:tcW w:w="1080" w:type="dxa"/>
            <w:noWrap/>
            <w:hideMark/>
          </w:tcPr>
          <w:p w14:paraId="2316C5F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10</w:t>
            </w:r>
          </w:p>
        </w:tc>
        <w:tc>
          <w:tcPr>
            <w:tcW w:w="5400" w:type="dxa"/>
            <w:noWrap/>
            <w:hideMark/>
          </w:tcPr>
          <w:p w14:paraId="3BB4750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Iowa Tribe of Oklahoma</w:t>
            </w:r>
          </w:p>
        </w:tc>
        <w:tc>
          <w:tcPr>
            <w:tcW w:w="1304" w:type="dxa"/>
            <w:noWrap/>
            <w:hideMark/>
          </w:tcPr>
          <w:p w14:paraId="14FB975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$137,640</w:t>
            </w:r>
          </w:p>
        </w:tc>
        <w:tc>
          <w:tcPr>
            <w:tcW w:w="1216" w:type="dxa"/>
            <w:noWrap/>
            <w:hideMark/>
          </w:tcPr>
          <w:p w14:paraId="12EABF9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$48,380</w:t>
            </w:r>
          </w:p>
        </w:tc>
        <w:tc>
          <w:tcPr>
            <w:tcW w:w="1125" w:type="dxa"/>
            <w:noWrap/>
            <w:hideMark/>
          </w:tcPr>
          <w:p w14:paraId="52C5313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$7,747</w:t>
            </w:r>
          </w:p>
        </w:tc>
      </w:tr>
      <w:tr w:rsidR="00F17BF1" w:rsidRPr="002246ED" w14:paraId="546741F3" w14:textId="77777777" w:rsidTr="002246ED">
        <w:trPr>
          <w:trHeight w:hRule="exact" w:val="230"/>
        </w:trPr>
        <w:tc>
          <w:tcPr>
            <w:tcW w:w="900" w:type="dxa"/>
            <w:noWrap/>
            <w:hideMark/>
          </w:tcPr>
          <w:p w14:paraId="58903BB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OK</w:t>
            </w:r>
          </w:p>
        </w:tc>
        <w:tc>
          <w:tcPr>
            <w:tcW w:w="1080" w:type="dxa"/>
            <w:noWrap/>
            <w:hideMark/>
          </w:tcPr>
          <w:p w14:paraId="304FF22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12</w:t>
            </w:r>
          </w:p>
        </w:tc>
        <w:tc>
          <w:tcPr>
            <w:tcW w:w="5400" w:type="dxa"/>
            <w:noWrap/>
            <w:hideMark/>
          </w:tcPr>
          <w:p w14:paraId="0609F37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Kickapoo Tribe of Oklahoma</w:t>
            </w:r>
          </w:p>
        </w:tc>
        <w:tc>
          <w:tcPr>
            <w:tcW w:w="1304" w:type="dxa"/>
            <w:noWrap/>
            <w:hideMark/>
          </w:tcPr>
          <w:p w14:paraId="46CD537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$100,000</w:t>
            </w:r>
          </w:p>
        </w:tc>
        <w:tc>
          <w:tcPr>
            <w:tcW w:w="1216" w:type="dxa"/>
            <w:noWrap/>
            <w:hideMark/>
          </w:tcPr>
          <w:p w14:paraId="4E083AD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hideMark/>
          </w:tcPr>
          <w:p w14:paraId="2CC6744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$10,587</w:t>
            </w:r>
          </w:p>
        </w:tc>
      </w:tr>
      <w:tr w:rsidR="00F17BF1" w:rsidRPr="002246ED" w14:paraId="171FD6E5" w14:textId="77777777" w:rsidTr="002246ED">
        <w:trPr>
          <w:trHeight w:hRule="exact" w:val="230"/>
        </w:trPr>
        <w:tc>
          <w:tcPr>
            <w:tcW w:w="900" w:type="dxa"/>
            <w:noWrap/>
            <w:hideMark/>
          </w:tcPr>
          <w:p w14:paraId="1859DAA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OK</w:t>
            </w:r>
          </w:p>
        </w:tc>
        <w:tc>
          <w:tcPr>
            <w:tcW w:w="1080" w:type="dxa"/>
            <w:noWrap/>
            <w:hideMark/>
          </w:tcPr>
          <w:p w14:paraId="4A26D8B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w:t>
            </w:r>
          </w:p>
        </w:tc>
        <w:tc>
          <w:tcPr>
            <w:tcW w:w="5400" w:type="dxa"/>
            <w:noWrap/>
            <w:hideMark/>
          </w:tcPr>
          <w:p w14:paraId="4F53E0D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Kiowa Tribe of Oklahoma</w:t>
            </w:r>
          </w:p>
        </w:tc>
        <w:tc>
          <w:tcPr>
            <w:tcW w:w="1304" w:type="dxa"/>
            <w:noWrap/>
            <w:hideMark/>
          </w:tcPr>
          <w:p w14:paraId="5FE51FB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$180,720</w:t>
            </w:r>
          </w:p>
        </w:tc>
        <w:tc>
          <w:tcPr>
            <w:tcW w:w="1216" w:type="dxa"/>
            <w:noWrap/>
            <w:hideMark/>
          </w:tcPr>
          <w:p w14:paraId="73FFD07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$55,280</w:t>
            </w:r>
          </w:p>
        </w:tc>
        <w:tc>
          <w:tcPr>
            <w:tcW w:w="1125" w:type="dxa"/>
            <w:noWrap/>
            <w:hideMark/>
          </w:tcPr>
          <w:p w14:paraId="37ECEBD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$5,421</w:t>
            </w:r>
          </w:p>
        </w:tc>
      </w:tr>
      <w:tr w:rsidR="00F17BF1" w:rsidRPr="002246ED" w14:paraId="278F555C" w14:textId="77777777" w:rsidTr="002246ED">
        <w:trPr>
          <w:trHeight w:hRule="exact" w:val="230"/>
        </w:trPr>
        <w:tc>
          <w:tcPr>
            <w:tcW w:w="900" w:type="dxa"/>
            <w:noWrap/>
            <w:hideMark/>
          </w:tcPr>
          <w:p w14:paraId="3B83CF7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OK</w:t>
            </w:r>
          </w:p>
        </w:tc>
        <w:tc>
          <w:tcPr>
            <w:tcW w:w="1080" w:type="dxa"/>
            <w:noWrap/>
            <w:hideMark/>
          </w:tcPr>
          <w:p w14:paraId="4ABB75A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14</w:t>
            </w:r>
          </w:p>
        </w:tc>
        <w:tc>
          <w:tcPr>
            <w:tcW w:w="5400" w:type="dxa"/>
            <w:noWrap/>
            <w:hideMark/>
          </w:tcPr>
          <w:p w14:paraId="149E5F7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Miami Tribe of Oklahoma</w:t>
            </w:r>
          </w:p>
        </w:tc>
        <w:tc>
          <w:tcPr>
            <w:tcW w:w="1304" w:type="dxa"/>
            <w:noWrap/>
            <w:hideMark/>
          </w:tcPr>
          <w:p w14:paraId="1AC0339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$137,640</w:t>
            </w:r>
          </w:p>
        </w:tc>
        <w:tc>
          <w:tcPr>
            <w:tcW w:w="1216" w:type="dxa"/>
            <w:noWrap/>
            <w:hideMark/>
          </w:tcPr>
          <w:p w14:paraId="5A88E56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$48,380</w:t>
            </w:r>
          </w:p>
        </w:tc>
        <w:tc>
          <w:tcPr>
            <w:tcW w:w="1125" w:type="dxa"/>
            <w:noWrap/>
            <w:hideMark/>
          </w:tcPr>
          <w:p w14:paraId="50D5725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$38,783</w:t>
            </w:r>
          </w:p>
        </w:tc>
      </w:tr>
      <w:tr w:rsidR="00F17BF1" w:rsidRPr="002246ED" w14:paraId="4BEF315D" w14:textId="77777777" w:rsidTr="002246ED">
        <w:trPr>
          <w:trHeight w:hRule="exact" w:val="230"/>
        </w:trPr>
        <w:tc>
          <w:tcPr>
            <w:tcW w:w="900" w:type="dxa"/>
            <w:noWrap/>
            <w:hideMark/>
          </w:tcPr>
          <w:p w14:paraId="40CA6C4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OK</w:t>
            </w:r>
          </w:p>
        </w:tc>
        <w:tc>
          <w:tcPr>
            <w:tcW w:w="1080" w:type="dxa"/>
            <w:noWrap/>
            <w:hideMark/>
          </w:tcPr>
          <w:p w14:paraId="30A8F96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15</w:t>
            </w:r>
          </w:p>
        </w:tc>
        <w:tc>
          <w:tcPr>
            <w:tcW w:w="5400" w:type="dxa"/>
            <w:noWrap/>
            <w:hideMark/>
          </w:tcPr>
          <w:p w14:paraId="5D747F7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Muscogee Creek Nation Elderly Nutrition Program</w:t>
            </w:r>
          </w:p>
        </w:tc>
        <w:tc>
          <w:tcPr>
            <w:tcW w:w="1304" w:type="dxa"/>
            <w:noWrap/>
            <w:hideMark/>
          </w:tcPr>
          <w:p w14:paraId="594AE80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$180,720</w:t>
            </w:r>
          </w:p>
        </w:tc>
        <w:tc>
          <w:tcPr>
            <w:tcW w:w="1216" w:type="dxa"/>
            <w:noWrap/>
            <w:hideMark/>
          </w:tcPr>
          <w:p w14:paraId="29B4085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$55,280</w:t>
            </w:r>
          </w:p>
        </w:tc>
        <w:tc>
          <w:tcPr>
            <w:tcW w:w="1125" w:type="dxa"/>
            <w:noWrap/>
            <w:hideMark/>
          </w:tcPr>
          <w:p w14:paraId="7AAFF8F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$160,095</w:t>
            </w:r>
          </w:p>
        </w:tc>
      </w:tr>
      <w:tr w:rsidR="00F17BF1" w:rsidRPr="002246ED" w14:paraId="4FD0FCF4" w14:textId="77777777" w:rsidTr="002246ED">
        <w:trPr>
          <w:trHeight w:hRule="exact" w:val="230"/>
        </w:trPr>
        <w:tc>
          <w:tcPr>
            <w:tcW w:w="900" w:type="dxa"/>
            <w:noWrap/>
            <w:hideMark/>
          </w:tcPr>
          <w:p w14:paraId="32458C9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OK</w:t>
            </w:r>
          </w:p>
        </w:tc>
        <w:tc>
          <w:tcPr>
            <w:tcW w:w="1080" w:type="dxa"/>
            <w:noWrap/>
            <w:hideMark/>
          </w:tcPr>
          <w:p w14:paraId="312F1B2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18</w:t>
            </w:r>
          </w:p>
        </w:tc>
        <w:tc>
          <w:tcPr>
            <w:tcW w:w="5400" w:type="dxa"/>
            <w:noWrap/>
            <w:hideMark/>
          </w:tcPr>
          <w:p w14:paraId="7730832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Ottawa Tribe of Oklahoma</w:t>
            </w:r>
          </w:p>
        </w:tc>
        <w:tc>
          <w:tcPr>
            <w:tcW w:w="1304" w:type="dxa"/>
            <w:noWrap/>
            <w:hideMark/>
          </w:tcPr>
          <w:p w14:paraId="1B24318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$137,640</w:t>
            </w:r>
          </w:p>
        </w:tc>
        <w:tc>
          <w:tcPr>
            <w:tcW w:w="1216" w:type="dxa"/>
            <w:noWrap/>
            <w:hideMark/>
          </w:tcPr>
          <w:p w14:paraId="568DEC0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$48,380</w:t>
            </w:r>
          </w:p>
        </w:tc>
        <w:tc>
          <w:tcPr>
            <w:tcW w:w="1125" w:type="dxa"/>
            <w:noWrap/>
            <w:hideMark/>
          </w:tcPr>
          <w:p w14:paraId="1DA4A16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$27,995</w:t>
            </w:r>
          </w:p>
        </w:tc>
      </w:tr>
      <w:tr w:rsidR="00F17BF1" w:rsidRPr="002246ED" w14:paraId="10F1E8B0" w14:textId="77777777" w:rsidTr="002246ED">
        <w:trPr>
          <w:trHeight w:hRule="exact" w:val="230"/>
        </w:trPr>
        <w:tc>
          <w:tcPr>
            <w:tcW w:w="900" w:type="dxa"/>
            <w:noWrap/>
            <w:hideMark/>
          </w:tcPr>
          <w:p w14:paraId="1F85053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OK</w:t>
            </w:r>
          </w:p>
        </w:tc>
        <w:tc>
          <w:tcPr>
            <w:tcW w:w="1080" w:type="dxa"/>
            <w:noWrap/>
            <w:hideMark/>
          </w:tcPr>
          <w:p w14:paraId="4D26E4E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19</w:t>
            </w:r>
          </w:p>
        </w:tc>
        <w:tc>
          <w:tcPr>
            <w:tcW w:w="5400" w:type="dxa"/>
            <w:noWrap/>
            <w:hideMark/>
          </w:tcPr>
          <w:p w14:paraId="68275EE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Pawnee Nation of Oklahoma</w:t>
            </w:r>
          </w:p>
        </w:tc>
        <w:tc>
          <w:tcPr>
            <w:tcW w:w="1304" w:type="dxa"/>
            <w:noWrap/>
            <w:hideMark/>
          </w:tcPr>
          <w:p w14:paraId="4970DBF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$107,430</w:t>
            </w:r>
          </w:p>
        </w:tc>
        <w:tc>
          <w:tcPr>
            <w:tcW w:w="1216" w:type="dxa"/>
            <w:noWrap/>
            <w:hideMark/>
          </w:tcPr>
          <w:p w14:paraId="09B2C1D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$34,550</w:t>
            </w:r>
          </w:p>
        </w:tc>
        <w:tc>
          <w:tcPr>
            <w:tcW w:w="1125" w:type="dxa"/>
            <w:noWrap/>
            <w:hideMark/>
          </w:tcPr>
          <w:p w14:paraId="29C1F57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$10,943</w:t>
            </w:r>
          </w:p>
        </w:tc>
      </w:tr>
      <w:tr w:rsidR="00F17BF1" w:rsidRPr="002246ED" w14:paraId="2FCD6C3C" w14:textId="77777777" w:rsidTr="002246ED">
        <w:trPr>
          <w:trHeight w:hRule="exact" w:val="230"/>
        </w:trPr>
        <w:tc>
          <w:tcPr>
            <w:tcW w:w="900" w:type="dxa"/>
            <w:noWrap/>
            <w:hideMark/>
          </w:tcPr>
          <w:p w14:paraId="2B786C5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OK</w:t>
            </w:r>
          </w:p>
        </w:tc>
        <w:tc>
          <w:tcPr>
            <w:tcW w:w="1080" w:type="dxa"/>
            <w:noWrap/>
            <w:hideMark/>
          </w:tcPr>
          <w:p w14:paraId="45E165F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w:t>
            </w:r>
          </w:p>
        </w:tc>
        <w:tc>
          <w:tcPr>
            <w:tcW w:w="5400" w:type="dxa"/>
            <w:noWrap/>
            <w:hideMark/>
          </w:tcPr>
          <w:p w14:paraId="7311106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Peoria Tribe of Indians of Oklahoma</w:t>
            </w:r>
          </w:p>
        </w:tc>
        <w:tc>
          <w:tcPr>
            <w:tcW w:w="1304" w:type="dxa"/>
            <w:noWrap/>
            <w:hideMark/>
          </w:tcPr>
          <w:p w14:paraId="70AEA27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$118,820</w:t>
            </w:r>
          </w:p>
        </w:tc>
        <w:tc>
          <w:tcPr>
            <w:tcW w:w="1216" w:type="dxa"/>
            <w:noWrap/>
            <w:hideMark/>
          </w:tcPr>
          <w:p w14:paraId="769CB7C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$41,470</w:t>
            </w:r>
          </w:p>
        </w:tc>
        <w:tc>
          <w:tcPr>
            <w:tcW w:w="1125" w:type="dxa"/>
            <w:noWrap/>
            <w:hideMark/>
          </w:tcPr>
          <w:p w14:paraId="75433EC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$13,796</w:t>
            </w:r>
          </w:p>
        </w:tc>
      </w:tr>
      <w:tr w:rsidR="00F17BF1" w:rsidRPr="002246ED" w14:paraId="787B24F0" w14:textId="77777777" w:rsidTr="002246ED">
        <w:trPr>
          <w:trHeight w:hRule="exact" w:val="230"/>
        </w:trPr>
        <w:tc>
          <w:tcPr>
            <w:tcW w:w="900" w:type="dxa"/>
            <w:noWrap/>
            <w:hideMark/>
          </w:tcPr>
          <w:p w14:paraId="76BDF5F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OK</w:t>
            </w:r>
          </w:p>
        </w:tc>
        <w:tc>
          <w:tcPr>
            <w:tcW w:w="1080" w:type="dxa"/>
            <w:noWrap/>
            <w:hideMark/>
          </w:tcPr>
          <w:p w14:paraId="7091D91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21</w:t>
            </w:r>
          </w:p>
        </w:tc>
        <w:tc>
          <w:tcPr>
            <w:tcW w:w="5400" w:type="dxa"/>
            <w:noWrap/>
            <w:hideMark/>
          </w:tcPr>
          <w:p w14:paraId="2642824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Ponca Tribe of Indians of Oklahoma</w:t>
            </w:r>
          </w:p>
        </w:tc>
        <w:tc>
          <w:tcPr>
            <w:tcW w:w="1304" w:type="dxa"/>
            <w:noWrap/>
            <w:hideMark/>
          </w:tcPr>
          <w:p w14:paraId="608DA54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$107,430</w:t>
            </w:r>
          </w:p>
        </w:tc>
        <w:tc>
          <w:tcPr>
            <w:tcW w:w="1216" w:type="dxa"/>
            <w:noWrap/>
            <w:hideMark/>
          </w:tcPr>
          <w:p w14:paraId="350B794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$34,550</w:t>
            </w:r>
          </w:p>
        </w:tc>
        <w:tc>
          <w:tcPr>
            <w:tcW w:w="1125" w:type="dxa"/>
            <w:noWrap/>
            <w:hideMark/>
          </w:tcPr>
          <w:p w14:paraId="1439624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$11,028</w:t>
            </w:r>
          </w:p>
        </w:tc>
      </w:tr>
      <w:tr w:rsidR="00F17BF1" w:rsidRPr="002246ED" w14:paraId="4DC3C66E" w14:textId="77777777" w:rsidTr="002246ED">
        <w:trPr>
          <w:trHeight w:hRule="exact" w:val="230"/>
        </w:trPr>
        <w:tc>
          <w:tcPr>
            <w:tcW w:w="900" w:type="dxa"/>
            <w:noWrap/>
            <w:hideMark/>
          </w:tcPr>
          <w:p w14:paraId="2744F66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OK</w:t>
            </w:r>
          </w:p>
        </w:tc>
        <w:tc>
          <w:tcPr>
            <w:tcW w:w="1080" w:type="dxa"/>
            <w:noWrap/>
            <w:hideMark/>
          </w:tcPr>
          <w:p w14:paraId="1BADF14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22</w:t>
            </w:r>
          </w:p>
        </w:tc>
        <w:tc>
          <w:tcPr>
            <w:tcW w:w="5400" w:type="dxa"/>
            <w:noWrap/>
            <w:hideMark/>
          </w:tcPr>
          <w:p w14:paraId="7B0E60D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Quapaw Tribe Elders Center</w:t>
            </w:r>
          </w:p>
        </w:tc>
        <w:tc>
          <w:tcPr>
            <w:tcW w:w="1304" w:type="dxa"/>
            <w:noWrap/>
            <w:hideMark/>
          </w:tcPr>
          <w:p w14:paraId="71A745A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$137,640</w:t>
            </w:r>
          </w:p>
        </w:tc>
        <w:tc>
          <w:tcPr>
            <w:tcW w:w="1216" w:type="dxa"/>
            <w:noWrap/>
            <w:hideMark/>
          </w:tcPr>
          <w:p w14:paraId="3928984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$48,380</w:t>
            </w:r>
          </w:p>
        </w:tc>
        <w:tc>
          <w:tcPr>
            <w:tcW w:w="1125" w:type="dxa"/>
            <w:noWrap/>
            <w:hideMark/>
          </w:tcPr>
          <w:p w14:paraId="65677A1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$8,184</w:t>
            </w:r>
          </w:p>
        </w:tc>
      </w:tr>
      <w:tr w:rsidR="00F17BF1" w:rsidRPr="002246ED" w14:paraId="27AF5137" w14:textId="77777777" w:rsidTr="002246ED">
        <w:trPr>
          <w:trHeight w:hRule="exact" w:val="230"/>
        </w:trPr>
        <w:tc>
          <w:tcPr>
            <w:tcW w:w="900" w:type="dxa"/>
            <w:noWrap/>
            <w:hideMark/>
          </w:tcPr>
          <w:p w14:paraId="6AA0506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OK</w:t>
            </w:r>
          </w:p>
        </w:tc>
        <w:tc>
          <w:tcPr>
            <w:tcW w:w="1080" w:type="dxa"/>
            <w:noWrap/>
            <w:hideMark/>
          </w:tcPr>
          <w:p w14:paraId="2338CB6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23</w:t>
            </w:r>
          </w:p>
        </w:tc>
        <w:tc>
          <w:tcPr>
            <w:tcW w:w="5400" w:type="dxa"/>
            <w:noWrap/>
            <w:hideMark/>
          </w:tcPr>
          <w:p w14:paraId="54E09F7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Sac and Fox Nation of Oklahoma</w:t>
            </w:r>
          </w:p>
        </w:tc>
        <w:tc>
          <w:tcPr>
            <w:tcW w:w="1304" w:type="dxa"/>
            <w:noWrap/>
            <w:hideMark/>
          </w:tcPr>
          <w:p w14:paraId="485258A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$137,640</w:t>
            </w:r>
          </w:p>
        </w:tc>
        <w:tc>
          <w:tcPr>
            <w:tcW w:w="1216" w:type="dxa"/>
            <w:noWrap/>
            <w:hideMark/>
          </w:tcPr>
          <w:p w14:paraId="1A207A0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$48,380</w:t>
            </w:r>
          </w:p>
        </w:tc>
        <w:tc>
          <w:tcPr>
            <w:tcW w:w="1125" w:type="dxa"/>
            <w:noWrap/>
            <w:hideMark/>
          </w:tcPr>
          <w:p w14:paraId="6AF72E1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$21,890</w:t>
            </w:r>
          </w:p>
        </w:tc>
      </w:tr>
      <w:tr w:rsidR="00F17BF1" w:rsidRPr="002246ED" w14:paraId="73810D4A" w14:textId="77777777" w:rsidTr="002246ED">
        <w:trPr>
          <w:trHeight w:hRule="exact" w:val="230"/>
        </w:trPr>
        <w:tc>
          <w:tcPr>
            <w:tcW w:w="900" w:type="dxa"/>
            <w:noWrap/>
            <w:hideMark/>
          </w:tcPr>
          <w:p w14:paraId="0BCB7B6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OK</w:t>
            </w:r>
          </w:p>
        </w:tc>
        <w:tc>
          <w:tcPr>
            <w:tcW w:w="1080" w:type="dxa"/>
            <w:noWrap/>
            <w:hideMark/>
          </w:tcPr>
          <w:p w14:paraId="18490E4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24</w:t>
            </w:r>
          </w:p>
        </w:tc>
        <w:tc>
          <w:tcPr>
            <w:tcW w:w="5400" w:type="dxa"/>
            <w:noWrap/>
            <w:hideMark/>
          </w:tcPr>
          <w:p w14:paraId="45B4C18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Seminole Nation of Oklahoma</w:t>
            </w:r>
          </w:p>
        </w:tc>
        <w:tc>
          <w:tcPr>
            <w:tcW w:w="1304" w:type="dxa"/>
            <w:noWrap/>
            <w:hideMark/>
          </w:tcPr>
          <w:p w14:paraId="42716A2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$137,640</w:t>
            </w:r>
          </w:p>
        </w:tc>
        <w:tc>
          <w:tcPr>
            <w:tcW w:w="1216" w:type="dxa"/>
            <w:noWrap/>
            <w:hideMark/>
          </w:tcPr>
          <w:p w14:paraId="14023BA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$48,380</w:t>
            </w:r>
          </w:p>
        </w:tc>
        <w:tc>
          <w:tcPr>
            <w:tcW w:w="1125" w:type="dxa"/>
            <w:noWrap/>
            <w:hideMark/>
          </w:tcPr>
          <w:p w14:paraId="34B7353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$14,477</w:t>
            </w:r>
          </w:p>
        </w:tc>
      </w:tr>
      <w:tr w:rsidR="00F17BF1" w:rsidRPr="002246ED" w14:paraId="4C08E808" w14:textId="77777777" w:rsidTr="002246ED">
        <w:trPr>
          <w:trHeight w:hRule="exact" w:val="230"/>
        </w:trPr>
        <w:tc>
          <w:tcPr>
            <w:tcW w:w="900" w:type="dxa"/>
            <w:noWrap/>
            <w:hideMark/>
          </w:tcPr>
          <w:p w14:paraId="38E7C45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OK</w:t>
            </w:r>
          </w:p>
        </w:tc>
        <w:tc>
          <w:tcPr>
            <w:tcW w:w="1080" w:type="dxa"/>
            <w:noWrap/>
            <w:hideMark/>
          </w:tcPr>
          <w:p w14:paraId="2E63621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25</w:t>
            </w:r>
          </w:p>
        </w:tc>
        <w:tc>
          <w:tcPr>
            <w:tcW w:w="5400" w:type="dxa"/>
            <w:noWrap/>
            <w:hideMark/>
          </w:tcPr>
          <w:p w14:paraId="35B7FB0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Seneca-Cayuga Nation</w:t>
            </w:r>
          </w:p>
        </w:tc>
        <w:tc>
          <w:tcPr>
            <w:tcW w:w="1304" w:type="dxa"/>
            <w:noWrap/>
            <w:hideMark/>
          </w:tcPr>
          <w:p w14:paraId="6E271FF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6E02962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hideMark/>
          </w:tcPr>
          <w:p w14:paraId="744667C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$13,597</w:t>
            </w:r>
          </w:p>
        </w:tc>
      </w:tr>
      <w:tr w:rsidR="00F17BF1" w:rsidRPr="002246ED" w14:paraId="0A898EF7" w14:textId="77777777" w:rsidTr="002246ED">
        <w:trPr>
          <w:trHeight w:hRule="exact" w:val="230"/>
        </w:trPr>
        <w:tc>
          <w:tcPr>
            <w:tcW w:w="900" w:type="dxa"/>
            <w:noWrap/>
            <w:hideMark/>
          </w:tcPr>
          <w:p w14:paraId="0CBA5C8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OK</w:t>
            </w:r>
          </w:p>
        </w:tc>
        <w:tc>
          <w:tcPr>
            <w:tcW w:w="1080" w:type="dxa"/>
            <w:noWrap/>
            <w:hideMark/>
          </w:tcPr>
          <w:p w14:paraId="647CE79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26</w:t>
            </w:r>
          </w:p>
        </w:tc>
        <w:tc>
          <w:tcPr>
            <w:tcW w:w="5400" w:type="dxa"/>
            <w:noWrap/>
            <w:hideMark/>
          </w:tcPr>
          <w:p w14:paraId="26CE1E7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Wichita and Affiliated Tribes</w:t>
            </w:r>
          </w:p>
        </w:tc>
        <w:tc>
          <w:tcPr>
            <w:tcW w:w="1304" w:type="dxa"/>
            <w:noWrap/>
            <w:hideMark/>
          </w:tcPr>
          <w:p w14:paraId="4C73B06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$73,990</w:t>
            </w:r>
          </w:p>
        </w:tc>
        <w:tc>
          <w:tcPr>
            <w:tcW w:w="1216" w:type="dxa"/>
            <w:noWrap/>
            <w:hideMark/>
          </w:tcPr>
          <w:p w14:paraId="0D43D60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$13,820</w:t>
            </w:r>
          </w:p>
        </w:tc>
        <w:tc>
          <w:tcPr>
            <w:tcW w:w="1125" w:type="dxa"/>
            <w:noWrap/>
            <w:hideMark/>
          </w:tcPr>
          <w:p w14:paraId="7E75DC1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$9,465</w:t>
            </w:r>
          </w:p>
        </w:tc>
      </w:tr>
      <w:tr w:rsidR="00F17BF1" w:rsidRPr="002246ED" w14:paraId="2E862C9E" w14:textId="77777777" w:rsidTr="002246ED">
        <w:trPr>
          <w:trHeight w:hRule="exact" w:val="230"/>
        </w:trPr>
        <w:tc>
          <w:tcPr>
            <w:tcW w:w="900" w:type="dxa"/>
            <w:noWrap/>
            <w:hideMark/>
          </w:tcPr>
          <w:p w14:paraId="5A3E522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OK</w:t>
            </w:r>
          </w:p>
        </w:tc>
        <w:tc>
          <w:tcPr>
            <w:tcW w:w="1080" w:type="dxa"/>
            <w:noWrap/>
            <w:hideMark/>
          </w:tcPr>
          <w:p w14:paraId="23E2736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27</w:t>
            </w:r>
          </w:p>
        </w:tc>
        <w:tc>
          <w:tcPr>
            <w:tcW w:w="5400" w:type="dxa"/>
            <w:noWrap/>
            <w:hideMark/>
          </w:tcPr>
          <w:p w14:paraId="4171994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Wyandotte Nation</w:t>
            </w:r>
          </w:p>
        </w:tc>
        <w:tc>
          <w:tcPr>
            <w:tcW w:w="1304" w:type="dxa"/>
            <w:noWrap/>
            <w:hideMark/>
          </w:tcPr>
          <w:p w14:paraId="3E11D30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$137,640</w:t>
            </w:r>
          </w:p>
        </w:tc>
        <w:tc>
          <w:tcPr>
            <w:tcW w:w="1216" w:type="dxa"/>
            <w:noWrap/>
            <w:hideMark/>
          </w:tcPr>
          <w:p w14:paraId="4CD9305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$48,380</w:t>
            </w:r>
          </w:p>
        </w:tc>
        <w:tc>
          <w:tcPr>
            <w:tcW w:w="1125" w:type="dxa"/>
            <w:noWrap/>
            <w:hideMark/>
          </w:tcPr>
          <w:p w14:paraId="431F9AE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$16,036</w:t>
            </w:r>
          </w:p>
        </w:tc>
      </w:tr>
      <w:tr w:rsidR="00F17BF1" w:rsidRPr="002246ED" w14:paraId="5EFB2AB9" w14:textId="77777777" w:rsidTr="002246ED">
        <w:trPr>
          <w:trHeight w:hRule="exact" w:val="230"/>
        </w:trPr>
        <w:tc>
          <w:tcPr>
            <w:tcW w:w="900" w:type="dxa"/>
            <w:noWrap/>
            <w:hideMark/>
          </w:tcPr>
          <w:p w14:paraId="6C6A72A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OK</w:t>
            </w:r>
          </w:p>
        </w:tc>
        <w:tc>
          <w:tcPr>
            <w:tcW w:w="1080" w:type="dxa"/>
            <w:noWrap/>
            <w:hideMark/>
          </w:tcPr>
          <w:p w14:paraId="4ABE496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28</w:t>
            </w:r>
          </w:p>
        </w:tc>
        <w:tc>
          <w:tcPr>
            <w:tcW w:w="5400" w:type="dxa"/>
            <w:noWrap/>
            <w:hideMark/>
          </w:tcPr>
          <w:p w14:paraId="0113370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Absentee Shawnee Tribe of Oklahoma</w:t>
            </w:r>
          </w:p>
        </w:tc>
        <w:tc>
          <w:tcPr>
            <w:tcW w:w="1304" w:type="dxa"/>
            <w:noWrap/>
            <w:hideMark/>
          </w:tcPr>
          <w:p w14:paraId="593216D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$180,720</w:t>
            </w:r>
          </w:p>
        </w:tc>
        <w:tc>
          <w:tcPr>
            <w:tcW w:w="1216" w:type="dxa"/>
            <w:noWrap/>
            <w:hideMark/>
          </w:tcPr>
          <w:p w14:paraId="71A37BD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$55,280</w:t>
            </w:r>
          </w:p>
        </w:tc>
        <w:tc>
          <w:tcPr>
            <w:tcW w:w="1125" w:type="dxa"/>
            <w:noWrap/>
            <w:hideMark/>
          </w:tcPr>
          <w:p w14:paraId="27D2D9D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$25,101</w:t>
            </w:r>
          </w:p>
        </w:tc>
      </w:tr>
      <w:tr w:rsidR="00F17BF1" w:rsidRPr="002246ED" w14:paraId="120E156E" w14:textId="77777777" w:rsidTr="002246ED">
        <w:trPr>
          <w:trHeight w:hRule="exact" w:val="230"/>
        </w:trPr>
        <w:tc>
          <w:tcPr>
            <w:tcW w:w="900" w:type="dxa"/>
            <w:noWrap/>
            <w:hideMark/>
          </w:tcPr>
          <w:p w14:paraId="64A2E87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OK</w:t>
            </w:r>
          </w:p>
        </w:tc>
        <w:tc>
          <w:tcPr>
            <w:tcW w:w="1080" w:type="dxa"/>
            <w:noWrap/>
            <w:hideMark/>
          </w:tcPr>
          <w:p w14:paraId="58BC7D8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29</w:t>
            </w:r>
          </w:p>
        </w:tc>
        <w:tc>
          <w:tcPr>
            <w:tcW w:w="5400" w:type="dxa"/>
            <w:noWrap/>
            <w:hideMark/>
          </w:tcPr>
          <w:p w14:paraId="5228D0F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Fort Sill Apache Tribe</w:t>
            </w:r>
          </w:p>
        </w:tc>
        <w:tc>
          <w:tcPr>
            <w:tcW w:w="1304" w:type="dxa"/>
            <w:noWrap/>
            <w:hideMark/>
          </w:tcPr>
          <w:p w14:paraId="02E5E95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$107,430</w:t>
            </w:r>
          </w:p>
        </w:tc>
        <w:tc>
          <w:tcPr>
            <w:tcW w:w="1216" w:type="dxa"/>
            <w:noWrap/>
            <w:hideMark/>
          </w:tcPr>
          <w:p w14:paraId="4935F61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$34,550</w:t>
            </w:r>
          </w:p>
        </w:tc>
        <w:tc>
          <w:tcPr>
            <w:tcW w:w="1125" w:type="dxa"/>
            <w:noWrap/>
            <w:hideMark/>
          </w:tcPr>
          <w:p w14:paraId="362DB1E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$6,780</w:t>
            </w:r>
          </w:p>
        </w:tc>
      </w:tr>
      <w:tr w:rsidR="00F17BF1" w:rsidRPr="002246ED" w14:paraId="3B958F42" w14:textId="77777777" w:rsidTr="002246ED">
        <w:trPr>
          <w:trHeight w:hRule="exact" w:val="230"/>
        </w:trPr>
        <w:tc>
          <w:tcPr>
            <w:tcW w:w="900" w:type="dxa"/>
            <w:noWrap/>
            <w:hideMark/>
          </w:tcPr>
          <w:p w14:paraId="4158C6C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OK</w:t>
            </w:r>
          </w:p>
        </w:tc>
        <w:tc>
          <w:tcPr>
            <w:tcW w:w="1080" w:type="dxa"/>
            <w:noWrap/>
            <w:hideMark/>
          </w:tcPr>
          <w:p w14:paraId="05CE5B0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31</w:t>
            </w:r>
          </w:p>
        </w:tc>
        <w:tc>
          <w:tcPr>
            <w:tcW w:w="5400" w:type="dxa"/>
            <w:noWrap/>
            <w:hideMark/>
          </w:tcPr>
          <w:p w14:paraId="588788E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United Keetoowah Band of Cherokee Indians</w:t>
            </w:r>
          </w:p>
        </w:tc>
        <w:tc>
          <w:tcPr>
            <w:tcW w:w="1304" w:type="dxa"/>
            <w:noWrap/>
            <w:hideMark/>
          </w:tcPr>
          <w:p w14:paraId="629C63A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$180,720</w:t>
            </w:r>
          </w:p>
        </w:tc>
        <w:tc>
          <w:tcPr>
            <w:tcW w:w="1216" w:type="dxa"/>
            <w:noWrap/>
            <w:hideMark/>
          </w:tcPr>
          <w:p w14:paraId="24A7038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$55,280</w:t>
            </w:r>
          </w:p>
        </w:tc>
        <w:tc>
          <w:tcPr>
            <w:tcW w:w="1125" w:type="dxa"/>
            <w:noWrap/>
            <w:hideMark/>
          </w:tcPr>
          <w:p w14:paraId="363F75C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$30,358</w:t>
            </w:r>
          </w:p>
        </w:tc>
      </w:tr>
      <w:tr w:rsidR="00F17BF1" w:rsidRPr="002246ED" w14:paraId="37F9A4BC" w14:textId="77777777" w:rsidTr="002246ED">
        <w:trPr>
          <w:trHeight w:hRule="exact" w:val="230"/>
        </w:trPr>
        <w:tc>
          <w:tcPr>
            <w:tcW w:w="900" w:type="dxa"/>
            <w:noWrap/>
            <w:hideMark/>
          </w:tcPr>
          <w:p w14:paraId="73A5B38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OK</w:t>
            </w:r>
          </w:p>
        </w:tc>
        <w:tc>
          <w:tcPr>
            <w:tcW w:w="1080" w:type="dxa"/>
            <w:noWrap/>
            <w:hideMark/>
          </w:tcPr>
          <w:p w14:paraId="36E48EF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32</w:t>
            </w:r>
          </w:p>
        </w:tc>
        <w:tc>
          <w:tcPr>
            <w:tcW w:w="5400" w:type="dxa"/>
            <w:noWrap/>
            <w:hideMark/>
          </w:tcPr>
          <w:p w14:paraId="794C922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Chickasaw Nation</w:t>
            </w:r>
          </w:p>
        </w:tc>
        <w:tc>
          <w:tcPr>
            <w:tcW w:w="1304" w:type="dxa"/>
            <w:noWrap/>
            <w:hideMark/>
          </w:tcPr>
          <w:p w14:paraId="0990FEB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$180,720</w:t>
            </w:r>
          </w:p>
        </w:tc>
        <w:tc>
          <w:tcPr>
            <w:tcW w:w="1216" w:type="dxa"/>
            <w:noWrap/>
            <w:hideMark/>
          </w:tcPr>
          <w:p w14:paraId="1A88DD8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$55,280</w:t>
            </w:r>
          </w:p>
        </w:tc>
        <w:tc>
          <w:tcPr>
            <w:tcW w:w="1125" w:type="dxa"/>
            <w:noWrap/>
            <w:hideMark/>
          </w:tcPr>
          <w:p w14:paraId="0FA7EB4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$129,722</w:t>
            </w:r>
          </w:p>
        </w:tc>
      </w:tr>
      <w:tr w:rsidR="00F17BF1" w:rsidRPr="002246ED" w14:paraId="77050735" w14:textId="77777777" w:rsidTr="002246ED">
        <w:trPr>
          <w:trHeight w:hRule="exact" w:val="230"/>
        </w:trPr>
        <w:tc>
          <w:tcPr>
            <w:tcW w:w="900" w:type="dxa"/>
            <w:noWrap/>
            <w:hideMark/>
          </w:tcPr>
          <w:p w14:paraId="7F31A4F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OK</w:t>
            </w:r>
          </w:p>
        </w:tc>
        <w:tc>
          <w:tcPr>
            <w:tcW w:w="1080" w:type="dxa"/>
            <w:noWrap/>
            <w:hideMark/>
          </w:tcPr>
          <w:p w14:paraId="2E93CFA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33</w:t>
            </w:r>
          </w:p>
        </w:tc>
        <w:tc>
          <w:tcPr>
            <w:tcW w:w="5400" w:type="dxa"/>
            <w:noWrap/>
            <w:hideMark/>
          </w:tcPr>
          <w:p w14:paraId="7791639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Kaw Nation</w:t>
            </w:r>
          </w:p>
        </w:tc>
        <w:tc>
          <w:tcPr>
            <w:tcW w:w="1304" w:type="dxa"/>
            <w:noWrap/>
            <w:hideMark/>
          </w:tcPr>
          <w:p w14:paraId="1FA5E38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$73,990</w:t>
            </w:r>
          </w:p>
        </w:tc>
        <w:tc>
          <w:tcPr>
            <w:tcW w:w="1216" w:type="dxa"/>
            <w:noWrap/>
            <w:hideMark/>
          </w:tcPr>
          <w:p w14:paraId="3A17A0D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w:t>
            </w:r>
          </w:p>
        </w:tc>
        <w:tc>
          <w:tcPr>
            <w:tcW w:w="1125" w:type="dxa"/>
            <w:noWrap/>
            <w:hideMark/>
          </w:tcPr>
          <w:p w14:paraId="378150C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$21,817</w:t>
            </w:r>
          </w:p>
        </w:tc>
      </w:tr>
      <w:tr w:rsidR="00F17BF1" w:rsidRPr="002246ED" w14:paraId="569BF971" w14:textId="77777777" w:rsidTr="002246ED">
        <w:trPr>
          <w:trHeight w:hRule="exact" w:val="230"/>
        </w:trPr>
        <w:tc>
          <w:tcPr>
            <w:tcW w:w="900" w:type="dxa"/>
            <w:noWrap/>
            <w:hideMark/>
          </w:tcPr>
          <w:p w14:paraId="16F2747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OK</w:t>
            </w:r>
          </w:p>
        </w:tc>
        <w:tc>
          <w:tcPr>
            <w:tcW w:w="1080" w:type="dxa"/>
            <w:noWrap/>
            <w:hideMark/>
          </w:tcPr>
          <w:p w14:paraId="6E69D40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34</w:t>
            </w:r>
          </w:p>
        </w:tc>
        <w:tc>
          <w:tcPr>
            <w:tcW w:w="5400" w:type="dxa"/>
            <w:noWrap/>
            <w:hideMark/>
          </w:tcPr>
          <w:p w14:paraId="6CF7636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Osage Nation</w:t>
            </w:r>
          </w:p>
        </w:tc>
        <w:tc>
          <w:tcPr>
            <w:tcW w:w="1304" w:type="dxa"/>
            <w:noWrap/>
            <w:hideMark/>
          </w:tcPr>
          <w:p w14:paraId="69AE8C5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$137,640</w:t>
            </w:r>
          </w:p>
        </w:tc>
        <w:tc>
          <w:tcPr>
            <w:tcW w:w="1216" w:type="dxa"/>
            <w:noWrap/>
            <w:hideMark/>
          </w:tcPr>
          <w:p w14:paraId="684AB88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$48,380</w:t>
            </w:r>
          </w:p>
        </w:tc>
        <w:tc>
          <w:tcPr>
            <w:tcW w:w="1125" w:type="dxa"/>
            <w:noWrap/>
            <w:hideMark/>
          </w:tcPr>
          <w:p w14:paraId="1596D5F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$63,481</w:t>
            </w:r>
          </w:p>
        </w:tc>
      </w:tr>
      <w:tr w:rsidR="00F17BF1" w:rsidRPr="002246ED" w14:paraId="4AB203AD" w14:textId="77777777" w:rsidTr="002246ED">
        <w:trPr>
          <w:trHeight w:hRule="exact" w:val="230"/>
        </w:trPr>
        <w:tc>
          <w:tcPr>
            <w:tcW w:w="900" w:type="dxa"/>
            <w:noWrap/>
            <w:hideMark/>
          </w:tcPr>
          <w:p w14:paraId="38BD362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OK</w:t>
            </w:r>
          </w:p>
        </w:tc>
        <w:tc>
          <w:tcPr>
            <w:tcW w:w="1080" w:type="dxa"/>
            <w:noWrap/>
            <w:hideMark/>
          </w:tcPr>
          <w:p w14:paraId="4DD412D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35</w:t>
            </w:r>
          </w:p>
        </w:tc>
        <w:tc>
          <w:tcPr>
            <w:tcW w:w="5400" w:type="dxa"/>
            <w:noWrap/>
            <w:hideMark/>
          </w:tcPr>
          <w:p w14:paraId="5BE2DE2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Delaware Tribes of Indians</w:t>
            </w:r>
          </w:p>
        </w:tc>
        <w:tc>
          <w:tcPr>
            <w:tcW w:w="1304" w:type="dxa"/>
            <w:noWrap/>
            <w:hideMark/>
          </w:tcPr>
          <w:p w14:paraId="29714C2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$180,720</w:t>
            </w:r>
          </w:p>
        </w:tc>
        <w:tc>
          <w:tcPr>
            <w:tcW w:w="1216" w:type="dxa"/>
            <w:noWrap/>
            <w:hideMark/>
          </w:tcPr>
          <w:p w14:paraId="7A83EAD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w:t>
            </w:r>
          </w:p>
        </w:tc>
        <w:tc>
          <w:tcPr>
            <w:tcW w:w="1125" w:type="dxa"/>
            <w:noWrap/>
            <w:hideMark/>
          </w:tcPr>
          <w:p w14:paraId="31D4C5B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$10,686</w:t>
            </w:r>
          </w:p>
        </w:tc>
      </w:tr>
      <w:tr w:rsidR="00F17BF1" w:rsidRPr="002246ED" w14:paraId="3B39079C" w14:textId="77777777" w:rsidTr="002246ED">
        <w:trPr>
          <w:trHeight w:hRule="exact" w:val="230"/>
        </w:trPr>
        <w:tc>
          <w:tcPr>
            <w:tcW w:w="900" w:type="dxa"/>
            <w:noWrap/>
            <w:hideMark/>
          </w:tcPr>
          <w:p w14:paraId="2A43E9E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OK</w:t>
            </w:r>
          </w:p>
        </w:tc>
        <w:tc>
          <w:tcPr>
            <w:tcW w:w="1080" w:type="dxa"/>
            <w:noWrap/>
            <w:hideMark/>
          </w:tcPr>
          <w:p w14:paraId="0A71058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36</w:t>
            </w:r>
          </w:p>
        </w:tc>
        <w:tc>
          <w:tcPr>
            <w:tcW w:w="5400" w:type="dxa"/>
            <w:noWrap/>
            <w:hideMark/>
          </w:tcPr>
          <w:p w14:paraId="2CEDF83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Alabama-Quassarte Tribal Town</w:t>
            </w:r>
          </w:p>
        </w:tc>
        <w:tc>
          <w:tcPr>
            <w:tcW w:w="1304" w:type="dxa"/>
            <w:noWrap/>
            <w:hideMark/>
          </w:tcPr>
          <w:p w14:paraId="4059211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$73,990</w:t>
            </w:r>
          </w:p>
        </w:tc>
        <w:tc>
          <w:tcPr>
            <w:tcW w:w="1216" w:type="dxa"/>
            <w:noWrap/>
            <w:hideMark/>
          </w:tcPr>
          <w:p w14:paraId="36573C8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$13,820</w:t>
            </w:r>
          </w:p>
        </w:tc>
        <w:tc>
          <w:tcPr>
            <w:tcW w:w="1125" w:type="dxa"/>
            <w:noWrap/>
            <w:hideMark/>
          </w:tcPr>
          <w:p w14:paraId="4BBA0AB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$2,627</w:t>
            </w:r>
          </w:p>
        </w:tc>
      </w:tr>
      <w:tr w:rsidR="00F17BF1" w:rsidRPr="002246ED" w14:paraId="0ABEC5C0" w14:textId="77777777" w:rsidTr="002246ED">
        <w:trPr>
          <w:trHeight w:hRule="exact" w:val="230"/>
        </w:trPr>
        <w:tc>
          <w:tcPr>
            <w:tcW w:w="900" w:type="dxa"/>
            <w:noWrap/>
            <w:hideMark/>
          </w:tcPr>
          <w:p w14:paraId="15E5C75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OK</w:t>
            </w:r>
          </w:p>
        </w:tc>
        <w:tc>
          <w:tcPr>
            <w:tcW w:w="1080" w:type="dxa"/>
            <w:noWrap/>
            <w:hideMark/>
          </w:tcPr>
          <w:p w14:paraId="2B1C012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37</w:t>
            </w:r>
          </w:p>
        </w:tc>
        <w:tc>
          <w:tcPr>
            <w:tcW w:w="5400" w:type="dxa"/>
            <w:noWrap/>
            <w:hideMark/>
          </w:tcPr>
          <w:p w14:paraId="6C65451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Eastern Shawnee Tribe of Oklahoma</w:t>
            </w:r>
          </w:p>
        </w:tc>
        <w:tc>
          <w:tcPr>
            <w:tcW w:w="1304" w:type="dxa"/>
            <w:noWrap/>
            <w:hideMark/>
          </w:tcPr>
          <w:p w14:paraId="0418F40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$118,820</w:t>
            </w:r>
          </w:p>
        </w:tc>
        <w:tc>
          <w:tcPr>
            <w:tcW w:w="1216" w:type="dxa"/>
            <w:noWrap/>
            <w:hideMark/>
          </w:tcPr>
          <w:p w14:paraId="4C56748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$41,470</w:t>
            </w:r>
          </w:p>
        </w:tc>
        <w:tc>
          <w:tcPr>
            <w:tcW w:w="1125" w:type="dxa"/>
            <w:noWrap/>
            <w:hideMark/>
          </w:tcPr>
          <w:p w14:paraId="2BC0490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$7,136</w:t>
            </w:r>
          </w:p>
        </w:tc>
      </w:tr>
      <w:tr w:rsidR="00F17BF1" w:rsidRPr="002246ED" w14:paraId="6BD14599" w14:textId="77777777" w:rsidTr="002246ED">
        <w:trPr>
          <w:trHeight w:hRule="exact" w:val="230"/>
        </w:trPr>
        <w:tc>
          <w:tcPr>
            <w:tcW w:w="900" w:type="dxa"/>
            <w:noWrap/>
            <w:hideMark/>
          </w:tcPr>
          <w:p w14:paraId="53B5044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OK</w:t>
            </w:r>
          </w:p>
        </w:tc>
        <w:tc>
          <w:tcPr>
            <w:tcW w:w="1080" w:type="dxa"/>
            <w:noWrap/>
            <w:hideMark/>
          </w:tcPr>
          <w:p w14:paraId="62730EF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38</w:t>
            </w:r>
          </w:p>
        </w:tc>
        <w:tc>
          <w:tcPr>
            <w:tcW w:w="5400" w:type="dxa"/>
            <w:noWrap/>
            <w:hideMark/>
          </w:tcPr>
          <w:p w14:paraId="7311B90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Otoe-Missouria Tribe of Indians</w:t>
            </w:r>
          </w:p>
        </w:tc>
        <w:tc>
          <w:tcPr>
            <w:tcW w:w="1304" w:type="dxa"/>
            <w:noWrap/>
            <w:hideMark/>
          </w:tcPr>
          <w:p w14:paraId="09F4FEB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16DC87F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hideMark/>
          </w:tcPr>
          <w:p w14:paraId="25593EF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$14,301</w:t>
            </w:r>
          </w:p>
        </w:tc>
      </w:tr>
      <w:tr w:rsidR="00F17BF1" w:rsidRPr="002246ED" w14:paraId="4325BAF4" w14:textId="77777777" w:rsidTr="002246ED">
        <w:trPr>
          <w:trHeight w:hRule="exact" w:val="230"/>
        </w:trPr>
        <w:tc>
          <w:tcPr>
            <w:tcW w:w="900" w:type="dxa"/>
            <w:noWrap/>
            <w:hideMark/>
          </w:tcPr>
          <w:p w14:paraId="5667DD7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080" w:type="dxa"/>
            <w:noWrap/>
            <w:hideMark/>
          </w:tcPr>
          <w:p w14:paraId="69A7106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5400" w:type="dxa"/>
            <w:noWrap/>
            <w:hideMark/>
          </w:tcPr>
          <w:p w14:paraId="492CAC1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304" w:type="dxa"/>
            <w:noWrap/>
            <w:hideMark/>
          </w:tcPr>
          <w:p w14:paraId="51D2A71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$4,290,721</w:t>
            </w:r>
          </w:p>
        </w:tc>
        <w:tc>
          <w:tcPr>
            <w:tcW w:w="1216" w:type="dxa"/>
            <w:noWrap/>
            <w:hideMark/>
          </w:tcPr>
          <w:p w14:paraId="1960710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$1,252,110</w:t>
            </w:r>
          </w:p>
        </w:tc>
        <w:tc>
          <w:tcPr>
            <w:tcW w:w="1125" w:type="dxa"/>
            <w:noWrap/>
            <w:hideMark/>
          </w:tcPr>
          <w:p w14:paraId="23DBD27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$850,098</w:t>
            </w:r>
          </w:p>
        </w:tc>
      </w:tr>
      <w:tr w:rsidR="00F17BF1" w:rsidRPr="002246ED" w14:paraId="6D2730A1" w14:textId="77777777" w:rsidTr="002246ED">
        <w:trPr>
          <w:trHeight w:hRule="exact" w:val="230"/>
        </w:trPr>
        <w:tc>
          <w:tcPr>
            <w:tcW w:w="900" w:type="dxa"/>
            <w:noWrap/>
            <w:hideMark/>
          </w:tcPr>
          <w:p w14:paraId="1982046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OR</w:t>
            </w:r>
          </w:p>
        </w:tc>
        <w:tc>
          <w:tcPr>
            <w:tcW w:w="1080" w:type="dxa"/>
            <w:noWrap/>
            <w:hideMark/>
          </w:tcPr>
          <w:p w14:paraId="2BF07EA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01</w:t>
            </w:r>
          </w:p>
        </w:tc>
        <w:tc>
          <w:tcPr>
            <w:tcW w:w="5400" w:type="dxa"/>
            <w:noWrap/>
            <w:hideMark/>
          </w:tcPr>
          <w:p w14:paraId="443770D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Confederated Tribes of Siletz Indians</w:t>
            </w:r>
          </w:p>
        </w:tc>
        <w:tc>
          <w:tcPr>
            <w:tcW w:w="1304" w:type="dxa"/>
            <w:noWrap/>
            <w:hideMark/>
          </w:tcPr>
          <w:p w14:paraId="1DF1778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$118,820</w:t>
            </w:r>
          </w:p>
        </w:tc>
        <w:tc>
          <w:tcPr>
            <w:tcW w:w="1216" w:type="dxa"/>
            <w:noWrap/>
            <w:hideMark/>
          </w:tcPr>
          <w:p w14:paraId="5382193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$41,470</w:t>
            </w:r>
          </w:p>
        </w:tc>
        <w:tc>
          <w:tcPr>
            <w:tcW w:w="1125" w:type="dxa"/>
            <w:noWrap/>
            <w:hideMark/>
          </w:tcPr>
          <w:p w14:paraId="410EBAF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$2,455</w:t>
            </w:r>
          </w:p>
        </w:tc>
      </w:tr>
      <w:tr w:rsidR="00F17BF1" w:rsidRPr="002246ED" w14:paraId="69F780C9" w14:textId="77777777" w:rsidTr="002246ED">
        <w:trPr>
          <w:trHeight w:hRule="exact" w:val="230"/>
        </w:trPr>
        <w:tc>
          <w:tcPr>
            <w:tcW w:w="900" w:type="dxa"/>
            <w:noWrap/>
            <w:hideMark/>
          </w:tcPr>
          <w:p w14:paraId="1381725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OR</w:t>
            </w:r>
          </w:p>
        </w:tc>
        <w:tc>
          <w:tcPr>
            <w:tcW w:w="1080" w:type="dxa"/>
            <w:noWrap/>
            <w:hideMark/>
          </w:tcPr>
          <w:p w14:paraId="680C7C7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02</w:t>
            </w:r>
          </w:p>
        </w:tc>
        <w:tc>
          <w:tcPr>
            <w:tcW w:w="5400" w:type="dxa"/>
            <w:noWrap/>
            <w:hideMark/>
          </w:tcPr>
          <w:p w14:paraId="42110ED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Yellowhawk Tribal Health Center</w:t>
            </w:r>
          </w:p>
        </w:tc>
        <w:tc>
          <w:tcPr>
            <w:tcW w:w="1304" w:type="dxa"/>
            <w:noWrap/>
            <w:hideMark/>
          </w:tcPr>
          <w:p w14:paraId="237448B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$118,820</w:t>
            </w:r>
          </w:p>
        </w:tc>
        <w:tc>
          <w:tcPr>
            <w:tcW w:w="1216" w:type="dxa"/>
            <w:noWrap/>
            <w:hideMark/>
          </w:tcPr>
          <w:p w14:paraId="3F168E2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$41,470</w:t>
            </w:r>
          </w:p>
        </w:tc>
        <w:tc>
          <w:tcPr>
            <w:tcW w:w="1125" w:type="dxa"/>
            <w:noWrap/>
            <w:hideMark/>
          </w:tcPr>
          <w:p w14:paraId="5F58BA7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$14,206</w:t>
            </w:r>
          </w:p>
        </w:tc>
      </w:tr>
      <w:tr w:rsidR="00F17BF1" w:rsidRPr="002246ED" w14:paraId="127F58C4" w14:textId="77777777" w:rsidTr="002246ED">
        <w:trPr>
          <w:trHeight w:hRule="exact" w:val="230"/>
        </w:trPr>
        <w:tc>
          <w:tcPr>
            <w:tcW w:w="900" w:type="dxa"/>
            <w:noWrap/>
            <w:hideMark/>
          </w:tcPr>
          <w:p w14:paraId="5714996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OR</w:t>
            </w:r>
          </w:p>
        </w:tc>
        <w:tc>
          <w:tcPr>
            <w:tcW w:w="1080" w:type="dxa"/>
            <w:noWrap/>
            <w:hideMark/>
          </w:tcPr>
          <w:p w14:paraId="4C4CE97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03</w:t>
            </w:r>
          </w:p>
        </w:tc>
        <w:tc>
          <w:tcPr>
            <w:tcW w:w="5400" w:type="dxa"/>
            <w:noWrap/>
            <w:hideMark/>
          </w:tcPr>
          <w:p w14:paraId="3DA5622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Confederated Tribes of Warm Springs</w:t>
            </w:r>
          </w:p>
        </w:tc>
        <w:tc>
          <w:tcPr>
            <w:tcW w:w="1304" w:type="dxa"/>
            <w:noWrap/>
            <w:hideMark/>
          </w:tcPr>
          <w:p w14:paraId="0CB36FE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$137,640</w:t>
            </w:r>
          </w:p>
        </w:tc>
        <w:tc>
          <w:tcPr>
            <w:tcW w:w="1216" w:type="dxa"/>
            <w:noWrap/>
            <w:hideMark/>
          </w:tcPr>
          <w:p w14:paraId="5AD89C7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$48,380</w:t>
            </w:r>
          </w:p>
        </w:tc>
        <w:tc>
          <w:tcPr>
            <w:tcW w:w="1125" w:type="dxa"/>
            <w:noWrap/>
            <w:hideMark/>
          </w:tcPr>
          <w:p w14:paraId="42F6D61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$10,857</w:t>
            </w:r>
          </w:p>
        </w:tc>
      </w:tr>
      <w:tr w:rsidR="00F17BF1" w:rsidRPr="002246ED" w14:paraId="19E03170" w14:textId="77777777" w:rsidTr="002246ED">
        <w:trPr>
          <w:trHeight w:hRule="exact" w:val="230"/>
        </w:trPr>
        <w:tc>
          <w:tcPr>
            <w:tcW w:w="900" w:type="dxa"/>
            <w:noWrap/>
            <w:hideMark/>
          </w:tcPr>
          <w:p w14:paraId="3A7D241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OR</w:t>
            </w:r>
          </w:p>
        </w:tc>
        <w:tc>
          <w:tcPr>
            <w:tcW w:w="1080" w:type="dxa"/>
            <w:noWrap/>
            <w:hideMark/>
          </w:tcPr>
          <w:p w14:paraId="6DDDFB0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04</w:t>
            </w:r>
          </w:p>
        </w:tc>
        <w:tc>
          <w:tcPr>
            <w:tcW w:w="5400" w:type="dxa"/>
            <w:noWrap/>
            <w:hideMark/>
          </w:tcPr>
          <w:p w14:paraId="77F49E6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Confederated Tribes of Grand Ronde</w:t>
            </w:r>
          </w:p>
        </w:tc>
        <w:tc>
          <w:tcPr>
            <w:tcW w:w="1304" w:type="dxa"/>
            <w:noWrap/>
            <w:hideMark/>
          </w:tcPr>
          <w:p w14:paraId="7E6E95B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$107,430</w:t>
            </w:r>
          </w:p>
        </w:tc>
        <w:tc>
          <w:tcPr>
            <w:tcW w:w="1216" w:type="dxa"/>
            <w:noWrap/>
            <w:hideMark/>
          </w:tcPr>
          <w:p w14:paraId="73733AE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$34,550</w:t>
            </w:r>
          </w:p>
        </w:tc>
        <w:tc>
          <w:tcPr>
            <w:tcW w:w="1125" w:type="dxa"/>
            <w:noWrap/>
            <w:hideMark/>
          </w:tcPr>
          <w:p w14:paraId="26A8195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$12,680</w:t>
            </w:r>
          </w:p>
        </w:tc>
      </w:tr>
      <w:tr w:rsidR="00F17BF1" w:rsidRPr="002246ED" w14:paraId="0CB6F2C2" w14:textId="77777777" w:rsidTr="002246ED">
        <w:trPr>
          <w:trHeight w:hRule="exact" w:val="230"/>
        </w:trPr>
        <w:tc>
          <w:tcPr>
            <w:tcW w:w="900" w:type="dxa"/>
            <w:noWrap/>
            <w:hideMark/>
          </w:tcPr>
          <w:p w14:paraId="48D5569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OR</w:t>
            </w:r>
          </w:p>
        </w:tc>
        <w:tc>
          <w:tcPr>
            <w:tcW w:w="1080" w:type="dxa"/>
            <w:noWrap/>
            <w:hideMark/>
          </w:tcPr>
          <w:p w14:paraId="3B672AC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05</w:t>
            </w:r>
          </w:p>
        </w:tc>
        <w:tc>
          <w:tcPr>
            <w:tcW w:w="5400" w:type="dxa"/>
            <w:noWrap/>
            <w:hideMark/>
          </w:tcPr>
          <w:p w14:paraId="7FE10B4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The Klamath Tribes</w:t>
            </w:r>
          </w:p>
        </w:tc>
        <w:tc>
          <w:tcPr>
            <w:tcW w:w="1304" w:type="dxa"/>
            <w:noWrap/>
            <w:hideMark/>
          </w:tcPr>
          <w:p w14:paraId="777A8DB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$137,640</w:t>
            </w:r>
          </w:p>
        </w:tc>
        <w:tc>
          <w:tcPr>
            <w:tcW w:w="1216" w:type="dxa"/>
            <w:noWrap/>
            <w:hideMark/>
          </w:tcPr>
          <w:p w14:paraId="339B871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$48,380</w:t>
            </w:r>
          </w:p>
        </w:tc>
        <w:tc>
          <w:tcPr>
            <w:tcW w:w="1125" w:type="dxa"/>
            <w:noWrap/>
            <w:hideMark/>
          </w:tcPr>
          <w:p w14:paraId="709B311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$3,201</w:t>
            </w:r>
          </w:p>
        </w:tc>
      </w:tr>
      <w:tr w:rsidR="00F17BF1" w:rsidRPr="002246ED" w14:paraId="0C7BA745" w14:textId="77777777" w:rsidTr="002246ED">
        <w:trPr>
          <w:trHeight w:hRule="exact" w:val="230"/>
        </w:trPr>
        <w:tc>
          <w:tcPr>
            <w:tcW w:w="900" w:type="dxa"/>
            <w:noWrap/>
            <w:hideMark/>
          </w:tcPr>
          <w:p w14:paraId="618BC75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OR</w:t>
            </w:r>
          </w:p>
        </w:tc>
        <w:tc>
          <w:tcPr>
            <w:tcW w:w="1080" w:type="dxa"/>
            <w:noWrap/>
            <w:hideMark/>
          </w:tcPr>
          <w:p w14:paraId="4A6ACCF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06</w:t>
            </w:r>
          </w:p>
        </w:tc>
        <w:tc>
          <w:tcPr>
            <w:tcW w:w="5400" w:type="dxa"/>
            <w:noWrap/>
            <w:hideMark/>
          </w:tcPr>
          <w:p w14:paraId="7E45E55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Confed. Tribes of Coos, Lower Umpqua &amp;</w:t>
            </w:r>
          </w:p>
        </w:tc>
        <w:tc>
          <w:tcPr>
            <w:tcW w:w="1304" w:type="dxa"/>
            <w:noWrap/>
            <w:hideMark/>
          </w:tcPr>
          <w:p w14:paraId="5A7C0AA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$95,340</w:t>
            </w:r>
          </w:p>
        </w:tc>
        <w:tc>
          <w:tcPr>
            <w:tcW w:w="1216" w:type="dxa"/>
            <w:noWrap/>
            <w:hideMark/>
          </w:tcPr>
          <w:p w14:paraId="63B09C0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$27,640</w:t>
            </w:r>
          </w:p>
        </w:tc>
        <w:tc>
          <w:tcPr>
            <w:tcW w:w="1125" w:type="dxa"/>
            <w:noWrap/>
            <w:hideMark/>
          </w:tcPr>
          <w:p w14:paraId="095E94B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$10,517</w:t>
            </w:r>
          </w:p>
        </w:tc>
      </w:tr>
      <w:tr w:rsidR="00F17BF1" w:rsidRPr="002246ED" w14:paraId="59FA2F28" w14:textId="77777777" w:rsidTr="002246ED">
        <w:trPr>
          <w:trHeight w:hRule="exact" w:val="230"/>
        </w:trPr>
        <w:tc>
          <w:tcPr>
            <w:tcW w:w="900" w:type="dxa"/>
            <w:noWrap/>
            <w:hideMark/>
          </w:tcPr>
          <w:p w14:paraId="7ECCA86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OR</w:t>
            </w:r>
          </w:p>
        </w:tc>
        <w:tc>
          <w:tcPr>
            <w:tcW w:w="1080" w:type="dxa"/>
            <w:noWrap/>
            <w:hideMark/>
          </w:tcPr>
          <w:p w14:paraId="0C665DC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07</w:t>
            </w:r>
          </w:p>
        </w:tc>
        <w:tc>
          <w:tcPr>
            <w:tcW w:w="5400" w:type="dxa"/>
            <w:noWrap/>
            <w:hideMark/>
          </w:tcPr>
          <w:p w14:paraId="4E29533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Cow Creek Band of Umpqua Tribe of Indians</w:t>
            </w:r>
          </w:p>
        </w:tc>
        <w:tc>
          <w:tcPr>
            <w:tcW w:w="1304" w:type="dxa"/>
            <w:noWrap/>
            <w:hideMark/>
          </w:tcPr>
          <w:p w14:paraId="226A6BB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67B2A27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hideMark/>
          </w:tcPr>
          <w:p w14:paraId="4B10AE4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$1,235</w:t>
            </w:r>
          </w:p>
        </w:tc>
      </w:tr>
      <w:tr w:rsidR="00F17BF1" w:rsidRPr="002246ED" w14:paraId="7E4E7F2A" w14:textId="77777777" w:rsidTr="002246ED">
        <w:trPr>
          <w:trHeight w:hRule="exact" w:val="230"/>
        </w:trPr>
        <w:tc>
          <w:tcPr>
            <w:tcW w:w="900" w:type="dxa"/>
            <w:noWrap/>
            <w:hideMark/>
          </w:tcPr>
          <w:p w14:paraId="6DF0042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080" w:type="dxa"/>
            <w:noWrap/>
            <w:hideMark/>
          </w:tcPr>
          <w:p w14:paraId="2BDCE26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5400" w:type="dxa"/>
            <w:noWrap/>
            <w:hideMark/>
          </w:tcPr>
          <w:p w14:paraId="53E5675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304" w:type="dxa"/>
            <w:noWrap/>
            <w:hideMark/>
          </w:tcPr>
          <w:p w14:paraId="22BA9F7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$799,650</w:t>
            </w:r>
          </w:p>
        </w:tc>
        <w:tc>
          <w:tcPr>
            <w:tcW w:w="1216" w:type="dxa"/>
            <w:noWrap/>
            <w:hideMark/>
          </w:tcPr>
          <w:p w14:paraId="6C83914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$262,620</w:t>
            </w:r>
          </w:p>
        </w:tc>
        <w:tc>
          <w:tcPr>
            <w:tcW w:w="1125" w:type="dxa"/>
            <w:noWrap/>
            <w:hideMark/>
          </w:tcPr>
          <w:p w14:paraId="0E69723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$55,151</w:t>
            </w:r>
          </w:p>
        </w:tc>
      </w:tr>
      <w:tr w:rsidR="00F17BF1" w:rsidRPr="002246ED" w14:paraId="33F264E5" w14:textId="77777777" w:rsidTr="002246ED">
        <w:trPr>
          <w:trHeight w:hRule="exact" w:val="230"/>
        </w:trPr>
        <w:tc>
          <w:tcPr>
            <w:tcW w:w="900" w:type="dxa"/>
            <w:noWrap/>
            <w:hideMark/>
          </w:tcPr>
          <w:p w14:paraId="2471656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RI</w:t>
            </w:r>
          </w:p>
        </w:tc>
        <w:tc>
          <w:tcPr>
            <w:tcW w:w="1080" w:type="dxa"/>
            <w:noWrap/>
            <w:hideMark/>
          </w:tcPr>
          <w:p w14:paraId="2D4BA65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01</w:t>
            </w:r>
          </w:p>
        </w:tc>
        <w:tc>
          <w:tcPr>
            <w:tcW w:w="5400" w:type="dxa"/>
            <w:noWrap/>
            <w:hideMark/>
          </w:tcPr>
          <w:p w14:paraId="4A39187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Narragansett Indian Tribe</w:t>
            </w:r>
          </w:p>
        </w:tc>
        <w:tc>
          <w:tcPr>
            <w:tcW w:w="1304" w:type="dxa"/>
            <w:noWrap/>
            <w:hideMark/>
          </w:tcPr>
          <w:p w14:paraId="0B6D7F2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$107,430</w:t>
            </w:r>
          </w:p>
        </w:tc>
        <w:tc>
          <w:tcPr>
            <w:tcW w:w="1216" w:type="dxa"/>
            <w:noWrap/>
            <w:hideMark/>
          </w:tcPr>
          <w:p w14:paraId="02B3CBC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$34,550</w:t>
            </w:r>
          </w:p>
        </w:tc>
        <w:tc>
          <w:tcPr>
            <w:tcW w:w="1125" w:type="dxa"/>
            <w:noWrap/>
            <w:hideMark/>
          </w:tcPr>
          <w:p w14:paraId="469DEF4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$2,741</w:t>
            </w:r>
          </w:p>
        </w:tc>
      </w:tr>
      <w:tr w:rsidR="00F17BF1" w:rsidRPr="002246ED" w14:paraId="06E48EF8" w14:textId="77777777" w:rsidTr="002246ED">
        <w:trPr>
          <w:trHeight w:hRule="exact" w:val="230"/>
        </w:trPr>
        <w:tc>
          <w:tcPr>
            <w:tcW w:w="900" w:type="dxa"/>
            <w:noWrap/>
            <w:hideMark/>
          </w:tcPr>
          <w:p w14:paraId="751582B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080" w:type="dxa"/>
            <w:noWrap/>
            <w:hideMark/>
          </w:tcPr>
          <w:p w14:paraId="5544013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5400" w:type="dxa"/>
            <w:noWrap/>
            <w:hideMark/>
          </w:tcPr>
          <w:p w14:paraId="2CF076E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304" w:type="dxa"/>
            <w:noWrap/>
            <w:hideMark/>
          </w:tcPr>
          <w:p w14:paraId="200D309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$107,430</w:t>
            </w:r>
          </w:p>
        </w:tc>
        <w:tc>
          <w:tcPr>
            <w:tcW w:w="1216" w:type="dxa"/>
            <w:noWrap/>
            <w:hideMark/>
          </w:tcPr>
          <w:p w14:paraId="350CDF3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$34,550</w:t>
            </w:r>
          </w:p>
        </w:tc>
        <w:tc>
          <w:tcPr>
            <w:tcW w:w="1125" w:type="dxa"/>
            <w:noWrap/>
            <w:hideMark/>
          </w:tcPr>
          <w:p w14:paraId="49DB8E0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$2,741</w:t>
            </w:r>
          </w:p>
        </w:tc>
      </w:tr>
      <w:tr w:rsidR="00F17BF1" w:rsidRPr="002246ED" w14:paraId="07402461" w14:textId="77777777" w:rsidTr="002246ED">
        <w:trPr>
          <w:trHeight w:hRule="exact" w:val="230"/>
        </w:trPr>
        <w:tc>
          <w:tcPr>
            <w:tcW w:w="900" w:type="dxa"/>
            <w:noWrap/>
            <w:hideMark/>
          </w:tcPr>
          <w:p w14:paraId="094D6D3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SC</w:t>
            </w:r>
          </w:p>
        </w:tc>
        <w:tc>
          <w:tcPr>
            <w:tcW w:w="1080" w:type="dxa"/>
            <w:noWrap/>
            <w:hideMark/>
          </w:tcPr>
          <w:p w14:paraId="7A6324B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01</w:t>
            </w:r>
          </w:p>
        </w:tc>
        <w:tc>
          <w:tcPr>
            <w:tcW w:w="5400" w:type="dxa"/>
            <w:noWrap/>
            <w:hideMark/>
          </w:tcPr>
          <w:p w14:paraId="4883EBC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Catawba Indian Nation</w:t>
            </w:r>
          </w:p>
        </w:tc>
        <w:tc>
          <w:tcPr>
            <w:tcW w:w="1304" w:type="dxa"/>
            <w:noWrap/>
            <w:hideMark/>
          </w:tcPr>
          <w:p w14:paraId="07F9EC3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$107,430</w:t>
            </w:r>
          </w:p>
        </w:tc>
        <w:tc>
          <w:tcPr>
            <w:tcW w:w="1216" w:type="dxa"/>
            <w:noWrap/>
            <w:hideMark/>
          </w:tcPr>
          <w:p w14:paraId="19E7E48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$34,550</w:t>
            </w:r>
          </w:p>
        </w:tc>
        <w:tc>
          <w:tcPr>
            <w:tcW w:w="1125" w:type="dxa"/>
            <w:noWrap/>
            <w:hideMark/>
          </w:tcPr>
          <w:p w14:paraId="7036F41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$9,751</w:t>
            </w:r>
          </w:p>
        </w:tc>
      </w:tr>
      <w:tr w:rsidR="00F17BF1" w:rsidRPr="002246ED" w14:paraId="70129061" w14:textId="77777777" w:rsidTr="002246ED">
        <w:trPr>
          <w:trHeight w:hRule="exact" w:val="230"/>
        </w:trPr>
        <w:tc>
          <w:tcPr>
            <w:tcW w:w="900" w:type="dxa"/>
            <w:noWrap/>
            <w:hideMark/>
          </w:tcPr>
          <w:p w14:paraId="42C04BE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080" w:type="dxa"/>
            <w:noWrap/>
            <w:hideMark/>
          </w:tcPr>
          <w:p w14:paraId="662D566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5400" w:type="dxa"/>
            <w:noWrap/>
            <w:hideMark/>
          </w:tcPr>
          <w:p w14:paraId="74598E8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304" w:type="dxa"/>
            <w:noWrap/>
            <w:hideMark/>
          </w:tcPr>
          <w:p w14:paraId="2ABEBA3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$107,430</w:t>
            </w:r>
          </w:p>
        </w:tc>
        <w:tc>
          <w:tcPr>
            <w:tcW w:w="1216" w:type="dxa"/>
            <w:noWrap/>
            <w:hideMark/>
          </w:tcPr>
          <w:p w14:paraId="71F9FD7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$34,550</w:t>
            </w:r>
          </w:p>
        </w:tc>
        <w:tc>
          <w:tcPr>
            <w:tcW w:w="1125" w:type="dxa"/>
            <w:noWrap/>
            <w:hideMark/>
          </w:tcPr>
          <w:p w14:paraId="1E7E586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$9,751</w:t>
            </w:r>
          </w:p>
        </w:tc>
      </w:tr>
      <w:tr w:rsidR="00F17BF1" w:rsidRPr="002246ED" w14:paraId="1208BA6F" w14:textId="77777777" w:rsidTr="002246ED">
        <w:trPr>
          <w:trHeight w:hRule="exact" w:val="230"/>
        </w:trPr>
        <w:tc>
          <w:tcPr>
            <w:tcW w:w="900" w:type="dxa"/>
            <w:noWrap/>
            <w:hideMark/>
          </w:tcPr>
          <w:p w14:paraId="1339CA1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SD</w:t>
            </w:r>
          </w:p>
        </w:tc>
        <w:tc>
          <w:tcPr>
            <w:tcW w:w="1080" w:type="dxa"/>
            <w:noWrap/>
            <w:hideMark/>
          </w:tcPr>
          <w:p w14:paraId="2B0A506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01</w:t>
            </w:r>
          </w:p>
        </w:tc>
        <w:tc>
          <w:tcPr>
            <w:tcW w:w="5400" w:type="dxa"/>
            <w:noWrap/>
            <w:hideMark/>
          </w:tcPr>
          <w:p w14:paraId="45BAA7C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Cheyenne River Elderly Nutrition Services</w:t>
            </w:r>
          </w:p>
        </w:tc>
        <w:tc>
          <w:tcPr>
            <w:tcW w:w="1304" w:type="dxa"/>
            <w:noWrap/>
            <w:hideMark/>
          </w:tcPr>
          <w:p w14:paraId="24C25D0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$137,640</w:t>
            </w:r>
          </w:p>
        </w:tc>
        <w:tc>
          <w:tcPr>
            <w:tcW w:w="1216" w:type="dxa"/>
            <w:noWrap/>
            <w:hideMark/>
          </w:tcPr>
          <w:p w14:paraId="4F7774B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$48,380</w:t>
            </w:r>
          </w:p>
        </w:tc>
        <w:tc>
          <w:tcPr>
            <w:tcW w:w="1125" w:type="dxa"/>
            <w:noWrap/>
            <w:hideMark/>
          </w:tcPr>
          <w:p w14:paraId="34C5598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$10,082</w:t>
            </w:r>
          </w:p>
        </w:tc>
      </w:tr>
      <w:tr w:rsidR="00F17BF1" w:rsidRPr="002246ED" w14:paraId="1FB072EF" w14:textId="77777777" w:rsidTr="002246ED">
        <w:trPr>
          <w:trHeight w:hRule="exact" w:val="230"/>
        </w:trPr>
        <w:tc>
          <w:tcPr>
            <w:tcW w:w="900" w:type="dxa"/>
            <w:noWrap/>
            <w:hideMark/>
          </w:tcPr>
          <w:p w14:paraId="73E4E9B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SD</w:t>
            </w:r>
          </w:p>
        </w:tc>
        <w:tc>
          <w:tcPr>
            <w:tcW w:w="1080" w:type="dxa"/>
            <w:noWrap/>
            <w:hideMark/>
          </w:tcPr>
          <w:p w14:paraId="2FE831C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02</w:t>
            </w:r>
          </w:p>
        </w:tc>
        <w:tc>
          <w:tcPr>
            <w:tcW w:w="5400" w:type="dxa"/>
            <w:noWrap/>
            <w:hideMark/>
          </w:tcPr>
          <w:p w14:paraId="79CAA6F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Crow Creek Sioux Tribe</w:t>
            </w:r>
          </w:p>
        </w:tc>
        <w:tc>
          <w:tcPr>
            <w:tcW w:w="1304" w:type="dxa"/>
            <w:noWrap/>
            <w:hideMark/>
          </w:tcPr>
          <w:p w14:paraId="6E750FE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1BEEE7C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w:t>
            </w:r>
          </w:p>
        </w:tc>
        <w:tc>
          <w:tcPr>
            <w:tcW w:w="1125" w:type="dxa"/>
            <w:noWrap/>
            <w:hideMark/>
          </w:tcPr>
          <w:p w14:paraId="373FA52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$15,271</w:t>
            </w:r>
          </w:p>
        </w:tc>
      </w:tr>
      <w:tr w:rsidR="00F17BF1" w:rsidRPr="002246ED" w14:paraId="2091A02F" w14:textId="77777777" w:rsidTr="002246ED">
        <w:trPr>
          <w:trHeight w:hRule="exact" w:val="230"/>
        </w:trPr>
        <w:tc>
          <w:tcPr>
            <w:tcW w:w="900" w:type="dxa"/>
            <w:noWrap/>
            <w:hideMark/>
          </w:tcPr>
          <w:p w14:paraId="4F360E8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SD</w:t>
            </w:r>
          </w:p>
        </w:tc>
        <w:tc>
          <w:tcPr>
            <w:tcW w:w="1080" w:type="dxa"/>
            <w:noWrap/>
            <w:hideMark/>
          </w:tcPr>
          <w:p w14:paraId="67D7DA0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03</w:t>
            </w:r>
          </w:p>
        </w:tc>
        <w:tc>
          <w:tcPr>
            <w:tcW w:w="5400" w:type="dxa"/>
            <w:noWrap/>
            <w:hideMark/>
          </w:tcPr>
          <w:p w14:paraId="5ED45D5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Lower Brule Sioux Tribe</w:t>
            </w:r>
          </w:p>
        </w:tc>
        <w:tc>
          <w:tcPr>
            <w:tcW w:w="1304" w:type="dxa"/>
            <w:noWrap/>
            <w:hideMark/>
          </w:tcPr>
          <w:p w14:paraId="140CC24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4886973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hideMark/>
          </w:tcPr>
          <w:p w14:paraId="6E64800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$3,662</w:t>
            </w:r>
          </w:p>
        </w:tc>
      </w:tr>
      <w:tr w:rsidR="00F17BF1" w:rsidRPr="002246ED" w14:paraId="67E95B80" w14:textId="77777777" w:rsidTr="002246ED">
        <w:trPr>
          <w:trHeight w:hRule="exact" w:val="230"/>
        </w:trPr>
        <w:tc>
          <w:tcPr>
            <w:tcW w:w="900" w:type="dxa"/>
            <w:noWrap/>
            <w:hideMark/>
          </w:tcPr>
          <w:p w14:paraId="0DBAF1B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SD</w:t>
            </w:r>
          </w:p>
        </w:tc>
        <w:tc>
          <w:tcPr>
            <w:tcW w:w="1080" w:type="dxa"/>
            <w:noWrap/>
            <w:hideMark/>
          </w:tcPr>
          <w:p w14:paraId="57D877C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04</w:t>
            </w:r>
          </w:p>
        </w:tc>
        <w:tc>
          <w:tcPr>
            <w:tcW w:w="5400" w:type="dxa"/>
            <w:noWrap/>
            <w:hideMark/>
          </w:tcPr>
          <w:p w14:paraId="2678469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Oglala Sioux Tribe</w:t>
            </w:r>
          </w:p>
        </w:tc>
        <w:tc>
          <w:tcPr>
            <w:tcW w:w="1304" w:type="dxa"/>
            <w:noWrap/>
            <w:hideMark/>
          </w:tcPr>
          <w:p w14:paraId="6F38F04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$180,720</w:t>
            </w:r>
          </w:p>
        </w:tc>
        <w:tc>
          <w:tcPr>
            <w:tcW w:w="1216" w:type="dxa"/>
            <w:noWrap/>
            <w:hideMark/>
          </w:tcPr>
          <w:p w14:paraId="7666194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$55,280</w:t>
            </w:r>
          </w:p>
        </w:tc>
        <w:tc>
          <w:tcPr>
            <w:tcW w:w="1125" w:type="dxa"/>
            <w:noWrap/>
            <w:hideMark/>
          </w:tcPr>
          <w:p w14:paraId="45E471A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$28,368</w:t>
            </w:r>
          </w:p>
        </w:tc>
      </w:tr>
      <w:tr w:rsidR="00F17BF1" w:rsidRPr="002246ED" w14:paraId="4C2789C2" w14:textId="77777777" w:rsidTr="002246ED">
        <w:trPr>
          <w:trHeight w:hRule="exact" w:val="230"/>
        </w:trPr>
        <w:tc>
          <w:tcPr>
            <w:tcW w:w="900" w:type="dxa"/>
            <w:noWrap/>
            <w:hideMark/>
          </w:tcPr>
          <w:p w14:paraId="7E68280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SD</w:t>
            </w:r>
          </w:p>
        </w:tc>
        <w:tc>
          <w:tcPr>
            <w:tcW w:w="1080" w:type="dxa"/>
            <w:noWrap/>
            <w:hideMark/>
          </w:tcPr>
          <w:p w14:paraId="7CD5396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05</w:t>
            </w:r>
          </w:p>
        </w:tc>
        <w:tc>
          <w:tcPr>
            <w:tcW w:w="5400" w:type="dxa"/>
            <w:noWrap/>
            <w:hideMark/>
          </w:tcPr>
          <w:p w14:paraId="1B0958E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Rosebud Sioux Tribe</w:t>
            </w:r>
          </w:p>
        </w:tc>
        <w:tc>
          <w:tcPr>
            <w:tcW w:w="1304" w:type="dxa"/>
            <w:noWrap/>
            <w:hideMark/>
          </w:tcPr>
          <w:p w14:paraId="50A3657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$180,720</w:t>
            </w:r>
          </w:p>
        </w:tc>
        <w:tc>
          <w:tcPr>
            <w:tcW w:w="1216" w:type="dxa"/>
            <w:noWrap/>
            <w:hideMark/>
          </w:tcPr>
          <w:p w14:paraId="277842C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$55,280</w:t>
            </w:r>
          </w:p>
        </w:tc>
        <w:tc>
          <w:tcPr>
            <w:tcW w:w="1125" w:type="dxa"/>
            <w:noWrap/>
            <w:hideMark/>
          </w:tcPr>
          <w:p w14:paraId="4BA676C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$32,688</w:t>
            </w:r>
          </w:p>
        </w:tc>
      </w:tr>
      <w:tr w:rsidR="00F17BF1" w:rsidRPr="002246ED" w14:paraId="58809F95" w14:textId="77777777" w:rsidTr="002246ED">
        <w:trPr>
          <w:trHeight w:hRule="exact" w:val="230"/>
        </w:trPr>
        <w:tc>
          <w:tcPr>
            <w:tcW w:w="900" w:type="dxa"/>
            <w:noWrap/>
            <w:hideMark/>
          </w:tcPr>
          <w:p w14:paraId="23DCACA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SD</w:t>
            </w:r>
          </w:p>
        </w:tc>
        <w:tc>
          <w:tcPr>
            <w:tcW w:w="1080" w:type="dxa"/>
            <w:noWrap/>
            <w:hideMark/>
          </w:tcPr>
          <w:p w14:paraId="63D90A1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06</w:t>
            </w:r>
          </w:p>
        </w:tc>
        <w:tc>
          <w:tcPr>
            <w:tcW w:w="5400" w:type="dxa"/>
            <w:noWrap/>
            <w:hideMark/>
          </w:tcPr>
          <w:p w14:paraId="1865ED4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Sisseton Wahpeton Oyate of the</w:t>
            </w:r>
          </w:p>
        </w:tc>
        <w:tc>
          <w:tcPr>
            <w:tcW w:w="1304" w:type="dxa"/>
            <w:noWrap/>
            <w:hideMark/>
          </w:tcPr>
          <w:p w14:paraId="194B8D9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$137,640</w:t>
            </w:r>
          </w:p>
        </w:tc>
        <w:tc>
          <w:tcPr>
            <w:tcW w:w="1216" w:type="dxa"/>
            <w:noWrap/>
            <w:hideMark/>
          </w:tcPr>
          <w:p w14:paraId="02847FF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$48,380</w:t>
            </w:r>
          </w:p>
        </w:tc>
        <w:tc>
          <w:tcPr>
            <w:tcW w:w="1125" w:type="dxa"/>
            <w:noWrap/>
            <w:hideMark/>
          </w:tcPr>
          <w:p w14:paraId="302D64C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$34,562</w:t>
            </w:r>
          </w:p>
        </w:tc>
      </w:tr>
      <w:tr w:rsidR="00F17BF1" w:rsidRPr="002246ED" w14:paraId="08375DC3" w14:textId="77777777" w:rsidTr="002246ED">
        <w:trPr>
          <w:trHeight w:hRule="exact" w:val="230"/>
        </w:trPr>
        <w:tc>
          <w:tcPr>
            <w:tcW w:w="900" w:type="dxa"/>
            <w:noWrap/>
            <w:hideMark/>
          </w:tcPr>
          <w:p w14:paraId="5976EDD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SD</w:t>
            </w:r>
          </w:p>
        </w:tc>
        <w:tc>
          <w:tcPr>
            <w:tcW w:w="1080" w:type="dxa"/>
            <w:noWrap/>
            <w:hideMark/>
          </w:tcPr>
          <w:p w14:paraId="428E713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08</w:t>
            </w:r>
          </w:p>
        </w:tc>
        <w:tc>
          <w:tcPr>
            <w:tcW w:w="5400" w:type="dxa"/>
            <w:noWrap/>
            <w:hideMark/>
          </w:tcPr>
          <w:p w14:paraId="6D99782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Yankton Sioux Tribe</w:t>
            </w:r>
          </w:p>
        </w:tc>
        <w:tc>
          <w:tcPr>
            <w:tcW w:w="1304" w:type="dxa"/>
            <w:noWrap/>
            <w:hideMark/>
          </w:tcPr>
          <w:p w14:paraId="33A487E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$118,820</w:t>
            </w:r>
          </w:p>
        </w:tc>
        <w:tc>
          <w:tcPr>
            <w:tcW w:w="1216" w:type="dxa"/>
            <w:noWrap/>
            <w:hideMark/>
          </w:tcPr>
          <w:p w14:paraId="49FF7BD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$41,470</w:t>
            </w:r>
          </w:p>
        </w:tc>
        <w:tc>
          <w:tcPr>
            <w:tcW w:w="1125" w:type="dxa"/>
            <w:noWrap/>
            <w:hideMark/>
          </w:tcPr>
          <w:p w14:paraId="693DF04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$23,593</w:t>
            </w:r>
          </w:p>
        </w:tc>
      </w:tr>
      <w:tr w:rsidR="00F17BF1" w:rsidRPr="002246ED" w14:paraId="5716C38E" w14:textId="77777777" w:rsidTr="002246ED">
        <w:trPr>
          <w:trHeight w:hRule="exact" w:val="230"/>
        </w:trPr>
        <w:tc>
          <w:tcPr>
            <w:tcW w:w="900" w:type="dxa"/>
            <w:noWrap/>
            <w:hideMark/>
          </w:tcPr>
          <w:p w14:paraId="4F14BB6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080" w:type="dxa"/>
            <w:noWrap/>
            <w:hideMark/>
          </w:tcPr>
          <w:p w14:paraId="69658B9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5400" w:type="dxa"/>
            <w:noWrap/>
            <w:hideMark/>
          </w:tcPr>
          <w:p w14:paraId="77AA379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304" w:type="dxa"/>
            <w:noWrap/>
            <w:hideMark/>
          </w:tcPr>
          <w:p w14:paraId="58246E9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$923,460</w:t>
            </w:r>
          </w:p>
        </w:tc>
        <w:tc>
          <w:tcPr>
            <w:tcW w:w="1216" w:type="dxa"/>
            <w:noWrap/>
            <w:hideMark/>
          </w:tcPr>
          <w:p w14:paraId="08B411C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$269,520</w:t>
            </w:r>
          </w:p>
        </w:tc>
        <w:tc>
          <w:tcPr>
            <w:tcW w:w="1125" w:type="dxa"/>
            <w:noWrap/>
            <w:hideMark/>
          </w:tcPr>
          <w:p w14:paraId="7F1B584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$148,226</w:t>
            </w:r>
          </w:p>
        </w:tc>
      </w:tr>
      <w:tr w:rsidR="00F17BF1" w:rsidRPr="002246ED" w14:paraId="1AD811E1" w14:textId="77777777" w:rsidTr="002246ED">
        <w:trPr>
          <w:trHeight w:hRule="exact" w:val="230"/>
        </w:trPr>
        <w:tc>
          <w:tcPr>
            <w:tcW w:w="900" w:type="dxa"/>
            <w:noWrap/>
            <w:hideMark/>
          </w:tcPr>
          <w:p w14:paraId="1F59131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TX</w:t>
            </w:r>
          </w:p>
        </w:tc>
        <w:tc>
          <w:tcPr>
            <w:tcW w:w="1080" w:type="dxa"/>
            <w:noWrap/>
            <w:hideMark/>
          </w:tcPr>
          <w:p w14:paraId="373E913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01</w:t>
            </w:r>
          </w:p>
        </w:tc>
        <w:tc>
          <w:tcPr>
            <w:tcW w:w="5400" w:type="dxa"/>
            <w:noWrap/>
            <w:hideMark/>
          </w:tcPr>
          <w:p w14:paraId="7656548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Alabama-Coushatta Tribe of Texas</w:t>
            </w:r>
          </w:p>
        </w:tc>
        <w:tc>
          <w:tcPr>
            <w:tcW w:w="1304" w:type="dxa"/>
            <w:noWrap/>
            <w:hideMark/>
          </w:tcPr>
          <w:p w14:paraId="68F5C5E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37B67A0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hideMark/>
          </w:tcPr>
          <w:p w14:paraId="6E75089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$7,359</w:t>
            </w:r>
          </w:p>
        </w:tc>
      </w:tr>
      <w:tr w:rsidR="00F17BF1" w:rsidRPr="002246ED" w14:paraId="604E3A60" w14:textId="77777777" w:rsidTr="002246ED">
        <w:trPr>
          <w:trHeight w:hRule="exact" w:val="230"/>
        </w:trPr>
        <w:tc>
          <w:tcPr>
            <w:tcW w:w="900" w:type="dxa"/>
            <w:noWrap/>
            <w:hideMark/>
          </w:tcPr>
          <w:p w14:paraId="6E32AA0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TX</w:t>
            </w:r>
          </w:p>
        </w:tc>
        <w:tc>
          <w:tcPr>
            <w:tcW w:w="1080" w:type="dxa"/>
            <w:noWrap/>
            <w:hideMark/>
          </w:tcPr>
          <w:p w14:paraId="28B268E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02</w:t>
            </w:r>
          </w:p>
        </w:tc>
        <w:tc>
          <w:tcPr>
            <w:tcW w:w="5400" w:type="dxa"/>
            <w:noWrap/>
            <w:hideMark/>
          </w:tcPr>
          <w:p w14:paraId="5F6E1D0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Kickapoo Traditional Tribe of Texas</w:t>
            </w:r>
          </w:p>
        </w:tc>
        <w:tc>
          <w:tcPr>
            <w:tcW w:w="1304" w:type="dxa"/>
            <w:noWrap/>
            <w:hideMark/>
          </w:tcPr>
          <w:p w14:paraId="1E5CBCE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$73,990</w:t>
            </w:r>
          </w:p>
        </w:tc>
        <w:tc>
          <w:tcPr>
            <w:tcW w:w="1216" w:type="dxa"/>
            <w:noWrap/>
            <w:hideMark/>
          </w:tcPr>
          <w:p w14:paraId="66C8EE6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w:t>
            </w:r>
          </w:p>
        </w:tc>
        <w:tc>
          <w:tcPr>
            <w:tcW w:w="1125" w:type="dxa"/>
            <w:noWrap/>
            <w:hideMark/>
          </w:tcPr>
          <w:p w14:paraId="456F77A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$17,341</w:t>
            </w:r>
          </w:p>
        </w:tc>
      </w:tr>
      <w:tr w:rsidR="00F17BF1" w:rsidRPr="002246ED" w14:paraId="3B0FD964" w14:textId="77777777" w:rsidTr="002246ED">
        <w:trPr>
          <w:trHeight w:hRule="exact" w:val="230"/>
        </w:trPr>
        <w:tc>
          <w:tcPr>
            <w:tcW w:w="900" w:type="dxa"/>
            <w:noWrap/>
            <w:hideMark/>
          </w:tcPr>
          <w:p w14:paraId="3422669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080" w:type="dxa"/>
            <w:noWrap/>
            <w:hideMark/>
          </w:tcPr>
          <w:p w14:paraId="26C78AE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5400" w:type="dxa"/>
            <w:noWrap/>
            <w:hideMark/>
          </w:tcPr>
          <w:p w14:paraId="502868A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304" w:type="dxa"/>
            <w:noWrap/>
            <w:hideMark/>
          </w:tcPr>
          <w:p w14:paraId="3944ADD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$157,950</w:t>
            </w:r>
          </w:p>
        </w:tc>
        <w:tc>
          <w:tcPr>
            <w:tcW w:w="1216" w:type="dxa"/>
            <w:noWrap/>
            <w:hideMark/>
          </w:tcPr>
          <w:p w14:paraId="1ACE91D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$20,730</w:t>
            </w:r>
          </w:p>
        </w:tc>
        <w:tc>
          <w:tcPr>
            <w:tcW w:w="1125" w:type="dxa"/>
            <w:noWrap/>
            <w:hideMark/>
          </w:tcPr>
          <w:p w14:paraId="01BC979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$24,700</w:t>
            </w:r>
          </w:p>
        </w:tc>
      </w:tr>
      <w:tr w:rsidR="00F17BF1" w:rsidRPr="002246ED" w14:paraId="7BCB7F98" w14:textId="77777777" w:rsidTr="002246ED">
        <w:trPr>
          <w:trHeight w:hRule="exact" w:val="230"/>
        </w:trPr>
        <w:tc>
          <w:tcPr>
            <w:tcW w:w="900" w:type="dxa"/>
            <w:noWrap/>
            <w:hideMark/>
          </w:tcPr>
          <w:p w14:paraId="6A1395E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UT</w:t>
            </w:r>
          </w:p>
        </w:tc>
        <w:tc>
          <w:tcPr>
            <w:tcW w:w="1080" w:type="dxa"/>
            <w:noWrap/>
            <w:hideMark/>
          </w:tcPr>
          <w:p w14:paraId="0C6A1E0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01</w:t>
            </w:r>
          </w:p>
        </w:tc>
        <w:tc>
          <w:tcPr>
            <w:tcW w:w="5400" w:type="dxa"/>
            <w:noWrap/>
            <w:hideMark/>
          </w:tcPr>
          <w:p w14:paraId="5E0EAFF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Unitah &amp; Ouray, Ute Indian Tribe</w:t>
            </w:r>
          </w:p>
        </w:tc>
        <w:tc>
          <w:tcPr>
            <w:tcW w:w="1304" w:type="dxa"/>
            <w:noWrap/>
            <w:hideMark/>
          </w:tcPr>
          <w:p w14:paraId="74822E4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$107,430</w:t>
            </w:r>
          </w:p>
        </w:tc>
        <w:tc>
          <w:tcPr>
            <w:tcW w:w="1216" w:type="dxa"/>
            <w:noWrap/>
            <w:hideMark/>
          </w:tcPr>
          <w:p w14:paraId="41369B4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$34,550</w:t>
            </w:r>
          </w:p>
        </w:tc>
        <w:tc>
          <w:tcPr>
            <w:tcW w:w="1125" w:type="dxa"/>
            <w:noWrap/>
            <w:hideMark/>
          </w:tcPr>
          <w:p w14:paraId="66EF0CD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$7,532</w:t>
            </w:r>
          </w:p>
        </w:tc>
      </w:tr>
      <w:tr w:rsidR="00F17BF1" w:rsidRPr="002246ED" w14:paraId="578AB888" w14:textId="77777777" w:rsidTr="002246ED">
        <w:trPr>
          <w:trHeight w:hRule="exact" w:val="230"/>
        </w:trPr>
        <w:tc>
          <w:tcPr>
            <w:tcW w:w="900" w:type="dxa"/>
            <w:noWrap/>
            <w:hideMark/>
          </w:tcPr>
          <w:p w14:paraId="48EAE9F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080" w:type="dxa"/>
            <w:noWrap/>
            <w:hideMark/>
          </w:tcPr>
          <w:p w14:paraId="771EC3C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5400" w:type="dxa"/>
            <w:noWrap/>
            <w:hideMark/>
          </w:tcPr>
          <w:p w14:paraId="7248BC3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304" w:type="dxa"/>
            <w:noWrap/>
            <w:hideMark/>
          </w:tcPr>
          <w:p w14:paraId="6B68B86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$107,430</w:t>
            </w:r>
          </w:p>
        </w:tc>
        <w:tc>
          <w:tcPr>
            <w:tcW w:w="1216" w:type="dxa"/>
            <w:noWrap/>
            <w:hideMark/>
          </w:tcPr>
          <w:p w14:paraId="2B7668E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$34,550</w:t>
            </w:r>
          </w:p>
        </w:tc>
        <w:tc>
          <w:tcPr>
            <w:tcW w:w="1125" w:type="dxa"/>
            <w:noWrap/>
            <w:hideMark/>
          </w:tcPr>
          <w:p w14:paraId="78A470D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$7,532</w:t>
            </w:r>
          </w:p>
        </w:tc>
      </w:tr>
      <w:tr w:rsidR="00F17BF1" w:rsidRPr="002246ED" w14:paraId="3C05F53D" w14:textId="77777777" w:rsidTr="002246ED">
        <w:trPr>
          <w:trHeight w:hRule="exact" w:val="230"/>
        </w:trPr>
        <w:tc>
          <w:tcPr>
            <w:tcW w:w="900" w:type="dxa"/>
            <w:noWrap/>
            <w:hideMark/>
          </w:tcPr>
          <w:p w14:paraId="7FD6291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WA</w:t>
            </w:r>
          </w:p>
        </w:tc>
        <w:tc>
          <w:tcPr>
            <w:tcW w:w="1080" w:type="dxa"/>
            <w:noWrap/>
            <w:hideMark/>
          </w:tcPr>
          <w:p w14:paraId="55F483C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01</w:t>
            </w:r>
          </w:p>
        </w:tc>
        <w:tc>
          <w:tcPr>
            <w:tcW w:w="5400" w:type="dxa"/>
            <w:noWrap/>
            <w:hideMark/>
          </w:tcPr>
          <w:p w14:paraId="2070F49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Confederated Tribes of the Colville Reservation</w:t>
            </w:r>
          </w:p>
        </w:tc>
        <w:tc>
          <w:tcPr>
            <w:tcW w:w="1304" w:type="dxa"/>
            <w:noWrap/>
            <w:hideMark/>
          </w:tcPr>
          <w:p w14:paraId="28630EC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$137,640</w:t>
            </w:r>
          </w:p>
        </w:tc>
        <w:tc>
          <w:tcPr>
            <w:tcW w:w="1216" w:type="dxa"/>
            <w:noWrap/>
            <w:hideMark/>
          </w:tcPr>
          <w:p w14:paraId="7B3AD9A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$48,380</w:t>
            </w:r>
          </w:p>
        </w:tc>
        <w:tc>
          <w:tcPr>
            <w:tcW w:w="1125" w:type="dxa"/>
            <w:noWrap/>
            <w:hideMark/>
          </w:tcPr>
          <w:p w14:paraId="1BBCFB6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$17,344</w:t>
            </w:r>
          </w:p>
        </w:tc>
      </w:tr>
      <w:tr w:rsidR="00F17BF1" w:rsidRPr="002246ED" w14:paraId="29E88673" w14:textId="77777777" w:rsidTr="002246ED">
        <w:trPr>
          <w:trHeight w:hRule="exact" w:val="230"/>
        </w:trPr>
        <w:tc>
          <w:tcPr>
            <w:tcW w:w="900" w:type="dxa"/>
            <w:noWrap/>
            <w:hideMark/>
          </w:tcPr>
          <w:p w14:paraId="4B9DF5E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WA</w:t>
            </w:r>
          </w:p>
        </w:tc>
        <w:tc>
          <w:tcPr>
            <w:tcW w:w="1080" w:type="dxa"/>
            <w:noWrap/>
            <w:hideMark/>
          </w:tcPr>
          <w:p w14:paraId="05F0A45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02</w:t>
            </w:r>
          </w:p>
        </w:tc>
        <w:tc>
          <w:tcPr>
            <w:tcW w:w="5400" w:type="dxa"/>
            <w:noWrap/>
            <w:hideMark/>
          </w:tcPr>
          <w:p w14:paraId="7BDCB71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Lower Elwha Klallam Tribe</w:t>
            </w:r>
          </w:p>
        </w:tc>
        <w:tc>
          <w:tcPr>
            <w:tcW w:w="1304" w:type="dxa"/>
            <w:noWrap/>
            <w:hideMark/>
          </w:tcPr>
          <w:p w14:paraId="5D694E1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$73,990</w:t>
            </w:r>
          </w:p>
        </w:tc>
        <w:tc>
          <w:tcPr>
            <w:tcW w:w="1216" w:type="dxa"/>
            <w:noWrap/>
            <w:hideMark/>
          </w:tcPr>
          <w:p w14:paraId="2BE4B22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$13,820</w:t>
            </w:r>
          </w:p>
        </w:tc>
        <w:tc>
          <w:tcPr>
            <w:tcW w:w="1125" w:type="dxa"/>
            <w:noWrap/>
            <w:hideMark/>
          </w:tcPr>
          <w:p w14:paraId="7F92483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$8,727</w:t>
            </w:r>
          </w:p>
        </w:tc>
      </w:tr>
      <w:tr w:rsidR="00F17BF1" w:rsidRPr="002246ED" w14:paraId="68A8243B" w14:textId="77777777" w:rsidTr="002246ED">
        <w:trPr>
          <w:trHeight w:hRule="exact" w:val="230"/>
        </w:trPr>
        <w:tc>
          <w:tcPr>
            <w:tcW w:w="900" w:type="dxa"/>
            <w:noWrap/>
            <w:hideMark/>
          </w:tcPr>
          <w:p w14:paraId="587AACF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WA</w:t>
            </w:r>
          </w:p>
        </w:tc>
        <w:tc>
          <w:tcPr>
            <w:tcW w:w="1080" w:type="dxa"/>
            <w:noWrap/>
            <w:hideMark/>
          </w:tcPr>
          <w:p w14:paraId="754B3D2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03</w:t>
            </w:r>
          </w:p>
        </w:tc>
        <w:tc>
          <w:tcPr>
            <w:tcW w:w="5400" w:type="dxa"/>
            <w:noWrap/>
            <w:hideMark/>
          </w:tcPr>
          <w:p w14:paraId="6274DEF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Lummi Nation</w:t>
            </w:r>
          </w:p>
        </w:tc>
        <w:tc>
          <w:tcPr>
            <w:tcW w:w="1304" w:type="dxa"/>
            <w:noWrap/>
            <w:hideMark/>
          </w:tcPr>
          <w:p w14:paraId="3899E08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$107,430</w:t>
            </w:r>
          </w:p>
        </w:tc>
        <w:tc>
          <w:tcPr>
            <w:tcW w:w="1216" w:type="dxa"/>
            <w:noWrap/>
            <w:hideMark/>
          </w:tcPr>
          <w:p w14:paraId="0247632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$34,550</w:t>
            </w:r>
          </w:p>
        </w:tc>
        <w:tc>
          <w:tcPr>
            <w:tcW w:w="1125" w:type="dxa"/>
            <w:noWrap/>
            <w:hideMark/>
          </w:tcPr>
          <w:p w14:paraId="07B2926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$22,019</w:t>
            </w:r>
          </w:p>
        </w:tc>
      </w:tr>
      <w:tr w:rsidR="00F17BF1" w:rsidRPr="002246ED" w14:paraId="44C2328E" w14:textId="77777777" w:rsidTr="002246ED">
        <w:trPr>
          <w:trHeight w:hRule="exact" w:val="230"/>
        </w:trPr>
        <w:tc>
          <w:tcPr>
            <w:tcW w:w="900" w:type="dxa"/>
            <w:noWrap/>
            <w:hideMark/>
          </w:tcPr>
          <w:p w14:paraId="1582EAF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WA</w:t>
            </w:r>
          </w:p>
        </w:tc>
        <w:tc>
          <w:tcPr>
            <w:tcW w:w="1080" w:type="dxa"/>
            <w:noWrap/>
            <w:hideMark/>
          </w:tcPr>
          <w:p w14:paraId="5A7C630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04</w:t>
            </w:r>
          </w:p>
        </w:tc>
        <w:tc>
          <w:tcPr>
            <w:tcW w:w="5400" w:type="dxa"/>
            <w:noWrap/>
            <w:hideMark/>
          </w:tcPr>
          <w:p w14:paraId="70F04CA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Makah Tribe Senior Program</w:t>
            </w:r>
          </w:p>
        </w:tc>
        <w:tc>
          <w:tcPr>
            <w:tcW w:w="1304" w:type="dxa"/>
            <w:noWrap/>
            <w:hideMark/>
          </w:tcPr>
          <w:p w14:paraId="4DB96A3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5D2CF88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hideMark/>
          </w:tcPr>
          <w:p w14:paraId="21473B7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$10,995</w:t>
            </w:r>
          </w:p>
        </w:tc>
      </w:tr>
      <w:tr w:rsidR="00F17BF1" w:rsidRPr="002246ED" w14:paraId="7101B922" w14:textId="77777777" w:rsidTr="002246ED">
        <w:trPr>
          <w:trHeight w:hRule="exact" w:val="230"/>
        </w:trPr>
        <w:tc>
          <w:tcPr>
            <w:tcW w:w="900" w:type="dxa"/>
            <w:noWrap/>
            <w:hideMark/>
          </w:tcPr>
          <w:p w14:paraId="691A4CF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WA</w:t>
            </w:r>
          </w:p>
        </w:tc>
        <w:tc>
          <w:tcPr>
            <w:tcW w:w="1080" w:type="dxa"/>
            <w:noWrap/>
            <w:hideMark/>
          </w:tcPr>
          <w:p w14:paraId="3108C38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05</w:t>
            </w:r>
          </w:p>
        </w:tc>
        <w:tc>
          <w:tcPr>
            <w:tcW w:w="5400" w:type="dxa"/>
            <w:noWrap/>
            <w:hideMark/>
          </w:tcPr>
          <w:p w14:paraId="3842EE2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Muckleshoot Indian Tribe</w:t>
            </w:r>
          </w:p>
        </w:tc>
        <w:tc>
          <w:tcPr>
            <w:tcW w:w="1304" w:type="dxa"/>
            <w:noWrap/>
            <w:hideMark/>
          </w:tcPr>
          <w:p w14:paraId="7AB770F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6A76686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hideMark/>
          </w:tcPr>
          <w:p w14:paraId="5B9151F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$48,325</w:t>
            </w:r>
          </w:p>
        </w:tc>
      </w:tr>
      <w:tr w:rsidR="00F17BF1" w:rsidRPr="002246ED" w14:paraId="29AF808C" w14:textId="77777777" w:rsidTr="002246ED">
        <w:trPr>
          <w:trHeight w:hRule="exact" w:val="230"/>
        </w:trPr>
        <w:tc>
          <w:tcPr>
            <w:tcW w:w="900" w:type="dxa"/>
            <w:noWrap/>
            <w:hideMark/>
          </w:tcPr>
          <w:p w14:paraId="6A282FB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WA</w:t>
            </w:r>
          </w:p>
        </w:tc>
        <w:tc>
          <w:tcPr>
            <w:tcW w:w="1080" w:type="dxa"/>
            <w:noWrap/>
            <w:hideMark/>
          </w:tcPr>
          <w:p w14:paraId="22BC05C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09</w:t>
            </w:r>
          </w:p>
        </w:tc>
        <w:tc>
          <w:tcPr>
            <w:tcW w:w="5400" w:type="dxa"/>
            <w:noWrap/>
            <w:hideMark/>
          </w:tcPr>
          <w:p w14:paraId="223786C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Puyallup Tribe of Indians</w:t>
            </w:r>
          </w:p>
        </w:tc>
        <w:tc>
          <w:tcPr>
            <w:tcW w:w="1304" w:type="dxa"/>
            <w:noWrap/>
            <w:hideMark/>
          </w:tcPr>
          <w:p w14:paraId="4739689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$180,720</w:t>
            </w:r>
          </w:p>
        </w:tc>
        <w:tc>
          <w:tcPr>
            <w:tcW w:w="1216" w:type="dxa"/>
            <w:noWrap/>
            <w:hideMark/>
          </w:tcPr>
          <w:p w14:paraId="006D3CF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w:t>
            </w:r>
          </w:p>
        </w:tc>
        <w:tc>
          <w:tcPr>
            <w:tcW w:w="1125" w:type="dxa"/>
            <w:noWrap/>
            <w:hideMark/>
          </w:tcPr>
          <w:p w14:paraId="79C8DC1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$13,410</w:t>
            </w:r>
          </w:p>
        </w:tc>
      </w:tr>
      <w:tr w:rsidR="00F17BF1" w:rsidRPr="002246ED" w14:paraId="252334C5" w14:textId="77777777" w:rsidTr="002246ED">
        <w:trPr>
          <w:trHeight w:hRule="exact" w:val="230"/>
        </w:trPr>
        <w:tc>
          <w:tcPr>
            <w:tcW w:w="900" w:type="dxa"/>
            <w:noWrap/>
            <w:hideMark/>
          </w:tcPr>
          <w:p w14:paraId="4CE3505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WA</w:t>
            </w:r>
          </w:p>
        </w:tc>
        <w:tc>
          <w:tcPr>
            <w:tcW w:w="1080" w:type="dxa"/>
            <w:noWrap/>
            <w:hideMark/>
          </w:tcPr>
          <w:p w14:paraId="478E703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10</w:t>
            </w:r>
          </w:p>
        </w:tc>
        <w:tc>
          <w:tcPr>
            <w:tcW w:w="5400" w:type="dxa"/>
            <w:noWrap/>
            <w:hideMark/>
          </w:tcPr>
          <w:p w14:paraId="3E7336C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Quinault Indian Nation</w:t>
            </w:r>
          </w:p>
        </w:tc>
        <w:tc>
          <w:tcPr>
            <w:tcW w:w="1304" w:type="dxa"/>
            <w:noWrap/>
            <w:hideMark/>
          </w:tcPr>
          <w:p w14:paraId="65088F5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$95,340</w:t>
            </w:r>
          </w:p>
        </w:tc>
        <w:tc>
          <w:tcPr>
            <w:tcW w:w="1216" w:type="dxa"/>
            <w:noWrap/>
            <w:hideMark/>
          </w:tcPr>
          <w:p w14:paraId="146FAE7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$27,640</w:t>
            </w:r>
          </w:p>
        </w:tc>
        <w:tc>
          <w:tcPr>
            <w:tcW w:w="1125" w:type="dxa"/>
            <w:noWrap/>
            <w:hideMark/>
          </w:tcPr>
          <w:p w14:paraId="1B83AA2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$22,375</w:t>
            </w:r>
          </w:p>
        </w:tc>
      </w:tr>
      <w:tr w:rsidR="00F17BF1" w:rsidRPr="002246ED" w14:paraId="31F7348C" w14:textId="77777777" w:rsidTr="002246ED">
        <w:trPr>
          <w:trHeight w:hRule="exact" w:val="230"/>
        </w:trPr>
        <w:tc>
          <w:tcPr>
            <w:tcW w:w="900" w:type="dxa"/>
            <w:noWrap/>
            <w:hideMark/>
          </w:tcPr>
          <w:p w14:paraId="52AC2F8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WA</w:t>
            </w:r>
          </w:p>
        </w:tc>
        <w:tc>
          <w:tcPr>
            <w:tcW w:w="1080" w:type="dxa"/>
            <w:noWrap/>
            <w:hideMark/>
          </w:tcPr>
          <w:p w14:paraId="32A900B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w:t>
            </w:r>
          </w:p>
        </w:tc>
        <w:tc>
          <w:tcPr>
            <w:tcW w:w="5400" w:type="dxa"/>
            <w:noWrap/>
            <w:hideMark/>
          </w:tcPr>
          <w:p w14:paraId="188DA48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Swinomish Indian Tribal Community</w:t>
            </w:r>
          </w:p>
        </w:tc>
        <w:tc>
          <w:tcPr>
            <w:tcW w:w="1304" w:type="dxa"/>
            <w:noWrap/>
            <w:hideMark/>
          </w:tcPr>
          <w:p w14:paraId="0CECC6E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72973DD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hideMark/>
          </w:tcPr>
          <w:p w14:paraId="2F2B7A1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$6,466</w:t>
            </w:r>
          </w:p>
        </w:tc>
      </w:tr>
      <w:tr w:rsidR="00F17BF1" w:rsidRPr="002246ED" w14:paraId="50CCFBBC" w14:textId="77777777" w:rsidTr="002246ED">
        <w:trPr>
          <w:trHeight w:hRule="exact" w:val="230"/>
        </w:trPr>
        <w:tc>
          <w:tcPr>
            <w:tcW w:w="900" w:type="dxa"/>
            <w:noWrap/>
            <w:hideMark/>
          </w:tcPr>
          <w:p w14:paraId="73A7AC2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WA</w:t>
            </w:r>
          </w:p>
        </w:tc>
        <w:tc>
          <w:tcPr>
            <w:tcW w:w="1080" w:type="dxa"/>
            <w:noWrap/>
            <w:hideMark/>
          </w:tcPr>
          <w:p w14:paraId="0285724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14</w:t>
            </w:r>
          </w:p>
        </w:tc>
        <w:tc>
          <w:tcPr>
            <w:tcW w:w="5400" w:type="dxa"/>
            <w:noWrap/>
            <w:hideMark/>
          </w:tcPr>
          <w:p w14:paraId="547EA4C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Spokane Tribes of Indians</w:t>
            </w:r>
          </w:p>
        </w:tc>
        <w:tc>
          <w:tcPr>
            <w:tcW w:w="1304" w:type="dxa"/>
            <w:noWrap/>
            <w:hideMark/>
          </w:tcPr>
          <w:p w14:paraId="19833D1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5ACC201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hideMark/>
          </w:tcPr>
          <w:p w14:paraId="63F889D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$13,779</w:t>
            </w:r>
          </w:p>
        </w:tc>
      </w:tr>
      <w:tr w:rsidR="00F17BF1" w:rsidRPr="002246ED" w14:paraId="63232680" w14:textId="77777777" w:rsidTr="002246ED">
        <w:trPr>
          <w:trHeight w:hRule="exact" w:val="230"/>
        </w:trPr>
        <w:tc>
          <w:tcPr>
            <w:tcW w:w="900" w:type="dxa"/>
            <w:noWrap/>
            <w:hideMark/>
          </w:tcPr>
          <w:p w14:paraId="62E2341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WA</w:t>
            </w:r>
          </w:p>
        </w:tc>
        <w:tc>
          <w:tcPr>
            <w:tcW w:w="1080" w:type="dxa"/>
            <w:noWrap/>
            <w:hideMark/>
          </w:tcPr>
          <w:p w14:paraId="1AF5133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16</w:t>
            </w:r>
          </w:p>
        </w:tc>
        <w:tc>
          <w:tcPr>
            <w:tcW w:w="5400" w:type="dxa"/>
            <w:noWrap/>
            <w:hideMark/>
          </w:tcPr>
          <w:p w14:paraId="46EE51E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The Tulalip Tribes of Washington</w:t>
            </w:r>
          </w:p>
        </w:tc>
        <w:tc>
          <w:tcPr>
            <w:tcW w:w="1304" w:type="dxa"/>
            <w:noWrap/>
            <w:hideMark/>
          </w:tcPr>
          <w:p w14:paraId="3FC83A7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$180,720</w:t>
            </w:r>
          </w:p>
        </w:tc>
        <w:tc>
          <w:tcPr>
            <w:tcW w:w="1216" w:type="dxa"/>
            <w:noWrap/>
            <w:hideMark/>
          </w:tcPr>
          <w:p w14:paraId="7F76FE1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$55,280</w:t>
            </w:r>
          </w:p>
        </w:tc>
        <w:tc>
          <w:tcPr>
            <w:tcW w:w="1125" w:type="dxa"/>
            <w:noWrap/>
            <w:hideMark/>
          </w:tcPr>
          <w:p w14:paraId="12FF31B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$10,876</w:t>
            </w:r>
          </w:p>
        </w:tc>
      </w:tr>
      <w:tr w:rsidR="00F17BF1" w:rsidRPr="002246ED" w14:paraId="2973FD73" w14:textId="77777777" w:rsidTr="002246ED">
        <w:trPr>
          <w:trHeight w:hRule="exact" w:val="230"/>
        </w:trPr>
        <w:tc>
          <w:tcPr>
            <w:tcW w:w="900" w:type="dxa"/>
            <w:noWrap/>
            <w:hideMark/>
          </w:tcPr>
          <w:p w14:paraId="5688E15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WA</w:t>
            </w:r>
          </w:p>
        </w:tc>
        <w:tc>
          <w:tcPr>
            <w:tcW w:w="1080" w:type="dxa"/>
            <w:noWrap/>
            <w:hideMark/>
          </w:tcPr>
          <w:p w14:paraId="5C3A264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17</w:t>
            </w:r>
          </w:p>
        </w:tc>
        <w:tc>
          <w:tcPr>
            <w:tcW w:w="5400" w:type="dxa"/>
            <w:noWrap/>
            <w:hideMark/>
          </w:tcPr>
          <w:p w14:paraId="3DDAE01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Jamestown S'Klallam Tribe</w:t>
            </w:r>
          </w:p>
        </w:tc>
        <w:tc>
          <w:tcPr>
            <w:tcW w:w="1304" w:type="dxa"/>
            <w:noWrap/>
            <w:hideMark/>
          </w:tcPr>
          <w:p w14:paraId="10D4711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4103F7F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hideMark/>
          </w:tcPr>
          <w:p w14:paraId="504CB2C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$12,381</w:t>
            </w:r>
          </w:p>
        </w:tc>
      </w:tr>
      <w:tr w:rsidR="00F17BF1" w:rsidRPr="002246ED" w14:paraId="16B6157D" w14:textId="77777777" w:rsidTr="002246ED">
        <w:trPr>
          <w:trHeight w:hRule="exact" w:val="230"/>
        </w:trPr>
        <w:tc>
          <w:tcPr>
            <w:tcW w:w="900" w:type="dxa"/>
            <w:noWrap/>
            <w:hideMark/>
          </w:tcPr>
          <w:p w14:paraId="61CEE73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WA</w:t>
            </w:r>
          </w:p>
        </w:tc>
        <w:tc>
          <w:tcPr>
            <w:tcW w:w="1080" w:type="dxa"/>
            <w:noWrap/>
            <w:hideMark/>
          </w:tcPr>
          <w:p w14:paraId="5989ED6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19</w:t>
            </w:r>
          </w:p>
        </w:tc>
        <w:tc>
          <w:tcPr>
            <w:tcW w:w="5400" w:type="dxa"/>
            <w:noWrap/>
            <w:hideMark/>
          </w:tcPr>
          <w:p w14:paraId="1B660F0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Quileute Tribe</w:t>
            </w:r>
          </w:p>
        </w:tc>
        <w:tc>
          <w:tcPr>
            <w:tcW w:w="1304" w:type="dxa"/>
            <w:noWrap/>
            <w:hideMark/>
          </w:tcPr>
          <w:p w14:paraId="355BE56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$73,990</w:t>
            </w:r>
          </w:p>
        </w:tc>
        <w:tc>
          <w:tcPr>
            <w:tcW w:w="1216" w:type="dxa"/>
            <w:noWrap/>
            <w:hideMark/>
          </w:tcPr>
          <w:p w14:paraId="217D449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$13,820</w:t>
            </w:r>
          </w:p>
        </w:tc>
        <w:tc>
          <w:tcPr>
            <w:tcW w:w="1125" w:type="dxa"/>
            <w:noWrap/>
            <w:hideMark/>
          </w:tcPr>
          <w:p w14:paraId="5DBC2A7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$5,166</w:t>
            </w:r>
          </w:p>
        </w:tc>
      </w:tr>
      <w:tr w:rsidR="00F17BF1" w:rsidRPr="002246ED" w14:paraId="4703CA83" w14:textId="77777777" w:rsidTr="002246ED">
        <w:trPr>
          <w:trHeight w:hRule="exact" w:val="230"/>
        </w:trPr>
        <w:tc>
          <w:tcPr>
            <w:tcW w:w="900" w:type="dxa"/>
            <w:noWrap/>
            <w:hideMark/>
          </w:tcPr>
          <w:p w14:paraId="6263125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WA</w:t>
            </w:r>
          </w:p>
        </w:tc>
        <w:tc>
          <w:tcPr>
            <w:tcW w:w="1080" w:type="dxa"/>
            <w:noWrap/>
            <w:hideMark/>
          </w:tcPr>
          <w:p w14:paraId="0DC424D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w:t>
            </w:r>
          </w:p>
        </w:tc>
        <w:tc>
          <w:tcPr>
            <w:tcW w:w="5400" w:type="dxa"/>
            <w:noWrap/>
            <w:hideMark/>
          </w:tcPr>
          <w:p w14:paraId="38C7437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S. Puget Intertribal Planning Agency - Shoalwater Bay</w:t>
            </w:r>
          </w:p>
        </w:tc>
        <w:tc>
          <w:tcPr>
            <w:tcW w:w="1304" w:type="dxa"/>
            <w:noWrap/>
            <w:hideMark/>
          </w:tcPr>
          <w:p w14:paraId="4F7539B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$95,340</w:t>
            </w:r>
          </w:p>
        </w:tc>
        <w:tc>
          <w:tcPr>
            <w:tcW w:w="1216" w:type="dxa"/>
            <w:noWrap/>
            <w:hideMark/>
          </w:tcPr>
          <w:p w14:paraId="5F345F3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$27,640</w:t>
            </w:r>
          </w:p>
        </w:tc>
        <w:tc>
          <w:tcPr>
            <w:tcW w:w="1125" w:type="dxa"/>
            <w:noWrap/>
            <w:hideMark/>
          </w:tcPr>
          <w:p w14:paraId="7734FE1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$6,107</w:t>
            </w:r>
          </w:p>
        </w:tc>
      </w:tr>
      <w:tr w:rsidR="00F17BF1" w:rsidRPr="002246ED" w14:paraId="4EA9A07C" w14:textId="77777777" w:rsidTr="002246ED">
        <w:trPr>
          <w:trHeight w:hRule="exact" w:val="230"/>
        </w:trPr>
        <w:tc>
          <w:tcPr>
            <w:tcW w:w="900" w:type="dxa"/>
            <w:noWrap/>
            <w:hideMark/>
          </w:tcPr>
          <w:p w14:paraId="777CD2A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WA</w:t>
            </w:r>
          </w:p>
        </w:tc>
        <w:tc>
          <w:tcPr>
            <w:tcW w:w="1080" w:type="dxa"/>
            <w:noWrap/>
            <w:hideMark/>
          </w:tcPr>
          <w:p w14:paraId="0AA9A94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22</w:t>
            </w:r>
          </w:p>
        </w:tc>
        <w:tc>
          <w:tcPr>
            <w:tcW w:w="5400" w:type="dxa"/>
            <w:noWrap/>
            <w:hideMark/>
          </w:tcPr>
          <w:p w14:paraId="29CF0E2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Upper Skagit Indian Tribe</w:t>
            </w:r>
          </w:p>
        </w:tc>
        <w:tc>
          <w:tcPr>
            <w:tcW w:w="1304" w:type="dxa"/>
            <w:noWrap/>
            <w:hideMark/>
          </w:tcPr>
          <w:p w14:paraId="075E214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$73,990</w:t>
            </w:r>
          </w:p>
        </w:tc>
        <w:tc>
          <w:tcPr>
            <w:tcW w:w="1216" w:type="dxa"/>
            <w:noWrap/>
            <w:hideMark/>
          </w:tcPr>
          <w:p w14:paraId="4130062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$13,820</w:t>
            </w:r>
          </w:p>
        </w:tc>
        <w:tc>
          <w:tcPr>
            <w:tcW w:w="1125" w:type="dxa"/>
            <w:noWrap/>
            <w:hideMark/>
          </w:tcPr>
          <w:p w14:paraId="6A68B9B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$2,061</w:t>
            </w:r>
          </w:p>
        </w:tc>
      </w:tr>
      <w:tr w:rsidR="00F17BF1" w:rsidRPr="002246ED" w14:paraId="5444A2FE" w14:textId="77777777" w:rsidTr="002246ED">
        <w:trPr>
          <w:trHeight w:hRule="exact" w:val="230"/>
        </w:trPr>
        <w:tc>
          <w:tcPr>
            <w:tcW w:w="900" w:type="dxa"/>
            <w:noWrap/>
            <w:hideMark/>
          </w:tcPr>
          <w:p w14:paraId="5C7E8A5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WA</w:t>
            </w:r>
          </w:p>
        </w:tc>
        <w:tc>
          <w:tcPr>
            <w:tcW w:w="1080" w:type="dxa"/>
            <w:noWrap/>
            <w:hideMark/>
          </w:tcPr>
          <w:p w14:paraId="7D8D140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24</w:t>
            </w:r>
          </w:p>
        </w:tc>
        <w:tc>
          <w:tcPr>
            <w:tcW w:w="5400" w:type="dxa"/>
            <w:noWrap/>
            <w:hideMark/>
          </w:tcPr>
          <w:p w14:paraId="284618C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Suquamish Indian Tribe of the</w:t>
            </w:r>
          </w:p>
        </w:tc>
        <w:tc>
          <w:tcPr>
            <w:tcW w:w="1304" w:type="dxa"/>
            <w:noWrap/>
            <w:hideMark/>
          </w:tcPr>
          <w:p w14:paraId="243141A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$95,340</w:t>
            </w:r>
          </w:p>
        </w:tc>
        <w:tc>
          <w:tcPr>
            <w:tcW w:w="1216" w:type="dxa"/>
            <w:noWrap/>
            <w:hideMark/>
          </w:tcPr>
          <w:p w14:paraId="10B0F98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$27,640</w:t>
            </w:r>
          </w:p>
        </w:tc>
        <w:tc>
          <w:tcPr>
            <w:tcW w:w="1125" w:type="dxa"/>
            <w:noWrap/>
            <w:hideMark/>
          </w:tcPr>
          <w:p w14:paraId="7060FFD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$9,462</w:t>
            </w:r>
          </w:p>
        </w:tc>
      </w:tr>
      <w:tr w:rsidR="00F17BF1" w:rsidRPr="002246ED" w14:paraId="68DDB3F4" w14:textId="77777777" w:rsidTr="002246ED">
        <w:trPr>
          <w:trHeight w:hRule="exact" w:val="230"/>
        </w:trPr>
        <w:tc>
          <w:tcPr>
            <w:tcW w:w="900" w:type="dxa"/>
            <w:noWrap/>
            <w:hideMark/>
          </w:tcPr>
          <w:p w14:paraId="682DBEB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WA</w:t>
            </w:r>
          </w:p>
        </w:tc>
        <w:tc>
          <w:tcPr>
            <w:tcW w:w="1080" w:type="dxa"/>
            <w:noWrap/>
            <w:hideMark/>
          </w:tcPr>
          <w:p w14:paraId="3DFA678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25</w:t>
            </w:r>
          </w:p>
        </w:tc>
        <w:tc>
          <w:tcPr>
            <w:tcW w:w="5400" w:type="dxa"/>
            <w:noWrap/>
            <w:hideMark/>
          </w:tcPr>
          <w:p w14:paraId="4A62288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Port Gamble S'Klallam Tribe</w:t>
            </w:r>
          </w:p>
        </w:tc>
        <w:tc>
          <w:tcPr>
            <w:tcW w:w="1304" w:type="dxa"/>
            <w:noWrap/>
            <w:hideMark/>
          </w:tcPr>
          <w:p w14:paraId="32B9299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047C82C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hideMark/>
          </w:tcPr>
          <w:p w14:paraId="37B2FE9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$9,371</w:t>
            </w:r>
          </w:p>
        </w:tc>
      </w:tr>
      <w:tr w:rsidR="00F17BF1" w:rsidRPr="002246ED" w14:paraId="652F1514" w14:textId="77777777" w:rsidTr="002246ED">
        <w:trPr>
          <w:trHeight w:hRule="exact" w:val="230"/>
        </w:trPr>
        <w:tc>
          <w:tcPr>
            <w:tcW w:w="900" w:type="dxa"/>
            <w:noWrap/>
            <w:hideMark/>
          </w:tcPr>
          <w:p w14:paraId="1C4D945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WA</w:t>
            </w:r>
          </w:p>
        </w:tc>
        <w:tc>
          <w:tcPr>
            <w:tcW w:w="1080" w:type="dxa"/>
            <w:noWrap/>
            <w:hideMark/>
          </w:tcPr>
          <w:p w14:paraId="673FF13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26</w:t>
            </w:r>
          </w:p>
        </w:tc>
        <w:tc>
          <w:tcPr>
            <w:tcW w:w="5400" w:type="dxa"/>
            <w:noWrap/>
            <w:hideMark/>
          </w:tcPr>
          <w:p w14:paraId="1B15CC9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Samish Indian Nation / Sauk Suiattle Tribal Consortium</w:t>
            </w:r>
          </w:p>
        </w:tc>
        <w:tc>
          <w:tcPr>
            <w:tcW w:w="1304" w:type="dxa"/>
            <w:noWrap/>
            <w:hideMark/>
          </w:tcPr>
          <w:p w14:paraId="2E57394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$107,430</w:t>
            </w:r>
          </w:p>
        </w:tc>
        <w:tc>
          <w:tcPr>
            <w:tcW w:w="1216" w:type="dxa"/>
            <w:noWrap/>
            <w:hideMark/>
          </w:tcPr>
          <w:p w14:paraId="633DA3B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$34,550</w:t>
            </w:r>
          </w:p>
        </w:tc>
        <w:tc>
          <w:tcPr>
            <w:tcW w:w="1125" w:type="dxa"/>
            <w:noWrap/>
            <w:hideMark/>
          </w:tcPr>
          <w:p w14:paraId="4EBDDF5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$3,765</w:t>
            </w:r>
          </w:p>
        </w:tc>
      </w:tr>
      <w:tr w:rsidR="00F17BF1" w:rsidRPr="002246ED" w14:paraId="6CB23AD2" w14:textId="77777777" w:rsidTr="002246ED">
        <w:trPr>
          <w:trHeight w:hRule="exact" w:val="230"/>
        </w:trPr>
        <w:tc>
          <w:tcPr>
            <w:tcW w:w="900" w:type="dxa"/>
            <w:noWrap/>
            <w:hideMark/>
          </w:tcPr>
          <w:p w14:paraId="5A488AB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WA</w:t>
            </w:r>
          </w:p>
        </w:tc>
        <w:tc>
          <w:tcPr>
            <w:tcW w:w="1080" w:type="dxa"/>
            <w:noWrap/>
            <w:hideMark/>
          </w:tcPr>
          <w:p w14:paraId="2BFF52C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27</w:t>
            </w:r>
          </w:p>
        </w:tc>
        <w:tc>
          <w:tcPr>
            <w:tcW w:w="5400" w:type="dxa"/>
            <w:noWrap/>
            <w:hideMark/>
          </w:tcPr>
          <w:p w14:paraId="7D172EC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Cowlitz Indian Tribe</w:t>
            </w:r>
          </w:p>
        </w:tc>
        <w:tc>
          <w:tcPr>
            <w:tcW w:w="1304" w:type="dxa"/>
            <w:noWrap/>
            <w:hideMark/>
          </w:tcPr>
          <w:p w14:paraId="7D6B432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$180,720</w:t>
            </w:r>
          </w:p>
        </w:tc>
        <w:tc>
          <w:tcPr>
            <w:tcW w:w="1216" w:type="dxa"/>
            <w:noWrap/>
            <w:hideMark/>
          </w:tcPr>
          <w:p w14:paraId="16FB9FC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$55,280</w:t>
            </w:r>
          </w:p>
        </w:tc>
        <w:tc>
          <w:tcPr>
            <w:tcW w:w="1125" w:type="dxa"/>
            <w:noWrap/>
            <w:hideMark/>
          </w:tcPr>
          <w:p w14:paraId="4E2E990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$5,205</w:t>
            </w:r>
          </w:p>
        </w:tc>
      </w:tr>
      <w:tr w:rsidR="00F17BF1" w:rsidRPr="002246ED" w14:paraId="5A6BA7E1" w14:textId="77777777" w:rsidTr="002246ED">
        <w:trPr>
          <w:trHeight w:hRule="exact" w:val="230"/>
        </w:trPr>
        <w:tc>
          <w:tcPr>
            <w:tcW w:w="900" w:type="dxa"/>
            <w:noWrap/>
            <w:hideMark/>
          </w:tcPr>
          <w:p w14:paraId="0C8785D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WA</w:t>
            </w:r>
          </w:p>
        </w:tc>
        <w:tc>
          <w:tcPr>
            <w:tcW w:w="1080" w:type="dxa"/>
            <w:noWrap/>
            <w:hideMark/>
          </w:tcPr>
          <w:p w14:paraId="46269D8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28</w:t>
            </w:r>
          </w:p>
        </w:tc>
        <w:tc>
          <w:tcPr>
            <w:tcW w:w="5400" w:type="dxa"/>
            <w:noWrap/>
            <w:hideMark/>
          </w:tcPr>
          <w:p w14:paraId="52768A7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Skokomish Indian Tribe</w:t>
            </w:r>
          </w:p>
        </w:tc>
        <w:tc>
          <w:tcPr>
            <w:tcW w:w="1304" w:type="dxa"/>
            <w:noWrap/>
            <w:hideMark/>
          </w:tcPr>
          <w:p w14:paraId="28AA5D6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$95,340</w:t>
            </w:r>
          </w:p>
        </w:tc>
        <w:tc>
          <w:tcPr>
            <w:tcW w:w="1216" w:type="dxa"/>
            <w:noWrap/>
            <w:hideMark/>
          </w:tcPr>
          <w:p w14:paraId="2ACD38E4"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$27,640</w:t>
            </w:r>
          </w:p>
        </w:tc>
        <w:tc>
          <w:tcPr>
            <w:tcW w:w="1125" w:type="dxa"/>
            <w:noWrap/>
            <w:hideMark/>
          </w:tcPr>
          <w:p w14:paraId="1E0C56D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$2,499</w:t>
            </w:r>
          </w:p>
        </w:tc>
      </w:tr>
      <w:tr w:rsidR="00F17BF1" w:rsidRPr="002246ED" w14:paraId="52B44EC0" w14:textId="77777777" w:rsidTr="002246ED">
        <w:trPr>
          <w:trHeight w:hRule="exact" w:val="230"/>
        </w:trPr>
        <w:tc>
          <w:tcPr>
            <w:tcW w:w="900" w:type="dxa"/>
            <w:noWrap/>
            <w:hideMark/>
          </w:tcPr>
          <w:p w14:paraId="6F144AA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WA</w:t>
            </w:r>
          </w:p>
        </w:tc>
        <w:tc>
          <w:tcPr>
            <w:tcW w:w="1080" w:type="dxa"/>
            <w:noWrap/>
            <w:hideMark/>
          </w:tcPr>
          <w:p w14:paraId="7881331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29</w:t>
            </w:r>
          </w:p>
        </w:tc>
        <w:tc>
          <w:tcPr>
            <w:tcW w:w="5400" w:type="dxa"/>
            <w:noWrap/>
            <w:hideMark/>
          </w:tcPr>
          <w:p w14:paraId="0F9324A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Confederated Tribes of the Chehalis Reservation</w:t>
            </w:r>
          </w:p>
        </w:tc>
        <w:tc>
          <w:tcPr>
            <w:tcW w:w="1304" w:type="dxa"/>
            <w:noWrap/>
            <w:hideMark/>
          </w:tcPr>
          <w:p w14:paraId="1AF2B06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$137,640</w:t>
            </w:r>
          </w:p>
        </w:tc>
        <w:tc>
          <w:tcPr>
            <w:tcW w:w="1216" w:type="dxa"/>
            <w:noWrap/>
            <w:hideMark/>
          </w:tcPr>
          <w:p w14:paraId="6B672C8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$48,380</w:t>
            </w:r>
          </w:p>
        </w:tc>
        <w:tc>
          <w:tcPr>
            <w:tcW w:w="1125" w:type="dxa"/>
            <w:noWrap/>
            <w:hideMark/>
          </w:tcPr>
          <w:p w14:paraId="7024E6B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$10,028</w:t>
            </w:r>
          </w:p>
        </w:tc>
      </w:tr>
      <w:tr w:rsidR="00F17BF1" w:rsidRPr="002246ED" w14:paraId="015862A4" w14:textId="77777777" w:rsidTr="002246ED">
        <w:trPr>
          <w:trHeight w:hRule="exact" w:val="230"/>
        </w:trPr>
        <w:tc>
          <w:tcPr>
            <w:tcW w:w="900" w:type="dxa"/>
            <w:noWrap/>
            <w:hideMark/>
          </w:tcPr>
          <w:p w14:paraId="6A3E0C3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WA</w:t>
            </w:r>
          </w:p>
        </w:tc>
        <w:tc>
          <w:tcPr>
            <w:tcW w:w="1080" w:type="dxa"/>
            <w:noWrap/>
            <w:hideMark/>
          </w:tcPr>
          <w:p w14:paraId="69678C7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30</w:t>
            </w:r>
          </w:p>
        </w:tc>
        <w:tc>
          <w:tcPr>
            <w:tcW w:w="5400" w:type="dxa"/>
            <w:noWrap/>
            <w:hideMark/>
          </w:tcPr>
          <w:p w14:paraId="4484C66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Nooksack Indian Tribe</w:t>
            </w:r>
          </w:p>
        </w:tc>
        <w:tc>
          <w:tcPr>
            <w:tcW w:w="1304" w:type="dxa"/>
            <w:noWrap/>
            <w:hideMark/>
          </w:tcPr>
          <w:p w14:paraId="34BC9CC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42D7A16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hideMark/>
          </w:tcPr>
          <w:p w14:paraId="6558238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$7,262</w:t>
            </w:r>
          </w:p>
        </w:tc>
      </w:tr>
      <w:tr w:rsidR="00F17BF1" w:rsidRPr="002246ED" w14:paraId="1D213656" w14:textId="77777777" w:rsidTr="002246ED">
        <w:trPr>
          <w:trHeight w:hRule="exact" w:val="230"/>
        </w:trPr>
        <w:tc>
          <w:tcPr>
            <w:tcW w:w="900" w:type="dxa"/>
            <w:noWrap/>
            <w:hideMark/>
          </w:tcPr>
          <w:p w14:paraId="36CCEA9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WA</w:t>
            </w:r>
          </w:p>
        </w:tc>
        <w:tc>
          <w:tcPr>
            <w:tcW w:w="1080" w:type="dxa"/>
            <w:noWrap/>
            <w:hideMark/>
          </w:tcPr>
          <w:p w14:paraId="6E4FB75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31</w:t>
            </w:r>
          </w:p>
        </w:tc>
        <w:tc>
          <w:tcPr>
            <w:tcW w:w="5400" w:type="dxa"/>
            <w:noWrap/>
            <w:hideMark/>
          </w:tcPr>
          <w:p w14:paraId="03392A7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Yakama Nation</w:t>
            </w:r>
          </w:p>
        </w:tc>
        <w:tc>
          <w:tcPr>
            <w:tcW w:w="1304" w:type="dxa"/>
            <w:noWrap/>
            <w:hideMark/>
          </w:tcPr>
          <w:p w14:paraId="431E26E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$137,640</w:t>
            </w:r>
          </w:p>
        </w:tc>
        <w:tc>
          <w:tcPr>
            <w:tcW w:w="1216" w:type="dxa"/>
            <w:noWrap/>
            <w:hideMark/>
          </w:tcPr>
          <w:p w14:paraId="76C7AE2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$48,380</w:t>
            </w:r>
          </w:p>
        </w:tc>
        <w:tc>
          <w:tcPr>
            <w:tcW w:w="1125" w:type="dxa"/>
            <w:noWrap/>
            <w:hideMark/>
          </w:tcPr>
          <w:p w14:paraId="6570380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$2,115</w:t>
            </w:r>
          </w:p>
        </w:tc>
      </w:tr>
      <w:tr w:rsidR="00F17BF1" w:rsidRPr="002246ED" w14:paraId="6E37246D" w14:textId="77777777" w:rsidTr="002246ED">
        <w:trPr>
          <w:trHeight w:hRule="exact" w:val="230"/>
        </w:trPr>
        <w:tc>
          <w:tcPr>
            <w:tcW w:w="900" w:type="dxa"/>
            <w:noWrap/>
            <w:hideMark/>
          </w:tcPr>
          <w:p w14:paraId="1E2E4F0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WA</w:t>
            </w:r>
          </w:p>
        </w:tc>
        <w:tc>
          <w:tcPr>
            <w:tcW w:w="1080" w:type="dxa"/>
            <w:noWrap/>
            <w:hideMark/>
          </w:tcPr>
          <w:p w14:paraId="719A3B1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32</w:t>
            </w:r>
          </w:p>
        </w:tc>
        <w:tc>
          <w:tcPr>
            <w:tcW w:w="5400" w:type="dxa"/>
            <w:noWrap/>
            <w:hideMark/>
          </w:tcPr>
          <w:p w14:paraId="44DAF8F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Snoqualmie Indian Tribe</w:t>
            </w:r>
          </w:p>
        </w:tc>
        <w:tc>
          <w:tcPr>
            <w:tcW w:w="1304" w:type="dxa"/>
            <w:noWrap/>
            <w:hideMark/>
          </w:tcPr>
          <w:p w14:paraId="1F8DFA5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$73,990</w:t>
            </w:r>
          </w:p>
        </w:tc>
        <w:tc>
          <w:tcPr>
            <w:tcW w:w="1216" w:type="dxa"/>
            <w:noWrap/>
            <w:hideMark/>
          </w:tcPr>
          <w:p w14:paraId="24CAAB70"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$13,820</w:t>
            </w:r>
          </w:p>
        </w:tc>
        <w:tc>
          <w:tcPr>
            <w:tcW w:w="1125" w:type="dxa"/>
            <w:noWrap/>
            <w:hideMark/>
          </w:tcPr>
          <w:p w14:paraId="0E1F9F8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$1,567</w:t>
            </w:r>
          </w:p>
        </w:tc>
      </w:tr>
      <w:tr w:rsidR="00F17BF1" w:rsidRPr="002246ED" w14:paraId="4FE31D05" w14:textId="77777777" w:rsidTr="002246ED">
        <w:trPr>
          <w:trHeight w:hRule="exact" w:val="230"/>
        </w:trPr>
        <w:tc>
          <w:tcPr>
            <w:tcW w:w="900" w:type="dxa"/>
            <w:noWrap/>
            <w:hideMark/>
          </w:tcPr>
          <w:p w14:paraId="547D608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WA</w:t>
            </w:r>
          </w:p>
        </w:tc>
        <w:tc>
          <w:tcPr>
            <w:tcW w:w="1080" w:type="dxa"/>
            <w:noWrap/>
            <w:hideMark/>
          </w:tcPr>
          <w:p w14:paraId="68EC3F4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33</w:t>
            </w:r>
          </w:p>
        </w:tc>
        <w:tc>
          <w:tcPr>
            <w:tcW w:w="5400" w:type="dxa"/>
            <w:noWrap/>
            <w:hideMark/>
          </w:tcPr>
          <w:p w14:paraId="4A438D4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S. Puget Intertribal Planning Agency - Nisqually</w:t>
            </w:r>
          </w:p>
        </w:tc>
        <w:tc>
          <w:tcPr>
            <w:tcW w:w="1304" w:type="dxa"/>
            <w:noWrap/>
            <w:hideMark/>
          </w:tcPr>
          <w:p w14:paraId="1C8F055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$137,640</w:t>
            </w:r>
          </w:p>
        </w:tc>
        <w:tc>
          <w:tcPr>
            <w:tcW w:w="1216" w:type="dxa"/>
            <w:noWrap/>
            <w:hideMark/>
          </w:tcPr>
          <w:p w14:paraId="35CD288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$48,380</w:t>
            </w:r>
          </w:p>
        </w:tc>
        <w:tc>
          <w:tcPr>
            <w:tcW w:w="1125" w:type="dxa"/>
            <w:noWrap/>
            <w:hideMark/>
          </w:tcPr>
          <w:p w14:paraId="1A97E2C3"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$3,402</w:t>
            </w:r>
          </w:p>
        </w:tc>
      </w:tr>
      <w:tr w:rsidR="00F17BF1" w:rsidRPr="002246ED" w14:paraId="72DCACF3" w14:textId="77777777" w:rsidTr="002246ED">
        <w:trPr>
          <w:trHeight w:hRule="exact" w:val="230"/>
        </w:trPr>
        <w:tc>
          <w:tcPr>
            <w:tcW w:w="900" w:type="dxa"/>
            <w:noWrap/>
            <w:hideMark/>
          </w:tcPr>
          <w:p w14:paraId="56DD1BE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WA</w:t>
            </w:r>
          </w:p>
        </w:tc>
        <w:tc>
          <w:tcPr>
            <w:tcW w:w="1080" w:type="dxa"/>
            <w:noWrap/>
            <w:hideMark/>
          </w:tcPr>
          <w:p w14:paraId="7B84A457"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34</w:t>
            </w:r>
          </w:p>
        </w:tc>
        <w:tc>
          <w:tcPr>
            <w:tcW w:w="5400" w:type="dxa"/>
            <w:noWrap/>
            <w:hideMark/>
          </w:tcPr>
          <w:p w14:paraId="2AA1909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Squaxin Island Tribe</w:t>
            </w:r>
          </w:p>
        </w:tc>
        <w:tc>
          <w:tcPr>
            <w:tcW w:w="1304" w:type="dxa"/>
            <w:noWrap/>
            <w:hideMark/>
          </w:tcPr>
          <w:p w14:paraId="1335F6B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$107,430</w:t>
            </w:r>
          </w:p>
        </w:tc>
        <w:tc>
          <w:tcPr>
            <w:tcW w:w="1216" w:type="dxa"/>
            <w:noWrap/>
            <w:hideMark/>
          </w:tcPr>
          <w:p w14:paraId="18465A8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$34,550</w:t>
            </w:r>
          </w:p>
        </w:tc>
        <w:tc>
          <w:tcPr>
            <w:tcW w:w="1125" w:type="dxa"/>
            <w:noWrap/>
            <w:hideMark/>
          </w:tcPr>
          <w:p w14:paraId="5E0B4ED8"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$4,024</w:t>
            </w:r>
          </w:p>
        </w:tc>
      </w:tr>
      <w:tr w:rsidR="00F17BF1" w:rsidRPr="002246ED" w14:paraId="58E3DA58" w14:textId="77777777" w:rsidTr="002246ED">
        <w:trPr>
          <w:trHeight w:hRule="exact" w:val="230"/>
        </w:trPr>
        <w:tc>
          <w:tcPr>
            <w:tcW w:w="900" w:type="dxa"/>
            <w:noWrap/>
            <w:hideMark/>
          </w:tcPr>
          <w:p w14:paraId="16E3E97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WA</w:t>
            </w:r>
          </w:p>
        </w:tc>
        <w:tc>
          <w:tcPr>
            <w:tcW w:w="1080" w:type="dxa"/>
            <w:noWrap/>
            <w:hideMark/>
          </w:tcPr>
          <w:p w14:paraId="4080C94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35</w:t>
            </w:r>
          </w:p>
        </w:tc>
        <w:tc>
          <w:tcPr>
            <w:tcW w:w="5400" w:type="dxa"/>
            <w:noWrap/>
            <w:hideMark/>
          </w:tcPr>
          <w:p w14:paraId="27B5BDF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Sauk-Suiattle Indian Tribe</w:t>
            </w:r>
          </w:p>
        </w:tc>
        <w:tc>
          <w:tcPr>
            <w:tcW w:w="1304" w:type="dxa"/>
            <w:noWrap/>
            <w:hideMark/>
          </w:tcPr>
          <w:p w14:paraId="0244C60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$73,990</w:t>
            </w:r>
          </w:p>
        </w:tc>
        <w:tc>
          <w:tcPr>
            <w:tcW w:w="1216" w:type="dxa"/>
            <w:noWrap/>
            <w:hideMark/>
          </w:tcPr>
          <w:p w14:paraId="236CED15"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$13,820</w:t>
            </w:r>
          </w:p>
        </w:tc>
        <w:tc>
          <w:tcPr>
            <w:tcW w:w="1125" w:type="dxa"/>
            <w:noWrap/>
            <w:hideMark/>
          </w:tcPr>
          <w:p w14:paraId="24CFF48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$6,844</w:t>
            </w:r>
          </w:p>
        </w:tc>
      </w:tr>
      <w:tr w:rsidR="00F17BF1" w:rsidRPr="002246ED" w14:paraId="7DC3F29F" w14:textId="77777777" w:rsidTr="002246ED">
        <w:trPr>
          <w:trHeight w:hRule="exact" w:val="230"/>
        </w:trPr>
        <w:tc>
          <w:tcPr>
            <w:tcW w:w="900" w:type="dxa"/>
            <w:noWrap/>
            <w:hideMark/>
          </w:tcPr>
          <w:p w14:paraId="383C47D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080" w:type="dxa"/>
            <w:noWrap/>
            <w:hideMark/>
          </w:tcPr>
          <w:p w14:paraId="7B9E110C"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5400" w:type="dxa"/>
            <w:noWrap/>
            <w:hideMark/>
          </w:tcPr>
          <w:p w14:paraId="7A00EDC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304" w:type="dxa"/>
            <w:noWrap/>
            <w:hideMark/>
          </w:tcPr>
          <w:p w14:paraId="10AF8F71"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$2,754,040</w:t>
            </w:r>
          </w:p>
        </w:tc>
        <w:tc>
          <w:tcPr>
            <w:tcW w:w="1216" w:type="dxa"/>
            <w:noWrap/>
            <w:hideMark/>
          </w:tcPr>
          <w:p w14:paraId="3A1E9DE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$732,500</w:t>
            </w:r>
          </w:p>
        </w:tc>
        <w:tc>
          <w:tcPr>
            <w:tcW w:w="1125" w:type="dxa"/>
            <w:noWrap/>
            <w:hideMark/>
          </w:tcPr>
          <w:p w14:paraId="439D1F3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i/>
                <w:iCs/>
                <w:sz w:val="18"/>
                <w:szCs w:val="18"/>
              </w:rPr>
              <w:t>$265,575</w:t>
            </w:r>
          </w:p>
        </w:tc>
      </w:tr>
      <w:tr w:rsidR="00F17BF1" w:rsidRPr="002246ED" w14:paraId="090BF4D8" w14:textId="77777777" w:rsidTr="002246ED">
        <w:trPr>
          <w:trHeight w:hRule="exact" w:val="230"/>
        </w:trPr>
        <w:tc>
          <w:tcPr>
            <w:tcW w:w="900" w:type="dxa"/>
            <w:noWrap/>
            <w:hideMark/>
          </w:tcPr>
          <w:p w14:paraId="613FB5F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WI</w:t>
            </w:r>
          </w:p>
        </w:tc>
        <w:tc>
          <w:tcPr>
            <w:tcW w:w="1080" w:type="dxa"/>
            <w:noWrap/>
            <w:hideMark/>
          </w:tcPr>
          <w:p w14:paraId="6433EC3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01</w:t>
            </w:r>
          </w:p>
        </w:tc>
        <w:tc>
          <w:tcPr>
            <w:tcW w:w="5400" w:type="dxa"/>
            <w:noWrap/>
            <w:hideMark/>
          </w:tcPr>
          <w:p w14:paraId="36FACC82"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Bad River Elderly Program</w:t>
            </w:r>
          </w:p>
        </w:tc>
        <w:tc>
          <w:tcPr>
            <w:tcW w:w="1304" w:type="dxa"/>
            <w:noWrap/>
            <w:hideMark/>
          </w:tcPr>
          <w:p w14:paraId="4E8463B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hideMark/>
          </w:tcPr>
          <w:p w14:paraId="47F2C1DE"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hideMark/>
          </w:tcPr>
          <w:p w14:paraId="47043FAF"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$10,040</w:t>
            </w:r>
          </w:p>
        </w:tc>
      </w:tr>
      <w:tr w:rsidR="00F17BF1" w:rsidRPr="002246ED" w14:paraId="4FACEAB7" w14:textId="77777777" w:rsidTr="002246ED">
        <w:trPr>
          <w:trHeight w:hRule="exact" w:val="230"/>
        </w:trPr>
        <w:tc>
          <w:tcPr>
            <w:tcW w:w="900" w:type="dxa"/>
            <w:noWrap/>
            <w:hideMark/>
          </w:tcPr>
          <w:p w14:paraId="2ABCB4E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WI</w:t>
            </w:r>
          </w:p>
        </w:tc>
        <w:tc>
          <w:tcPr>
            <w:tcW w:w="1080" w:type="dxa"/>
            <w:noWrap/>
            <w:hideMark/>
          </w:tcPr>
          <w:p w14:paraId="24749866"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02</w:t>
            </w:r>
          </w:p>
        </w:tc>
        <w:tc>
          <w:tcPr>
            <w:tcW w:w="5400" w:type="dxa"/>
            <w:noWrap/>
            <w:hideMark/>
          </w:tcPr>
          <w:p w14:paraId="2807476A"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Forest County Potawatomi Community</w:t>
            </w:r>
          </w:p>
        </w:tc>
        <w:tc>
          <w:tcPr>
            <w:tcW w:w="1304" w:type="dxa"/>
            <w:noWrap/>
            <w:hideMark/>
          </w:tcPr>
          <w:p w14:paraId="3A4B767D"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$73,990</w:t>
            </w:r>
          </w:p>
        </w:tc>
        <w:tc>
          <w:tcPr>
            <w:tcW w:w="1216" w:type="dxa"/>
            <w:noWrap/>
            <w:hideMark/>
          </w:tcPr>
          <w:p w14:paraId="7C0D7019"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$13,820</w:t>
            </w:r>
          </w:p>
        </w:tc>
        <w:tc>
          <w:tcPr>
            <w:tcW w:w="1125" w:type="dxa"/>
            <w:noWrap/>
            <w:hideMark/>
          </w:tcPr>
          <w:p w14:paraId="2A92755B" w14:textId="77777777" w:rsidR="00F17BF1" w:rsidRPr="002246ED" w:rsidRDefault="00F17BF1" w:rsidP="00F17BF1">
            <w:pPr>
              <w:spacing w:after="200" w:line="276" w:lineRule="auto"/>
              <w:contextualSpacing/>
              <w:rPr>
                <w:rFonts w:ascii="Arial" w:hAnsi="Arial" w:cs="Arial"/>
                <w:sz w:val="18"/>
                <w:szCs w:val="18"/>
              </w:rPr>
            </w:pPr>
            <w:r w:rsidRPr="002246ED">
              <w:rPr>
                <w:rFonts w:ascii="Arial" w:hAnsi="Arial" w:cs="Arial"/>
                <w:sz w:val="18"/>
                <w:szCs w:val="18"/>
              </w:rPr>
              <w:t>$9,817</w:t>
            </w:r>
          </w:p>
        </w:tc>
      </w:tr>
      <w:tr w:rsidR="00DC30E1" w:rsidRPr="002246ED" w14:paraId="6007ED96" w14:textId="77777777" w:rsidTr="002246ED">
        <w:trPr>
          <w:trHeight w:hRule="exact" w:val="230"/>
        </w:trPr>
        <w:tc>
          <w:tcPr>
            <w:tcW w:w="900" w:type="dxa"/>
            <w:noWrap/>
          </w:tcPr>
          <w:p w14:paraId="3EC06B08" w14:textId="31B38FD2" w:rsidR="00DC30E1" w:rsidRPr="002246ED" w:rsidRDefault="00DC30E1" w:rsidP="00DC30E1">
            <w:pPr>
              <w:spacing w:after="200" w:line="276" w:lineRule="auto"/>
              <w:contextualSpacing/>
              <w:rPr>
                <w:rFonts w:ascii="Arial" w:hAnsi="Arial" w:cs="Arial"/>
                <w:sz w:val="18"/>
                <w:szCs w:val="18"/>
              </w:rPr>
            </w:pPr>
            <w:r w:rsidRPr="002246ED">
              <w:rPr>
                <w:rFonts w:ascii="Arial" w:hAnsi="Arial" w:cs="Arial"/>
                <w:sz w:val="18"/>
                <w:szCs w:val="18"/>
              </w:rPr>
              <w:t>WI</w:t>
            </w:r>
          </w:p>
        </w:tc>
        <w:tc>
          <w:tcPr>
            <w:tcW w:w="1080" w:type="dxa"/>
            <w:noWrap/>
          </w:tcPr>
          <w:p w14:paraId="76D6D94F" w14:textId="50A129EE" w:rsidR="00DC30E1" w:rsidRPr="002246ED" w:rsidRDefault="00DC30E1" w:rsidP="00DC30E1">
            <w:pPr>
              <w:spacing w:after="200" w:line="276" w:lineRule="auto"/>
              <w:contextualSpacing/>
              <w:rPr>
                <w:rFonts w:ascii="Arial" w:hAnsi="Arial" w:cs="Arial"/>
                <w:sz w:val="18"/>
                <w:szCs w:val="18"/>
              </w:rPr>
            </w:pPr>
            <w:r w:rsidRPr="002246ED">
              <w:rPr>
                <w:rFonts w:ascii="Arial" w:hAnsi="Arial" w:cs="Arial"/>
                <w:sz w:val="18"/>
                <w:szCs w:val="18"/>
              </w:rPr>
              <w:t>03</w:t>
            </w:r>
          </w:p>
        </w:tc>
        <w:tc>
          <w:tcPr>
            <w:tcW w:w="5400" w:type="dxa"/>
            <w:noWrap/>
          </w:tcPr>
          <w:p w14:paraId="2B5BAFE0" w14:textId="51D2639B" w:rsidR="00DC30E1" w:rsidRPr="002246ED" w:rsidRDefault="00DC30E1" w:rsidP="00DC30E1">
            <w:pPr>
              <w:spacing w:after="200" w:line="276" w:lineRule="auto"/>
              <w:contextualSpacing/>
              <w:rPr>
                <w:rFonts w:ascii="Arial" w:hAnsi="Arial" w:cs="Arial"/>
                <w:sz w:val="18"/>
                <w:szCs w:val="18"/>
              </w:rPr>
            </w:pPr>
            <w:r w:rsidRPr="002246ED">
              <w:rPr>
                <w:rFonts w:ascii="Arial" w:hAnsi="Arial" w:cs="Arial"/>
                <w:sz w:val="18"/>
                <w:szCs w:val="18"/>
              </w:rPr>
              <w:t>Lac Courte Oreilles Band of Lake Superior Chippewa</w:t>
            </w:r>
          </w:p>
        </w:tc>
        <w:tc>
          <w:tcPr>
            <w:tcW w:w="1304" w:type="dxa"/>
            <w:noWrap/>
          </w:tcPr>
          <w:p w14:paraId="7776E7BC" w14:textId="0F440A7A" w:rsidR="00DC30E1" w:rsidRPr="002246ED" w:rsidRDefault="00DC30E1" w:rsidP="00DC30E1">
            <w:pPr>
              <w:spacing w:after="200" w:line="276" w:lineRule="auto"/>
              <w:contextualSpacing/>
              <w:rPr>
                <w:rFonts w:ascii="Arial" w:hAnsi="Arial" w:cs="Arial"/>
                <w:sz w:val="18"/>
                <w:szCs w:val="18"/>
              </w:rPr>
            </w:pPr>
            <w:r w:rsidRPr="002246ED">
              <w:rPr>
                <w:rFonts w:ascii="Arial" w:hAnsi="Arial" w:cs="Arial"/>
                <w:sz w:val="18"/>
                <w:szCs w:val="18"/>
              </w:rPr>
              <w:t>$107,430</w:t>
            </w:r>
          </w:p>
        </w:tc>
        <w:tc>
          <w:tcPr>
            <w:tcW w:w="1216" w:type="dxa"/>
            <w:noWrap/>
          </w:tcPr>
          <w:p w14:paraId="27A4FC74" w14:textId="4052A3A4" w:rsidR="00DC30E1" w:rsidRPr="002246ED" w:rsidRDefault="00DC30E1" w:rsidP="00DC30E1">
            <w:pPr>
              <w:spacing w:after="200" w:line="276" w:lineRule="auto"/>
              <w:contextualSpacing/>
              <w:rPr>
                <w:rFonts w:ascii="Arial" w:hAnsi="Arial" w:cs="Arial"/>
                <w:sz w:val="18"/>
                <w:szCs w:val="18"/>
              </w:rPr>
            </w:pPr>
            <w:r w:rsidRPr="002246ED">
              <w:rPr>
                <w:rFonts w:ascii="Arial" w:hAnsi="Arial" w:cs="Arial"/>
                <w:sz w:val="18"/>
                <w:szCs w:val="18"/>
              </w:rPr>
              <w:t>$34,550</w:t>
            </w:r>
          </w:p>
        </w:tc>
        <w:tc>
          <w:tcPr>
            <w:tcW w:w="1125" w:type="dxa"/>
            <w:noWrap/>
          </w:tcPr>
          <w:p w14:paraId="7F75AA01" w14:textId="3D5CA2B2" w:rsidR="00DC30E1" w:rsidRPr="002246ED" w:rsidRDefault="00DC30E1" w:rsidP="00DC30E1">
            <w:pPr>
              <w:spacing w:after="200" w:line="276" w:lineRule="auto"/>
              <w:contextualSpacing/>
              <w:rPr>
                <w:rFonts w:ascii="Arial" w:hAnsi="Arial" w:cs="Arial"/>
                <w:sz w:val="18"/>
                <w:szCs w:val="18"/>
              </w:rPr>
            </w:pPr>
            <w:r w:rsidRPr="002246ED">
              <w:rPr>
                <w:rFonts w:ascii="Arial" w:hAnsi="Arial" w:cs="Arial"/>
                <w:sz w:val="18"/>
                <w:szCs w:val="18"/>
              </w:rPr>
              <w:t>$7,224</w:t>
            </w:r>
          </w:p>
        </w:tc>
      </w:tr>
      <w:tr w:rsidR="0082471A" w:rsidRPr="002246ED" w14:paraId="18742D0A" w14:textId="77777777" w:rsidTr="002246ED">
        <w:trPr>
          <w:trHeight w:hRule="exact" w:val="230"/>
        </w:trPr>
        <w:tc>
          <w:tcPr>
            <w:tcW w:w="900" w:type="dxa"/>
            <w:noWrap/>
          </w:tcPr>
          <w:p w14:paraId="094E67E7" w14:textId="2389C5E7" w:rsidR="0082471A" w:rsidRPr="002246ED" w:rsidRDefault="0082471A" w:rsidP="0082471A">
            <w:pPr>
              <w:spacing w:after="200" w:line="276" w:lineRule="auto"/>
              <w:contextualSpacing/>
              <w:rPr>
                <w:rFonts w:ascii="Arial" w:hAnsi="Arial" w:cs="Arial"/>
                <w:sz w:val="18"/>
                <w:szCs w:val="18"/>
              </w:rPr>
            </w:pPr>
            <w:r w:rsidRPr="002246ED">
              <w:rPr>
                <w:rFonts w:ascii="Arial" w:hAnsi="Arial" w:cs="Arial"/>
                <w:sz w:val="18"/>
                <w:szCs w:val="18"/>
              </w:rPr>
              <w:t>WI</w:t>
            </w:r>
          </w:p>
        </w:tc>
        <w:tc>
          <w:tcPr>
            <w:tcW w:w="1080" w:type="dxa"/>
            <w:noWrap/>
          </w:tcPr>
          <w:p w14:paraId="1FF4C730" w14:textId="7779E430" w:rsidR="0082471A" w:rsidRPr="002246ED" w:rsidRDefault="0082471A" w:rsidP="0082471A">
            <w:pPr>
              <w:spacing w:after="200" w:line="276" w:lineRule="auto"/>
              <w:contextualSpacing/>
              <w:rPr>
                <w:rFonts w:ascii="Arial" w:hAnsi="Arial" w:cs="Arial"/>
                <w:sz w:val="18"/>
                <w:szCs w:val="18"/>
              </w:rPr>
            </w:pPr>
            <w:r w:rsidRPr="002246ED">
              <w:rPr>
                <w:rFonts w:ascii="Arial" w:hAnsi="Arial" w:cs="Arial"/>
                <w:sz w:val="18"/>
                <w:szCs w:val="18"/>
              </w:rPr>
              <w:t>04</w:t>
            </w:r>
          </w:p>
        </w:tc>
        <w:tc>
          <w:tcPr>
            <w:tcW w:w="5400" w:type="dxa"/>
            <w:noWrap/>
          </w:tcPr>
          <w:p w14:paraId="0C8A2DBE" w14:textId="1A340B43" w:rsidR="0082471A" w:rsidRPr="002246ED" w:rsidRDefault="0082471A" w:rsidP="0082471A">
            <w:pPr>
              <w:spacing w:after="200" w:line="276" w:lineRule="auto"/>
              <w:contextualSpacing/>
              <w:rPr>
                <w:rFonts w:ascii="Arial" w:hAnsi="Arial" w:cs="Arial"/>
                <w:sz w:val="18"/>
                <w:szCs w:val="18"/>
              </w:rPr>
            </w:pPr>
            <w:r w:rsidRPr="002246ED">
              <w:rPr>
                <w:rFonts w:ascii="Arial" w:hAnsi="Arial" w:cs="Arial"/>
                <w:sz w:val="18"/>
                <w:szCs w:val="18"/>
              </w:rPr>
              <w:t>Lac du Flambeau Band of Lake Superior Chippewa</w:t>
            </w:r>
          </w:p>
        </w:tc>
        <w:tc>
          <w:tcPr>
            <w:tcW w:w="1304" w:type="dxa"/>
            <w:noWrap/>
          </w:tcPr>
          <w:p w14:paraId="2C09996F" w14:textId="59A0CCB3" w:rsidR="0082471A" w:rsidRPr="002246ED" w:rsidRDefault="0082471A" w:rsidP="0082471A">
            <w:pPr>
              <w:spacing w:after="200" w:line="276" w:lineRule="auto"/>
              <w:contextualSpacing/>
              <w:rPr>
                <w:rFonts w:ascii="Arial" w:hAnsi="Arial" w:cs="Arial"/>
                <w:sz w:val="18"/>
                <w:szCs w:val="18"/>
              </w:rPr>
            </w:pPr>
            <w:r w:rsidRPr="002246ED">
              <w:rPr>
                <w:rFonts w:ascii="Arial" w:hAnsi="Arial" w:cs="Arial"/>
                <w:sz w:val="18"/>
                <w:szCs w:val="18"/>
              </w:rPr>
              <w:t>$95,340</w:t>
            </w:r>
          </w:p>
        </w:tc>
        <w:tc>
          <w:tcPr>
            <w:tcW w:w="1216" w:type="dxa"/>
            <w:noWrap/>
          </w:tcPr>
          <w:p w14:paraId="074FEEC6" w14:textId="08D9D42F" w:rsidR="0082471A" w:rsidRPr="002246ED" w:rsidRDefault="0082471A" w:rsidP="0082471A">
            <w:pPr>
              <w:spacing w:after="200" w:line="276" w:lineRule="auto"/>
              <w:contextualSpacing/>
              <w:rPr>
                <w:rFonts w:ascii="Arial" w:hAnsi="Arial" w:cs="Arial"/>
                <w:sz w:val="18"/>
                <w:szCs w:val="18"/>
              </w:rPr>
            </w:pPr>
            <w:r w:rsidRPr="002246ED">
              <w:rPr>
                <w:rFonts w:ascii="Arial" w:hAnsi="Arial" w:cs="Arial"/>
                <w:sz w:val="18"/>
                <w:szCs w:val="18"/>
              </w:rPr>
              <w:t>$27,640</w:t>
            </w:r>
          </w:p>
        </w:tc>
        <w:tc>
          <w:tcPr>
            <w:tcW w:w="1125" w:type="dxa"/>
            <w:noWrap/>
          </w:tcPr>
          <w:p w14:paraId="2087E54B" w14:textId="27ADCACB" w:rsidR="0082471A" w:rsidRPr="002246ED" w:rsidRDefault="0082471A" w:rsidP="0082471A">
            <w:pPr>
              <w:spacing w:after="200" w:line="276" w:lineRule="auto"/>
              <w:contextualSpacing/>
              <w:rPr>
                <w:rFonts w:ascii="Arial" w:hAnsi="Arial" w:cs="Arial"/>
                <w:sz w:val="18"/>
                <w:szCs w:val="18"/>
              </w:rPr>
            </w:pPr>
            <w:r w:rsidRPr="002246ED">
              <w:rPr>
                <w:rFonts w:ascii="Arial" w:hAnsi="Arial" w:cs="Arial"/>
                <w:sz w:val="18"/>
                <w:szCs w:val="18"/>
              </w:rPr>
              <w:t>$16,854</w:t>
            </w:r>
          </w:p>
        </w:tc>
      </w:tr>
      <w:tr w:rsidR="00BD440A" w:rsidRPr="002246ED" w14:paraId="2E808D20" w14:textId="77777777" w:rsidTr="002246ED">
        <w:trPr>
          <w:trHeight w:hRule="exact" w:val="230"/>
        </w:trPr>
        <w:tc>
          <w:tcPr>
            <w:tcW w:w="900" w:type="dxa"/>
            <w:noWrap/>
          </w:tcPr>
          <w:p w14:paraId="5B204BCD" w14:textId="2185065C"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sz w:val="18"/>
                <w:szCs w:val="18"/>
              </w:rPr>
              <w:t>WI</w:t>
            </w:r>
          </w:p>
        </w:tc>
        <w:tc>
          <w:tcPr>
            <w:tcW w:w="1080" w:type="dxa"/>
            <w:noWrap/>
          </w:tcPr>
          <w:p w14:paraId="0108EBEA" w14:textId="0751AD86"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sz w:val="18"/>
                <w:szCs w:val="18"/>
              </w:rPr>
              <w:t>05</w:t>
            </w:r>
          </w:p>
        </w:tc>
        <w:tc>
          <w:tcPr>
            <w:tcW w:w="5400" w:type="dxa"/>
            <w:noWrap/>
          </w:tcPr>
          <w:p w14:paraId="4E4F2DD3" w14:textId="637AA6B3"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sz w:val="18"/>
                <w:szCs w:val="18"/>
              </w:rPr>
              <w:t>Menominee Indian Tribe of Wisconsin</w:t>
            </w:r>
          </w:p>
        </w:tc>
        <w:tc>
          <w:tcPr>
            <w:tcW w:w="1304" w:type="dxa"/>
            <w:noWrap/>
          </w:tcPr>
          <w:p w14:paraId="4E9DCBDF" w14:textId="735A03A1"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sz w:val="18"/>
                <w:szCs w:val="18"/>
              </w:rPr>
              <w:t>$137,640</w:t>
            </w:r>
          </w:p>
        </w:tc>
        <w:tc>
          <w:tcPr>
            <w:tcW w:w="1216" w:type="dxa"/>
            <w:noWrap/>
          </w:tcPr>
          <w:p w14:paraId="16A3159D" w14:textId="5F4A3930"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sz w:val="18"/>
                <w:szCs w:val="18"/>
              </w:rPr>
              <w:t>$48,380</w:t>
            </w:r>
          </w:p>
        </w:tc>
        <w:tc>
          <w:tcPr>
            <w:tcW w:w="1125" w:type="dxa"/>
            <w:noWrap/>
          </w:tcPr>
          <w:p w14:paraId="0980D538" w14:textId="3D80D076"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sz w:val="18"/>
                <w:szCs w:val="18"/>
              </w:rPr>
              <w:t>$3,600</w:t>
            </w:r>
          </w:p>
        </w:tc>
      </w:tr>
      <w:tr w:rsidR="00BD440A" w:rsidRPr="002246ED" w14:paraId="7423EF1A" w14:textId="77777777" w:rsidTr="002246ED">
        <w:trPr>
          <w:trHeight w:hRule="exact" w:val="230"/>
        </w:trPr>
        <w:tc>
          <w:tcPr>
            <w:tcW w:w="900" w:type="dxa"/>
            <w:noWrap/>
          </w:tcPr>
          <w:p w14:paraId="505DD2AA" w14:textId="11CA1989"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sz w:val="18"/>
                <w:szCs w:val="18"/>
              </w:rPr>
              <w:t>WI</w:t>
            </w:r>
          </w:p>
        </w:tc>
        <w:tc>
          <w:tcPr>
            <w:tcW w:w="1080" w:type="dxa"/>
            <w:noWrap/>
          </w:tcPr>
          <w:p w14:paraId="3A679D99" w14:textId="11424802"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sz w:val="18"/>
                <w:szCs w:val="18"/>
              </w:rPr>
              <w:t>06</w:t>
            </w:r>
          </w:p>
        </w:tc>
        <w:tc>
          <w:tcPr>
            <w:tcW w:w="5400" w:type="dxa"/>
            <w:noWrap/>
          </w:tcPr>
          <w:p w14:paraId="3415D3B8" w14:textId="36D120C9"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sz w:val="18"/>
                <w:szCs w:val="18"/>
              </w:rPr>
              <w:t>Oneida Nation Elder Services</w:t>
            </w:r>
          </w:p>
        </w:tc>
        <w:tc>
          <w:tcPr>
            <w:tcW w:w="1304" w:type="dxa"/>
            <w:noWrap/>
          </w:tcPr>
          <w:p w14:paraId="44680B37" w14:textId="0FE3915E"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sz w:val="18"/>
                <w:szCs w:val="18"/>
              </w:rPr>
              <w:t>$137,640</w:t>
            </w:r>
          </w:p>
        </w:tc>
        <w:tc>
          <w:tcPr>
            <w:tcW w:w="1216" w:type="dxa"/>
            <w:noWrap/>
          </w:tcPr>
          <w:p w14:paraId="668320DC" w14:textId="284C8E87"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sz w:val="18"/>
                <w:szCs w:val="18"/>
              </w:rPr>
              <w:t>$48,380</w:t>
            </w:r>
          </w:p>
        </w:tc>
        <w:tc>
          <w:tcPr>
            <w:tcW w:w="1125" w:type="dxa"/>
            <w:noWrap/>
          </w:tcPr>
          <w:p w14:paraId="4F9076A1" w14:textId="1C04A08B"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sz w:val="18"/>
                <w:szCs w:val="18"/>
              </w:rPr>
              <w:t>$9,444</w:t>
            </w:r>
          </w:p>
        </w:tc>
      </w:tr>
      <w:tr w:rsidR="00BD440A" w:rsidRPr="002246ED" w14:paraId="48FBC861" w14:textId="77777777" w:rsidTr="002246ED">
        <w:trPr>
          <w:trHeight w:hRule="exact" w:val="230"/>
        </w:trPr>
        <w:tc>
          <w:tcPr>
            <w:tcW w:w="900" w:type="dxa"/>
            <w:noWrap/>
          </w:tcPr>
          <w:p w14:paraId="48A55723" w14:textId="788FC39E"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sz w:val="18"/>
                <w:szCs w:val="18"/>
              </w:rPr>
              <w:t>WI</w:t>
            </w:r>
          </w:p>
        </w:tc>
        <w:tc>
          <w:tcPr>
            <w:tcW w:w="1080" w:type="dxa"/>
            <w:noWrap/>
          </w:tcPr>
          <w:p w14:paraId="0A0CC2D8" w14:textId="3E507D68"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sz w:val="18"/>
                <w:szCs w:val="18"/>
              </w:rPr>
              <w:t>07</w:t>
            </w:r>
          </w:p>
        </w:tc>
        <w:tc>
          <w:tcPr>
            <w:tcW w:w="5400" w:type="dxa"/>
            <w:noWrap/>
          </w:tcPr>
          <w:p w14:paraId="269B85E1" w14:textId="30E7E61C"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sz w:val="18"/>
                <w:szCs w:val="18"/>
              </w:rPr>
              <w:t>Red Cliff Band of Lake Superior Chippewa</w:t>
            </w:r>
          </w:p>
        </w:tc>
        <w:tc>
          <w:tcPr>
            <w:tcW w:w="1304" w:type="dxa"/>
            <w:noWrap/>
          </w:tcPr>
          <w:p w14:paraId="376BBF10" w14:textId="4B738628"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tcPr>
          <w:p w14:paraId="3B8D96BD" w14:textId="29EE7909"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tcPr>
          <w:p w14:paraId="41DCA6E7" w14:textId="3CA61334"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sz w:val="18"/>
                <w:szCs w:val="18"/>
              </w:rPr>
              <w:t>$15,475</w:t>
            </w:r>
          </w:p>
        </w:tc>
      </w:tr>
      <w:tr w:rsidR="00BD440A" w:rsidRPr="002246ED" w14:paraId="2C86E7A7" w14:textId="77777777" w:rsidTr="002246ED">
        <w:trPr>
          <w:trHeight w:hRule="exact" w:val="230"/>
        </w:trPr>
        <w:tc>
          <w:tcPr>
            <w:tcW w:w="900" w:type="dxa"/>
            <w:noWrap/>
          </w:tcPr>
          <w:p w14:paraId="3055A2B9" w14:textId="4A3B8FED"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sz w:val="18"/>
                <w:szCs w:val="18"/>
              </w:rPr>
              <w:t>WI</w:t>
            </w:r>
          </w:p>
        </w:tc>
        <w:tc>
          <w:tcPr>
            <w:tcW w:w="1080" w:type="dxa"/>
            <w:noWrap/>
          </w:tcPr>
          <w:p w14:paraId="60506600" w14:textId="6A0D4F5C"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sz w:val="18"/>
                <w:szCs w:val="18"/>
              </w:rPr>
              <w:t>08</w:t>
            </w:r>
          </w:p>
        </w:tc>
        <w:tc>
          <w:tcPr>
            <w:tcW w:w="5400" w:type="dxa"/>
            <w:noWrap/>
          </w:tcPr>
          <w:p w14:paraId="07660331" w14:textId="1BAA7B94"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sz w:val="18"/>
                <w:szCs w:val="18"/>
              </w:rPr>
              <w:t>St. Croix Chippewa Indians of Wisconsin</w:t>
            </w:r>
          </w:p>
        </w:tc>
        <w:tc>
          <w:tcPr>
            <w:tcW w:w="1304" w:type="dxa"/>
            <w:noWrap/>
          </w:tcPr>
          <w:p w14:paraId="6F952592" w14:textId="7653999B"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tcPr>
          <w:p w14:paraId="47CF49C6" w14:textId="0038BC09"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tcPr>
          <w:p w14:paraId="764E14F5" w14:textId="1B9247F7"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sz w:val="18"/>
                <w:szCs w:val="18"/>
              </w:rPr>
              <w:t>$8,054</w:t>
            </w:r>
          </w:p>
        </w:tc>
      </w:tr>
      <w:tr w:rsidR="00BD440A" w:rsidRPr="002246ED" w14:paraId="55B3EF30" w14:textId="77777777" w:rsidTr="002246ED">
        <w:trPr>
          <w:trHeight w:hRule="exact" w:val="230"/>
        </w:trPr>
        <w:tc>
          <w:tcPr>
            <w:tcW w:w="900" w:type="dxa"/>
            <w:noWrap/>
          </w:tcPr>
          <w:p w14:paraId="3282A756" w14:textId="55DF8607"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sz w:val="18"/>
                <w:szCs w:val="18"/>
              </w:rPr>
              <w:t>WI</w:t>
            </w:r>
          </w:p>
        </w:tc>
        <w:tc>
          <w:tcPr>
            <w:tcW w:w="1080" w:type="dxa"/>
            <w:noWrap/>
          </w:tcPr>
          <w:p w14:paraId="595A60E3" w14:textId="7B25A4B7"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sz w:val="18"/>
                <w:szCs w:val="18"/>
              </w:rPr>
              <w:t>09</w:t>
            </w:r>
          </w:p>
        </w:tc>
        <w:tc>
          <w:tcPr>
            <w:tcW w:w="5400" w:type="dxa"/>
            <w:noWrap/>
          </w:tcPr>
          <w:p w14:paraId="7B43CBB6" w14:textId="6E2CE914"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sz w:val="18"/>
                <w:szCs w:val="18"/>
              </w:rPr>
              <w:t>Stockbridge-Munsee Community</w:t>
            </w:r>
          </w:p>
        </w:tc>
        <w:tc>
          <w:tcPr>
            <w:tcW w:w="1304" w:type="dxa"/>
            <w:noWrap/>
          </w:tcPr>
          <w:p w14:paraId="72EB10DB" w14:textId="4BF693FC"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sz w:val="18"/>
                <w:szCs w:val="18"/>
              </w:rPr>
              <w:t>$83,960</w:t>
            </w:r>
          </w:p>
        </w:tc>
        <w:tc>
          <w:tcPr>
            <w:tcW w:w="1216" w:type="dxa"/>
            <w:noWrap/>
          </w:tcPr>
          <w:p w14:paraId="3EF2989F" w14:textId="4D97FDCB"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sz w:val="18"/>
                <w:szCs w:val="18"/>
              </w:rPr>
              <w:t>$20,730</w:t>
            </w:r>
          </w:p>
        </w:tc>
        <w:tc>
          <w:tcPr>
            <w:tcW w:w="1125" w:type="dxa"/>
            <w:noWrap/>
          </w:tcPr>
          <w:p w14:paraId="7BD5D75C" w14:textId="5AF02704"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sz w:val="18"/>
                <w:szCs w:val="18"/>
              </w:rPr>
              <w:t>$1,883</w:t>
            </w:r>
          </w:p>
        </w:tc>
      </w:tr>
      <w:tr w:rsidR="00BD440A" w:rsidRPr="002246ED" w14:paraId="51D94265" w14:textId="77777777" w:rsidTr="002246ED">
        <w:trPr>
          <w:trHeight w:hRule="exact" w:val="230"/>
        </w:trPr>
        <w:tc>
          <w:tcPr>
            <w:tcW w:w="900" w:type="dxa"/>
            <w:noWrap/>
          </w:tcPr>
          <w:p w14:paraId="3A233B6D" w14:textId="4A15AF3A"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sz w:val="18"/>
                <w:szCs w:val="18"/>
              </w:rPr>
              <w:t>WI</w:t>
            </w:r>
          </w:p>
        </w:tc>
        <w:tc>
          <w:tcPr>
            <w:tcW w:w="1080" w:type="dxa"/>
            <w:noWrap/>
          </w:tcPr>
          <w:p w14:paraId="74ABA45A" w14:textId="3CF017B1"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sz w:val="18"/>
                <w:szCs w:val="18"/>
              </w:rPr>
              <w:t>10</w:t>
            </w:r>
          </w:p>
        </w:tc>
        <w:tc>
          <w:tcPr>
            <w:tcW w:w="5400" w:type="dxa"/>
            <w:noWrap/>
          </w:tcPr>
          <w:p w14:paraId="77CD1624" w14:textId="61C9B00C"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sz w:val="18"/>
                <w:szCs w:val="18"/>
              </w:rPr>
              <w:t>Ho-Chunk Nation</w:t>
            </w:r>
          </w:p>
        </w:tc>
        <w:tc>
          <w:tcPr>
            <w:tcW w:w="1304" w:type="dxa"/>
            <w:noWrap/>
          </w:tcPr>
          <w:p w14:paraId="11D75040" w14:textId="1173B8E5"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sz w:val="18"/>
                <w:szCs w:val="18"/>
              </w:rPr>
              <w:t>$118,820</w:t>
            </w:r>
          </w:p>
        </w:tc>
        <w:tc>
          <w:tcPr>
            <w:tcW w:w="1216" w:type="dxa"/>
            <w:noWrap/>
          </w:tcPr>
          <w:p w14:paraId="0C2E73C1" w14:textId="1F88D853"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sz w:val="18"/>
                <w:szCs w:val="18"/>
              </w:rPr>
              <w:t>$41,470</w:t>
            </w:r>
          </w:p>
        </w:tc>
        <w:tc>
          <w:tcPr>
            <w:tcW w:w="1125" w:type="dxa"/>
            <w:noWrap/>
          </w:tcPr>
          <w:p w14:paraId="6D1B780B" w14:textId="5FDFA54B"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sz w:val="18"/>
                <w:szCs w:val="18"/>
              </w:rPr>
              <w:t>$14,132</w:t>
            </w:r>
          </w:p>
        </w:tc>
      </w:tr>
      <w:tr w:rsidR="00BD440A" w:rsidRPr="002246ED" w14:paraId="3455E30B" w14:textId="77777777" w:rsidTr="002246ED">
        <w:trPr>
          <w:trHeight w:hRule="exact" w:val="230"/>
        </w:trPr>
        <w:tc>
          <w:tcPr>
            <w:tcW w:w="900" w:type="dxa"/>
            <w:noWrap/>
          </w:tcPr>
          <w:p w14:paraId="72B0DEA1" w14:textId="21D5107B"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sz w:val="18"/>
                <w:szCs w:val="18"/>
              </w:rPr>
              <w:t>WI</w:t>
            </w:r>
          </w:p>
        </w:tc>
        <w:tc>
          <w:tcPr>
            <w:tcW w:w="1080" w:type="dxa"/>
            <w:noWrap/>
          </w:tcPr>
          <w:p w14:paraId="0659C472" w14:textId="05E5F72F"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sz w:val="18"/>
                <w:szCs w:val="18"/>
              </w:rPr>
              <w:t>11</w:t>
            </w:r>
          </w:p>
        </w:tc>
        <w:tc>
          <w:tcPr>
            <w:tcW w:w="5400" w:type="dxa"/>
            <w:noWrap/>
          </w:tcPr>
          <w:p w14:paraId="3CD209EE" w14:textId="624877E6"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sz w:val="18"/>
                <w:szCs w:val="18"/>
              </w:rPr>
              <w:t>Sokaogon Chippewa Community (SCC)</w:t>
            </w:r>
          </w:p>
        </w:tc>
        <w:tc>
          <w:tcPr>
            <w:tcW w:w="1304" w:type="dxa"/>
            <w:noWrap/>
          </w:tcPr>
          <w:p w14:paraId="60D3B1FF" w14:textId="112CAABE"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sz w:val="18"/>
                <w:szCs w:val="18"/>
              </w:rPr>
              <w:t>$73,990</w:t>
            </w:r>
          </w:p>
        </w:tc>
        <w:tc>
          <w:tcPr>
            <w:tcW w:w="1216" w:type="dxa"/>
            <w:noWrap/>
          </w:tcPr>
          <w:p w14:paraId="346068DE" w14:textId="799EFBFC"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sz w:val="18"/>
                <w:szCs w:val="18"/>
              </w:rPr>
              <w:t>$13,820</w:t>
            </w:r>
          </w:p>
        </w:tc>
        <w:tc>
          <w:tcPr>
            <w:tcW w:w="1125" w:type="dxa"/>
            <w:noWrap/>
          </w:tcPr>
          <w:p w14:paraId="71A3CF55" w14:textId="6335DEE4"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sz w:val="18"/>
                <w:szCs w:val="18"/>
              </w:rPr>
              <w:t>$3,802</w:t>
            </w:r>
          </w:p>
        </w:tc>
      </w:tr>
      <w:tr w:rsidR="00BD440A" w:rsidRPr="002246ED" w14:paraId="1B2CDF48" w14:textId="77777777" w:rsidTr="002246ED">
        <w:trPr>
          <w:trHeight w:hRule="exact" w:val="230"/>
        </w:trPr>
        <w:tc>
          <w:tcPr>
            <w:tcW w:w="900" w:type="dxa"/>
            <w:noWrap/>
          </w:tcPr>
          <w:p w14:paraId="0B52A19C" w14:textId="24B4C3D8"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080" w:type="dxa"/>
            <w:noWrap/>
          </w:tcPr>
          <w:p w14:paraId="7C0EA0E1" w14:textId="45CA0857"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5400" w:type="dxa"/>
            <w:noWrap/>
          </w:tcPr>
          <w:p w14:paraId="583ED551" w14:textId="72AEC765"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304" w:type="dxa"/>
            <w:noWrap/>
          </w:tcPr>
          <w:p w14:paraId="7D8A6EBF" w14:textId="36246D12"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i/>
                <w:iCs/>
                <w:sz w:val="18"/>
                <w:szCs w:val="18"/>
              </w:rPr>
              <w:t>$1,080,690</w:t>
            </w:r>
          </w:p>
        </w:tc>
        <w:tc>
          <w:tcPr>
            <w:tcW w:w="1216" w:type="dxa"/>
            <w:noWrap/>
          </w:tcPr>
          <w:p w14:paraId="42C78BEC" w14:textId="2E791D4A"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i/>
                <w:iCs/>
                <w:sz w:val="18"/>
                <w:szCs w:val="18"/>
              </w:rPr>
              <w:t>$310,980</w:t>
            </w:r>
          </w:p>
        </w:tc>
        <w:tc>
          <w:tcPr>
            <w:tcW w:w="1125" w:type="dxa"/>
            <w:noWrap/>
          </w:tcPr>
          <w:p w14:paraId="7C4FC45B" w14:textId="776559E0"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i/>
                <w:iCs/>
                <w:sz w:val="18"/>
                <w:szCs w:val="18"/>
              </w:rPr>
              <w:t>$100,325</w:t>
            </w:r>
          </w:p>
        </w:tc>
      </w:tr>
      <w:tr w:rsidR="00BD440A" w:rsidRPr="002246ED" w14:paraId="14EC03E9" w14:textId="77777777" w:rsidTr="002246ED">
        <w:trPr>
          <w:trHeight w:hRule="exact" w:val="230"/>
        </w:trPr>
        <w:tc>
          <w:tcPr>
            <w:tcW w:w="900" w:type="dxa"/>
            <w:noWrap/>
          </w:tcPr>
          <w:p w14:paraId="1D4529DB" w14:textId="0635D6D9"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sz w:val="18"/>
                <w:szCs w:val="18"/>
              </w:rPr>
              <w:t>WY</w:t>
            </w:r>
          </w:p>
        </w:tc>
        <w:tc>
          <w:tcPr>
            <w:tcW w:w="1080" w:type="dxa"/>
            <w:noWrap/>
          </w:tcPr>
          <w:p w14:paraId="01637DD2" w14:textId="5A7FE8AB"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sz w:val="18"/>
                <w:szCs w:val="18"/>
              </w:rPr>
              <w:t>01</w:t>
            </w:r>
          </w:p>
        </w:tc>
        <w:tc>
          <w:tcPr>
            <w:tcW w:w="5400" w:type="dxa"/>
            <w:noWrap/>
          </w:tcPr>
          <w:p w14:paraId="60DE8ACC" w14:textId="780DDDE8"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sz w:val="18"/>
                <w:szCs w:val="18"/>
              </w:rPr>
              <w:t>Northern Arapaho Tribe</w:t>
            </w:r>
          </w:p>
        </w:tc>
        <w:tc>
          <w:tcPr>
            <w:tcW w:w="1304" w:type="dxa"/>
            <w:noWrap/>
          </w:tcPr>
          <w:p w14:paraId="547FA613" w14:textId="4706FBCD"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sz w:val="18"/>
                <w:szCs w:val="18"/>
              </w:rPr>
              <w:t>$137,640</w:t>
            </w:r>
          </w:p>
        </w:tc>
        <w:tc>
          <w:tcPr>
            <w:tcW w:w="1216" w:type="dxa"/>
            <w:noWrap/>
          </w:tcPr>
          <w:p w14:paraId="401316C5" w14:textId="71F6BE50"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sz w:val="18"/>
                <w:szCs w:val="18"/>
              </w:rPr>
              <w:t>$0</w:t>
            </w:r>
          </w:p>
        </w:tc>
        <w:tc>
          <w:tcPr>
            <w:tcW w:w="1125" w:type="dxa"/>
            <w:noWrap/>
          </w:tcPr>
          <w:p w14:paraId="375D64AD" w14:textId="21EFF0E9"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sz w:val="18"/>
                <w:szCs w:val="18"/>
              </w:rPr>
              <w:t>$13,100</w:t>
            </w:r>
          </w:p>
        </w:tc>
      </w:tr>
      <w:tr w:rsidR="00BD440A" w:rsidRPr="002246ED" w14:paraId="6733D893" w14:textId="77777777" w:rsidTr="002246ED">
        <w:trPr>
          <w:trHeight w:hRule="exact" w:val="230"/>
        </w:trPr>
        <w:tc>
          <w:tcPr>
            <w:tcW w:w="900" w:type="dxa"/>
            <w:noWrap/>
          </w:tcPr>
          <w:p w14:paraId="52ED6C39" w14:textId="0CF9D937"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sz w:val="18"/>
                <w:szCs w:val="18"/>
              </w:rPr>
              <w:t>WY</w:t>
            </w:r>
          </w:p>
        </w:tc>
        <w:tc>
          <w:tcPr>
            <w:tcW w:w="1080" w:type="dxa"/>
            <w:noWrap/>
          </w:tcPr>
          <w:p w14:paraId="795DA2DE" w14:textId="680EB9CB"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sz w:val="18"/>
                <w:szCs w:val="18"/>
              </w:rPr>
              <w:t>03</w:t>
            </w:r>
          </w:p>
        </w:tc>
        <w:tc>
          <w:tcPr>
            <w:tcW w:w="5400" w:type="dxa"/>
            <w:noWrap/>
          </w:tcPr>
          <w:p w14:paraId="183E13FD" w14:textId="17FA7E09"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sz w:val="18"/>
                <w:szCs w:val="18"/>
              </w:rPr>
              <w:t>Eastern Shoshone Tribe</w:t>
            </w:r>
          </w:p>
        </w:tc>
        <w:tc>
          <w:tcPr>
            <w:tcW w:w="1304" w:type="dxa"/>
            <w:noWrap/>
          </w:tcPr>
          <w:p w14:paraId="209195C6" w14:textId="7FC1D836"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sz w:val="18"/>
                <w:szCs w:val="18"/>
              </w:rPr>
              <w:t>$107,430</w:t>
            </w:r>
          </w:p>
        </w:tc>
        <w:tc>
          <w:tcPr>
            <w:tcW w:w="1216" w:type="dxa"/>
            <w:noWrap/>
          </w:tcPr>
          <w:p w14:paraId="0C2B7DA3" w14:textId="4A90919E"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sz w:val="18"/>
                <w:szCs w:val="18"/>
              </w:rPr>
              <w:t>$0</w:t>
            </w:r>
          </w:p>
        </w:tc>
        <w:tc>
          <w:tcPr>
            <w:tcW w:w="1125" w:type="dxa"/>
            <w:noWrap/>
          </w:tcPr>
          <w:p w14:paraId="7B7F8C3C" w14:textId="272F39EF"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sz w:val="18"/>
                <w:szCs w:val="18"/>
              </w:rPr>
              <w:t>$11,772</w:t>
            </w:r>
          </w:p>
        </w:tc>
      </w:tr>
      <w:tr w:rsidR="00BD440A" w:rsidRPr="002246ED" w14:paraId="419CDDD7" w14:textId="77777777" w:rsidTr="002246ED">
        <w:trPr>
          <w:trHeight w:hRule="exact" w:val="230"/>
        </w:trPr>
        <w:tc>
          <w:tcPr>
            <w:tcW w:w="900" w:type="dxa"/>
            <w:noWrap/>
          </w:tcPr>
          <w:p w14:paraId="3F4D4555" w14:textId="59CE5001"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080" w:type="dxa"/>
            <w:noWrap/>
          </w:tcPr>
          <w:p w14:paraId="12699C7C" w14:textId="5AE00975"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5400" w:type="dxa"/>
            <w:noWrap/>
          </w:tcPr>
          <w:p w14:paraId="78A4EE60" w14:textId="5FD7B833"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i/>
                <w:iCs/>
                <w:sz w:val="18"/>
                <w:szCs w:val="18"/>
              </w:rPr>
              <w:t>Subtotal</w:t>
            </w:r>
          </w:p>
        </w:tc>
        <w:tc>
          <w:tcPr>
            <w:tcW w:w="1304" w:type="dxa"/>
            <w:noWrap/>
          </w:tcPr>
          <w:p w14:paraId="6A59D4F4" w14:textId="71C26F8A"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i/>
                <w:iCs/>
                <w:sz w:val="18"/>
                <w:szCs w:val="18"/>
              </w:rPr>
              <w:t>$245,070</w:t>
            </w:r>
          </w:p>
        </w:tc>
        <w:tc>
          <w:tcPr>
            <w:tcW w:w="1216" w:type="dxa"/>
            <w:noWrap/>
          </w:tcPr>
          <w:p w14:paraId="134B8D0E" w14:textId="4B3DFA5E"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i/>
                <w:iCs/>
                <w:sz w:val="18"/>
                <w:szCs w:val="18"/>
              </w:rPr>
              <w:t>$0</w:t>
            </w:r>
          </w:p>
        </w:tc>
        <w:tc>
          <w:tcPr>
            <w:tcW w:w="1125" w:type="dxa"/>
            <w:noWrap/>
          </w:tcPr>
          <w:p w14:paraId="546F0197" w14:textId="23BABE18" w:rsidR="00BD440A" w:rsidRPr="002246ED" w:rsidRDefault="00BD440A" w:rsidP="00BD440A">
            <w:pPr>
              <w:spacing w:after="200" w:line="276" w:lineRule="auto"/>
              <w:contextualSpacing/>
              <w:rPr>
                <w:rFonts w:ascii="Arial" w:hAnsi="Arial" w:cs="Arial"/>
                <w:sz w:val="18"/>
                <w:szCs w:val="18"/>
              </w:rPr>
            </w:pPr>
            <w:r w:rsidRPr="002246ED">
              <w:rPr>
                <w:rFonts w:ascii="Arial" w:hAnsi="Arial" w:cs="Arial"/>
                <w:i/>
                <w:iCs/>
                <w:sz w:val="18"/>
                <w:szCs w:val="18"/>
              </w:rPr>
              <w:t>$24,872</w:t>
            </w:r>
          </w:p>
        </w:tc>
      </w:tr>
      <w:tr w:rsidR="005F5BCC" w:rsidRPr="002246ED" w14:paraId="4BBF3943" w14:textId="77777777" w:rsidTr="002246ED">
        <w:trPr>
          <w:trHeight w:hRule="exact" w:val="230"/>
        </w:trPr>
        <w:tc>
          <w:tcPr>
            <w:tcW w:w="900" w:type="dxa"/>
            <w:noWrap/>
          </w:tcPr>
          <w:p w14:paraId="519CC4FA" w14:textId="431CE242" w:rsidR="005F5BCC" w:rsidRPr="002246ED" w:rsidRDefault="005F5BCC" w:rsidP="005F5BCC">
            <w:pPr>
              <w:spacing w:after="200" w:line="276" w:lineRule="auto"/>
              <w:contextualSpacing/>
              <w:rPr>
                <w:rFonts w:ascii="Arial" w:hAnsi="Arial" w:cs="Arial"/>
                <w:i/>
                <w:iCs/>
                <w:sz w:val="18"/>
                <w:szCs w:val="18"/>
              </w:rPr>
            </w:pPr>
            <w:r w:rsidRPr="00C00910">
              <w:rPr>
                <w:rFonts w:ascii="Arial" w:hAnsi="Arial" w:cs="Arial"/>
                <w:b/>
                <w:bCs/>
                <w:iCs/>
                <w:sz w:val="18"/>
                <w:szCs w:val="18"/>
              </w:rPr>
              <w:t>Total</w:t>
            </w:r>
          </w:p>
        </w:tc>
        <w:tc>
          <w:tcPr>
            <w:tcW w:w="1080" w:type="dxa"/>
            <w:noWrap/>
          </w:tcPr>
          <w:p w14:paraId="063D92AD" w14:textId="4620D365" w:rsidR="005F5BCC" w:rsidRPr="002246ED" w:rsidRDefault="005F5BCC" w:rsidP="005F5BCC">
            <w:pPr>
              <w:spacing w:after="200" w:line="276" w:lineRule="auto"/>
              <w:contextualSpacing/>
              <w:rPr>
                <w:rFonts w:ascii="Arial" w:hAnsi="Arial" w:cs="Arial"/>
                <w:i/>
                <w:iCs/>
                <w:sz w:val="18"/>
                <w:szCs w:val="18"/>
              </w:rPr>
            </w:pPr>
            <w:r w:rsidRPr="00C00910">
              <w:rPr>
                <w:rFonts w:ascii="Arial" w:hAnsi="Arial" w:cs="Arial"/>
                <w:b/>
                <w:bCs/>
                <w:iCs/>
                <w:sz w:val="18"/>
                <w:szCs w:val="18"/>
              </w:rPr>
              <w:t>Total</w:t>
            </w:r>
          </w:p>
        </w:tc>
        <w:tc>
          <w:tcPr>
            <w:tcW w:w="5400" w:type="dxa"/>
            <w:noWrap/>
          </w:tcPr>
          <w:p w14:paraId="0330A0E3" w14:textId="745AA63A" w:rsidR="005F5BCC" w:rsidRPr="002246ED" w:rsidRDefault="005F5BCC" w:rsidP="005F5BCC">
            <w:pPr>
              <w:spacing w:after="200" w:line="276" w:lineRule="auto"/>
              <w:contextualSpacing/>
              <w:rPr>
                <w:rFonts w:ascii="Arial" w:hAnsi="Arial" w:cs="Arial"/>
                <w:i/>
                <w:iCs/>
                <w:sz w:val="18"/>
                <w:szCs w:val="18"/>
              </w:rPr>
            </w:pPr>
            <w:r w:rsidRPr="00C00910">
              <w:rPr>
                <w:rFonts w:ascii="Arial" w:hAnsi="Arial" w:cs="Arial"/>
                <w:b/>
                <w:bCs/>
                <w:iCs/>
                <w:sz w:val="18"/>
                <w:szCs w:val="18"/>
              </w:rPr>
              <w:t>Total</w:t>
            </w:r>
          </w:p>
        </w:tc>
        <w:tc>
          <w:tcPr>
            <w:tcW w:w="1304" w:type="dxa"/>
            <w:noWrap/>
          </w:tcPr>
          <w:p w14:paraId="7B98D41E" w14:textId="54A7E56C" w:rsidR="005F5BCC" w:rsidRPr="002246ED" w:rsidRDefault="005F5BCC" w:rsidP="005F5BCC">
            <w:pPr>
              <w:spacing w:after="200" w:line="276" w:lineRule="auto"/>
              <w:contextualSpacing/>
              <w:rPr>
                <w:rFonts w:ascii="Arial" w:hAnsi="Arial" w:cs="Arial"/>
                <w:i/>
                <w:iCs/>
                <w:sz w:val="18"/>
                <w:szCs w:val="18"/>
              </w:rPr>
            </w:pPr>
            <w:r w:rsidRPr="00C00910">
              <w:rPr>
                <w:rFonts w:ascii="Arial" w:hAnsi="Arial" w:cs="Arial"/>
                <w:b/>
                <w:bCs/>
                <w:iCs/>
                <w:sz w:val="18"/>
                <w:szCs w:val="18"/>
              </w:rPr>
              <w:t>$30,272,931</w:t>
            </w:r>
          </w:p>
        </w:tc>
        <w:tc>
          <w:tcPr>
            <w:tcW w:w="1216" w:type="dxa"/>
            <w:noWrap/>
          </w:tcPr>
          <w:p w14:paraId="310E70D2" w14:textId="48193EDE" w:rsidR="005F5BCC" w:rsidRPr="002246ED" w:rsidRDefault="005F5BCC" w:rsidP="005F5BCC">
            <w:pPr>
              <w:spacing w:after="200" w:line="276" w:lineRule="auto"/>
              <w:contextualSpacing/>
              <w:rPr>
                <w:rFonts w:ascii="Arial" w:hAnsi="Arial" w:cs="Arial"/>
                <w:i/>
                <w:iCs/>
                <w:sz w:val="18"/>
                <w:szCs w:val="18"/>
              </w:rPr>
            </w:pPr>
            <w:r w:rsidRPr="00C00910">
              <w:rPr>
                <w:rFonts w:ascii="Arial" w:hAnsi="Arial" w:cs="Arial"/>
                <w:b/>
                <w:bCs/>
                <w:iCs/>
                <w:sz w:val="18"/>
                <w:szCs w:val="18"/>
              </w:rPr>
              <w:t>$7,478,530</w:t>
            </w:r>
          </w:p>
        </w:tc>
        <w:tc>
          <w:tcPr>
            <w:tcW w:w="1125" w:type="dxa"/>
            <w:noWrap/>
          </w:tcPr>
          <w:p w14:paraId="120B04AE" w14:textId="0B8DB44D" w:rsidR="005F5BCC" w:rsidRPr="002246ED" w:rsidRDefault="005F5BCC" w:rsidP="005F5BCC">
            <w:pPr>
              <w:spacing w:after="200" w:line="276" w:lineRule="auto"/>
              <w:contextualSpacing/>
              <w:rPr>
                <w:rFonts w:ascii="Arial" w:hAnsi="Arial" w:cs="Arial"/>
                <w:i/>
                <w:iCs/>
                <w:sz w:val="18"/>
                <w:szCs w:val="18"/>
              </w:rPr>
            </w:pPr>
            <w:r w:rsidRPr="00C00910">
              <w:rPr>
                <w:rFonts w:ascii="Arial" w:hAnsi="Arial" w:cs="Arial"/>
                <w:b/>
                <w:bCs/>
                <w:iCs/>
                <w:sz w:val="18"/>
                <w:szCs w:val="18"/>
              </w:rPr>
              <w:t>$3,690,242</w:t>
            </w:r>
          </w:p>
        </w:tc>
      </w:tr>
    </w:tbl>
    <w:p w14:paraId="7DBA5293" w14:textId="0452BA75" w:rsidR="006C0617" w:rsidRDefault="006C0617" w:rsidP="006C0617">
      <w:pPr>
        <w:spacing w:after="200" w:line="276" w:lineRule="auto"/>
        <w:contextualSpacing/>
        <w:rPr>
          <w:b/>
          <w:sz w:val="18"/>
          <w:szCs w:val="18"/>
        </w:rPr>
      </w:pPr>
    </w:p>
    <w:sectPr w:rsidR="006C0617" w:rsidSect="006C0617">
      <w:headerReference w:type="default" r:id="rId25"/>
      <w:pgSz w:w="12240" w:h="15840" w:code="1"/>
      <w:pgMar w:top="720" w:right="1440" w:bottom="720" w:left="1008" w:header="432"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95014" w14:textId="77777777" w:rsidR="00FE7D6D" w:rsidRDefault="00FE7D6D" w:rsidP="00E873E7">
      <w:r>
        <w:separator/>
      </w:r>
    </w:p>
  </w:endnote>
  <w:endnote w:type="continuationSeparator" w:id="0">
    <w:p w14:paraId="4C9FDCB8" w14:textId="77777777" w:rsidR="00FE7D6D" w:rsidRDefault="00FE7D6D" w:rsidP="00E87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Myriad Pro"/>
    <w:panose1 w:val="00000000000000000000"/>
    <w:charset w:val="00"/>
    <w:family w:val="swiss"/>
    <w:notTrueType/>
    <w:pitch w:val="default"/>
    <w:sig w:usb0="00000003" w:usb1="00000000" w:usb2="00000000" w:usb3="00000000" w:csb0="00000001" w:csb1="00000000"/>
  </w:font>
  <w:font w:name="Adobe Garamond Pr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D8261" w14:textId="32D93CF7" w:rsidR="00F7487B" w:rsidRDefault="00F7487B">
    <w:pPr>
      <w:pStyle w:val="Footer"/>
      <w:jc w:val="center"/>
    </w:pPr>
    <w:r>
      <w:fldChar w:fldCharType="begin"/>
    </w:r>
    <w:r>
      <w:instrText xml:space="preserve"> PAGE   \* MERGEFORMAT </w:instrText>
    </w:r>
    <w:r>
      <w:fldChar w:fldCharType="separate"/>
    </w:r>
    <w:r w:rsidR="0047737D">
      <w:rPr>
        <w:noProof/>
      </w:rPr>
      <w:t>1</w:t>
    </w:r>
    <w:r>
      <w:rPr>
        <w:noProof/>
      </w:rPr>
      <w:fldChar w:fldCharType="end"/>
    </w:r>
  </w:p>
  <w:p w14:paraId="07BF9942" w14:textId="77777777" w:rsidR="00F7487B" w:rsidRDefault="00F748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38D28" w14:textId="77777777" w:rsidR="00F7487B" w:rsidRDefault="00F7487B">
    <w:pPr>
      <w:pStyle w:val="Footer"/>
      <w:jc w:val="center"/>
    </w:pPr>
  </w:p>
  <w:p w14:paraId="6EEAF2A6" w14:textId="77777777" w:rsidR="00F7487B" w:rsidRDefault="00F74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98BB6" w14:textId="77777777" w:rsidR="00FE7D6D" w:rsidRDefault="00FE7D6D" w:rsidP="00E873E7">
      <w:r>
        <w:separator/>
      </w:r>
    </w:p>
  </w:footnote>
  <w:footnote w:type="continuationSeparator" w:id="0">
    <w:p w14:paraId="40F03507" w14:textId="77777777" w:rsidR="00FE7D6D" w:rsidRDefault="00FE7D6D" w:rsidP="00E873E7">
      <w:r>
        <w:continuationSeparator/>
      </w:r>
    </w:p>
  </w:footnote>
  <w:footnote w:id="1">
    <w:p w14:paraId="34476E75" w14:textId="275876AB" w:rsidR="00F7487B" w:rsidRPr="00C74303" w:rsidRDefault="00F7487B">
      <w:pPr>
        <w:pStyle w:val="FootnoteText"/>
      </w:pPr>
      <w:r>
        <w:rPr>
          <w:rStyle w:val="FootnoteReference"/>
        </w:rPr>
        <w:footnoteRef/>
      </w:r>
      <w:r>
        <w:t xml:space="preserve"> </w:t>
      </w:r>
      <w:r w:rsidRPr="00C74303">
        <w:t>AoA’s FY 201</w:t>
      </w:r>
      <w:r>
        <w:t>7</w:t>
      </w:r>
      <w:r w:rsidRPr="00C74303">
        <w:t xml:space="preserve"> State Program Report.</w:t>
      </w:r>
    </w:p>
  </w:footnote>
  <w:footnote w:id="2">
    <w:p w14:paraId="33654457" w14:textId="77777777" w:rsidR="00F7487B" w:rsidRDefault="00F7487B">
      <w:pPr>
        <w:pStyle w:val="FootnoteText"/>
      </w:pPr>
      <w:r w:rsidRPr="00C74303">
        <w:rPr>
          <w:rStyle w:val="FootnoteReference"/>
        </w:rPr>
        <w:footnoteRef/>
      </w:r>
      <w:r w:rsidRPr="00C74303">
        <w:t xml:space="preserve"> Ibid.</w:t>
      </w:r>
    </w:p>
  </w:footnote>
  <w:footnote w:id="3">
    <w:p w14:paraId="69DC3704" w14:textId="07CD3B57" w:rsidR="00F7487B" w:rsidRDefault="00F7487B">
      <w:pPr>
        <w:pStyle w:val="FootnoteText"/>
      </w:pPr>
      <w:r>
        <w:rPr>
          <w:rStyle w:val="FootnoteReference"/>
        </w:rPr>
        <w:footnoteRef/>
      </w:r>
      <w:r>
        <w:t xml:space="preserve"> Minority client refers to individuals who self-report at least one of the following racial or ethnic identities: Asian, Black or African American, Hispanic or Latino, Native Hawaiian or Other Pacific Islanders, American Indian or Alaska Native.</w:t>
      </w:r>
    </w:p>
  </w:footnote>
  <w:footnote w:id="4">
    <w:p w14:paraId="40379674" w14:textId="77777777" w:rsidR="00F7487B" w:rsidRPr="00C84488" w:rsidRDefault="00F7487B" w:rsidP="00F749D5">
      <w:pPr>
        <w:pStyle w:val="Default"/>
        <w:rPr>
          <w:sz w:val="20"/>
          <w:szCs w:val="20"/>
        </w:rPr>
      </w:pPr>
      <w:r>
        <w:rPr>
          <w:rStyle w:val="FootnoteReference"/>
        </w:rPr>
        <w:footnoteRef/>
      </w:r>
      <w:r>
        <w:t xml:space="preserve"> S</w:t>
      </w:r>
      <w:r>
        <w:rPr>
          <w:sz w:val="20"/>
          <w:szCs w:val="20"/>
        </w:rPr>
        <w:t>ervice U</w:t>
      </w:r>
      <w:r w:rsidRPr="00C84488">
        <w:rPr>
          <w:sz w:val="20"/>
          <w:szCs w:val="20"/>
        </w:rPr>
        <w:t>nits</w:t>
      </w:r>
      <w:r>
        <w:rPr>
          <w:sz w:val="20"/>
          <w:szCs w:val="20"/>
        </w:rPr>
        <w:t xml:space="preserve"> Definitions:</w:t>
      </w:r>
    </w:p>
    <w:p w14:paraId="2F93BF9A" w14:textId="77777777" w:rsidR="00F7487B" w:rsidRPr="00C84488" w:rsidRDefault="00F7487B" w:rsidP="00F749D5">
      <w:pPr>
        <w:pStyle w:val="BodyText"/>
        <w:rPr>
          <w:color w:val="000000"/>
          <w:sz w:val="20"/>
          <w:szCs w:val="20"/>
        </w:rPr>
      </w:pPr>
      <w:r w:rsidRPr="00C84488">
        <w:rPr>
          <w:sz w:val="20"/>
          <w:szCs w:val="20"/>
        </w:rPr>
        <w:t>Personal Care</w:t>
      </w:r>
      <w:r>
        <w:rPr>
          <w:sz w:val="20"/>
          <w:szCs w:val="20"/>
        </w:rPr>
        <w:t xml:space="preserve"> =</w:t>
      </w:r>
      <w:r w:rsidRPr="00C84488">
        <w:rPr>
          <w:sz w:val="20"/>
          <w:szCs w:val="20"/>
        </w:rPr>
        <w:t xml:space="preserve"> 1 Hour</w:t>
      </w:r>
    </w:p>
    <w:p w14:paraId="522A3A28" w14:textId="77777777" w:rsidR="00F7487B" w:rsidRPr="00C84488" w:rsidRDefault="00F7487B" w:rsidP="00F749D5">
      <w:pPr>
        <w:pStyle w:val="Default"/>
        <w:rPr>
          <w:sz w:val="20"/>
          <w:szCs w:val="20"/>
        </w:rPr>
      </w:pPr>
      <w:r w:rsidRPr="00C84488">
        <w:rPr>
          <w:bCs/>
          <w:sz w:val="20"/>
          <w:szCs w:val="20"/>
        </w:rPr>
        <w:t xml:space="preserve">Homemaker </w:t>
      </w:r>
      <w:r>
        <w:rPr>
          <w:bCs/>
          <w:sz w:val="20"/>
          <w:szCs w:val="20"/>
        </w:rPr>
        <w:t>=</w:t>
      </w:r>
      <w:r w:rsidRPr="00C84488">
        <w:rPr>
          <w:bCs/>
          <w:sz w:val="20"/>
          <w:szCs w:val="20"/>
        </w:rPr>
        <w:t xml:space="preserve"> </w:t>
      </w:r>
      <w:r w:rsidRPr="00C84488">
        <w:rPr>
          <w:sz w:val="20"/>
          <w:szCs w:val="20"/>
        </w:rPr>
        <w:t>1 Hour</w:t>
      </w:r>
    </w:p>
    <w:p w14:paraId="3905E7C0" w14:textId="77777777" w:rsidR="00F7487B" w:rsidRPr="00C84488" w:rsidRDefault="00F7487B" w:rsidP="00F749D5">
      <w:pPr>
        <w:pStyle w:val="Default"/>
        <w:rPr>
          <w:sz w:val="20"/>
          <w:szCs w:val="20"/>
        </w:rPr>
      </w:pPr>
      <w:r w:rsidRPr="00C84488">
        <w:rPr>
          <w:bCs/>
          <w:sz w:val="20"/>
          <w:szCs w:val="20"/>
        </w:rPr>
        <w:t xml:space="preserve">Chore </w:t>
      </w:r>
      <w:r>
        <w:rPr>
          <w:sz w:val="20"/>
          <w:szCs w:val="20"/>
        </w:rPr>
        <w:t>=</w:t>
      </w:r>
      <w:r w:rsidRPr="00C84488">
        <w:rPr>
          <w:sz w:val="20"/>
          <w:szCs w:val="20"/>
        </w:rPr>
        <w:t xml:space="preserve"> 1 Hour </w:t>
      </w:r>
    </w:p>
    <w:p w14:paraId="329874B6" w14:textId="77777777" w:rsidR="00F7487B" w:rsidRPr="00C84488" w:rsidRDefault="00F7487B" w:rsidP="00F749D5">
      <w:pPr>
        <w:pStyle w:val="Default"/>
        <w:rPr>
          <w:sz w:val="20"/>
          <w:szCs w:val="20"/>
        </w:rPr>
      </w:pPr>
      <w:r w:rsidRPr="00C84488">
        <w:rPr>
          <w:bCs/>
          <w:sz w:val="20"/>
          <w:szCs w:val="20"/>
        </w:rPr>
        <w:t xml:space="preserve">Home-Delivered Meal </w:t>
      </w:r>
      <w:r>
        <w:rPr>
          <w:sz w:val="20"/>
          <w:szCs w:val="20"/>
        </w:rPr>
        <w:t>=</w:t>
      </w:r>
      <w:r w:rsidRPr="00C84488">
        <w:rPr>
          <w:sz w:val="20"/>
          <w:szCs w:val="20"/>
        </w:rPr>
        <w:t xml:space="preserve"> 1 Meal. </w:t>
      </w:r>
    </w:p>
    <w:p w14:paraId="1DC23A4B" w14:textId="77777777" w:rsidR="00F7487B" w:rsidRPr="00C84488" w:rsidRDefault="00F7487B" w:rsidP="00F749D5">
      <w:pPr>
        <w:rPr>
          <w:sz w:val="20"/>
        </w:rPr>
      </w:pPr>
      <w:r w:rsidRPr="00C84488">
        <w:rPr>
          <w:bCs/>
          <w:sz w:val="20"/>
        </w:rPr>
        <w:t xml:space="preserve">Adult Day Care/Adult Day Health </w:t>
      </w:r>
      <w:r>
        <w:rPr>
          <w:sz w:val="20"/>
        </w:rPr>
        <w:t xml:space="preserve">= </w:t>
      </w:r>
      <w:r w:rsidRPr="00C84488">
        <w:rPr>
          <w:sz w:val="20"/>
        </w:rPr>
        <w:t xml:space="preserve">1 Hour </w:t>
      </w:r>
    </w:p>
    <w:p w14:paraId="3F43105C" w14:textId="77777777" w:rsidR="00F7487B" w:rsidRPr="00C84488" w:rsidRDefault="00F7487B" w:rsidP="00F749D5">
      <w:pPr>
        <w:rPr>
          <w:sz w:val="20"/>
        </w:rPr>
      </w:pPr>
      <w:r w:rsidRPr="00C84488">
        <w:rPr>
          <w:bCs/>
          <w:sz w:val="20"/>
        </w:rPr>
        <w:t xml:space="preserve">Case Management </w:t>
      </w:r>
      <w:r>
        <w:rPr>
          <w:sz w:val="20"/>
        </w:rPr>
        <w:t>=</w:t>
      </w:r>
      <w:r w:rsidRPr="00C84488">
        <w:rPr>
          <w:sz w:val="20"/>
        </w:rPr>
        <w:t xml:space="preserve"> 1 Hour </w:t>
      </w:r>
    </w:p>
    <w:p w14:paraId="0AD76D58" w14:textId="77777777" w:rsidR="00F7487B" w:rsidRPr="00C84488" w:rsidRDefault="00F7487B" w:rsidP="00F749D5">
      <w:pPr>
        <w:pStyle w:val="Default"/>
        <w:rPr>
          <w:sz w:val="20"/>
          <w:szCs w:val="20"/>
        </w:rPr>
      </w:pPr>
      <w:r w:rsidRPr="00C84488">
        <w:rPr>
          <w:sz w:val="20"/>
          <w:szCs w:val="20"/>
        </w:rPr>
        <w:t xml:space="preserve">Assisted Transportation </w:t>
      </w:r>
      <w:r>
        <w:rPr>
          <w:sz w:val="20"/>
          <w:szCs w:val="20"/>
        </w:rPr>
        <w:t>=</w:t>
      </w:r>
      <w:r w:rsidRPr="00C84488">
        <w:rPr>
          <w:sz w:val="20"/>
          <w:szCs w:val="20"/>
        </w:rPr>
        <w:t xml:space="preserve"> 1 One Way Trip </w:t>
      </w:r>
    </w:p>
    <w:p w14:paraId="058A8D3B" w14:textId="77777777" w:rsidR="00F7487B" w:rsidRPr="00C84488" w:rsidRDefault="00F7487B" w:rsidP="00F749D5">
      <w:pPr>
        <w:pStyle w:val="Default"/>
        <w:rPr>
          <w:sz w:val="20"/>
          <w:szCs w:val="20"/>
        </w:rPr>
      </w:pPr>
      <w:r w:rsidRPr="00C84488">
        <w:rPr>
          <w:sz w:val="20"/>
          <w:szCs w:val="20"/>
        </w:rPr>
        <w:t xml:space="preserve">Congregate Meal </w:t>
      </w:r>
      <w:r>
        <w:rPr>
          <w:sz w:val="20"/>
          <w:szCs w:val="20"/>
        </w:rPr>
        <w:t>=</w:t>
      </w:r>
      <w:r w:rsidRPr="00C84488">
        <w:rPr>
          <w:sz w:val="20"/>
          <w:szCs w:val="20"/>
        </w:rPr>
        <w:t xml:space="preserve"> 1 Meal</w:t>
      </w:r>
    </w:p>
    <w:p w14:paraId="2F58D61E" w14:textId="77777777" w:rsidR="00F7487B" w:rsidRPr="00C84488" w:rsidRDefault="00F7487B" w:rsidP="00F749D5">
      <w:pPr>
        <w:rPr>
          <w:sz w:val="20"/>
        </w:rPr>
      </w:pPr>
      <w:r w:rsidRPr="00C84488">
        <w:rPr>
          <w:bCs/>
          <w:sz w:val="20"/>
        </w:rPr>
        <w:t xml:space="preserve">Nutrition Counseling </w:t>
      </w:r>
      <w:r>
        <w:rPr>
          <w:sz w:val="20"/>
        </w:rPr>
        <w:t>=</w:t>
      </w:r>
      <w:r w:rsidRPr="00C84488">
        <w:rPr>
          <w:sz w:val="20"/>
        </w:rPr>
        <w:t xml:space="preserve"> 1 session per participant</w:t>
      </w:r>
    </w:p>
    <w:p w14:paraId="7E1B13E3" w14:textId="77777777" w:rsidR="00F7487B" w:rsidRPr="00C84488" w:rsidRDefault="00F7487B" w:rsidP="00F749D5">
      <w:pPr>
        <w:pStyle w:val="Default"/>
        <w:rPr>
          <w:bCs/>
          <w:sz w:val="20"/>
          <w:szCs w:val="20"/>
        </w:rPr>
      </w:pPr>
      <w:r w:rsidRPr="00C84488">
        <w:rPr>
          <w:bCs/>
          <w:sz w:val="20"/>
          <w:szCs w:val="20"/>
        </w:rPr>
        <w:t xml:space="preserve">Transportation </w:t>
      </w:r>
      <w:r>
        <w:rPr>
          <w:sz w:val="20"/>
          <w:szCs w:val="20"/>
        </w:rPr>
        <w:t>=</w:t>
      </w:r>
      <w:r w:rsidRPr="00C84488">
        <w:rPr>
          <w:sz w:val="20"/>
          <w:szCs w:val="20"/>
        </w:rPr>
        <w:t xml:space="preserve"> 1 One Way Trip</w:t>
      </w:r>
    </w:p>
    <w:p w14:paraId="6FD6E73E" w14:textId="77777777" w:rsidR="00F7487B" w:rsidRPr="00C84488" w:rsidRDefault="00F7487B" w:rsidP="00F749D5">
      <w:pPr>
        <w:pStyle w:val="Default"/>
        <w:rPr>
          <w:sz w:val="20"/>
          <w:szCs w:val="20"/>
        </w:rPr>
      </w:pPr>
      <w:r w:rsidRPr="00C84488">
        <w:rPr>
          <w:bCs/>
          <w:sz w:val="20"/>
          <w:szCs w:val="20"/>
        </w:rPr>
        <w:t xml:space="preserve">Legal Assistance </w:t>
      </w:r>
      <w:r>
        <w:rPr>
          <w:sz w:val="20"/>
          <w:szCs w:val="20"/>
        </w:rPr>
        <w:t>=</w:t>
      </w:r>
      <w:r w:rsidRPr="00C84488">
        <w:rPr>
          <w:sz w:val="20"/>
          <w:szCs w:val="20"/>
        </w:rPr>
        <w:t xml:space="preserve"> 1 hour</w:t>
      </w:r>
    </w:p>
    <w:p w14:paraId="2272386D" w14:textId="77777777" w:rsidR="00F7487B" w:rsidRPr="00C84488" w:rsidRDefault="00F7487B" w:rsidP="00F749D5">
      <w:pPr>
        <w:pStyle w:val="Default"/>
        <w:rPr>
          <w:bCs/>
          <w:sz w:val="20"/>
          <w:szCs w:val="20"/>
        </w:rPr>
      </w:pPr>
      <w:r w:rsidRPr="00C84488">
        <w:rPr>
          <w:bCs/>
          <w:sz w:val="20"/>
          <w:szCs w:val="20"/>
        </w:rPr>
        <w:t xml:space="preserve">Nutrition Education </w:t>
      </w:r>
      <w:r>
        <w:rPr>
          <w:sz w:val="20"/>
          <w:szCs w:val="20"/>
        </w:rPr>
        <w:t>=</w:t>
      </w:r>
      <w:r w:rsidRPr="00C84488">
        <w:rPr>
          <w:sz w:val="20"/>
          <w:szCs w:val="20"/>
        </w:rPr>
        <w:t xml:space="preserve"> 1 session per participant</w:t>
      </w:r>
    </w:p>
    <w:p w14:paraId="12EB6DAA" w14:textId="77777777" w:rsidR="00F7487B" w:rsidRPr="00C84488" w:rsidRDefault="00F7487B" w:rsidP="00F749D5">
      <w:pPr>
        <w:pStyle w:val="Default"/>
        <w:rPr>
          <w:sz w:val="20"/>
          <w:szCs w:val="20"/>
        </w:rPr>
      </w:pPr>
      <w:r w:rsidRPr="00C84488">
        <w:rPr>
          <w:sz w:val="20"/>
          <w:szCs w:val="20"/>
        </w:rPr>
        <w:t xml:space="preserve">Information and Assistance </w:t>
      </w:r>
      <w:r>
        <w:rPr>
          <w:sz w:val="20"/>
          <w:szCs w:val="20"/>
        </w:rPr>
        <w:t>=</w:t>
      </w:r>
      <w:r w:rsidRPr="00C84488">
        <w:rPr>
          <w:sz w:val="20"/>
          <w:szCs w:val="20"/>
        </w:rPr>
        <w:t xml:space="preserve"> 1 Contact</w:t>
      </w:r>
    </w:p>
    <w:p w14:paraId="6CDAD1D8" w14:textId="77777777" w:rsidR="00F7487B" w:rsidRDefault="00F7487B" w:rsidP="00F749D5">
      <w:pPr>
        <w:pStyle w:val="FootnoteText"/>
      </w:pPr>
    </w:p>
  </w:footnote>
  <w:footnote w:id="5">
    <w:p w14:paraId="21B1496D" w14:textId="77777777" w:rsidR="00F7487B" w:rsidRDefault="00F7487B" w:rsidP="00F749D5">
      <w:pPr>
        <w:pStyle w:val="Default"/>
        <w:rPr>
          <w:bCs/>
          <w:sz w:val="20"/>
          <w:szCs w:val="20"/>
        </w:rPr>
      </w:pPr>
      <w:r>
        <w:rPr>
          <w:rStyle w:val="FootnoteReference"/>
        </w:rPr>
        <w:footnoteRef/>
      </w:r>
      <w:r>
        <w:t xml:space="preserve"> </w:t>
      </w:r>
      <w:r>
        <w:rPr>
          <w:bCs/>
          <w:sz w:val="20"/>
          <w:szCs w:val="20"/>
        </w:rPr>
        <w:t>Title III-E service units definition:</w:t>
      </w:r>
    </w:p>
    <w:p w14:paraId="295A9B1D" w14:textId="77777777" w:rsidR="00F7487B" w:rsidRPr="00C84488" w:rsidRDefault="00F7487B" w:rsidP="00F749D5">
      <w:pPr>
        <w:pStyle w:val="Default"/>
        <w:rPr>
          <w:bCs/>
          <w:sz w:val="20"/>
          <w:szCs w:val="20"/>
        </w:rPr>
      </w:pPr>
      <w:r w:rsidRPr="00C84488">
        <w:rPr>
          <w:bCs/>
          <w:sz w:val="20"/>
          <w:szCs w:val="20"/>
        </w:rPr>
        <w:t xml:space="preserve">Counseling </w:t>
      </w:r>
      <w:r>
        <w:rPr>
          <w:sz w:val="20"/>
          <w:szCs w:val="20"/>
        </w:rPr>
        <w:t>=</w:t>
      </w:r>
      <w:r w:rsidRPr="00C84488">
        <w:rPr>
          <w:sz w:val="20"/>
          <w:szCs w:val="20"/>
        </w:rPr>
        <w:t xml:space="preserve"> 1 session per participant</w:t>
      </w:r>
    </w:p>
    <w:p w14:paraId="13FD6A13" w14:textId="77777777" w:rsidR="00F7487B" w:rsidRPr="00C84488" w:rsidRDefault="00F7487B" w:rsidP="00F749D5">
      <w:pPr>
        <w:rPr>
          <w:bCs/>
          <w:sz w:val="20"/>
        </w:rPr>
      </w:pPr>
      <w:r w:rsidRPr="00C84488">
        <w:rPr>
          <w:bCs/>
          <w:sz w:val="20"/>
        </w:rPr>
        <w:t xml:space="preserve">Respite Care </w:t>
      </w:r>
      <w:r>
        <w:rPr>
          <w:sz w:val="20"/>
        </w:rPr>
        <w:t>=</w:t>
      </w:r>
      <w:r w:rsidRPr="00C84488">
        <w:rPr>
          <w:sz w:val="20"/>
        </w:rPr>
        <w:t xml:space="preserve"> 1 hour</w:t>
      </w:r>
    </w:p>
    <w:p w14:paraId="7BDB19C4" w14:textId="77777777" w:rsidR="00F7487B" w:rsidRPr="00C84488" w:rsidRDefault="00F7487B" w:rsidP="00F749D5">
      <w:pPr>
        <w:rPr>
          <w:bCs/>
          <w:sz w:val="20"/>
        </w:rPr>
      </w:pPr>
      <w:r w:rsidRPr="00C84488">
        <w:rPr>
          <w:bCs/>
          <w:sz w:val="20"/>
        </w:rPr>
        <w:t xml:space="preserve">Supplemental services </w:t>
      </w:r>
      <w:r>
        <w:rPr>
          <w:sz w:val="20"/>
        </w:rPr>
        <w:t>=</w:t>
      </w:r>
      <w:r w:rsidRPr="00C84488">
        <w:rPr>
          <w:sz w:val="20"/>
        </w:rPr>
        <w:t xml:space="preserve"> variable</w:t>
      </w:r>
    </w:p>
    <w:p w14:paraId="1F785D41" w14:textId="77777777" w:rsidR="00F7487B" w:rsidRDefault="00F7487B" w:rsidP="00F749D5">
      <w:pPr>
        <w:rPr>
          <w:sz w:val="20"/>
        </w:rPr>
      </w:pPr>
      <w:r w:rsidRPr="00C84488">
        <w:rPr>
          <w:bCs/>
          <w:sz w:val="20"/>
        </w:rPr>
        <w:t xml:space="preserve">Access Assistance </w:t>
      </w:r>
      <w:r>
        <w:rPr>
          <w:sz w:val="20"/>
        </w:rPr>
        <w:t>=</w:t>
      </w:r>
      <w:r w:rsidRPr="00C84488">
        <w:rPr>
          <w:sz w:val="20"/>
        </w:rPr>
        <w:t xml:space="preserve"> 1 contact</w:t>
      </w:r>
    </w:p>
    <w:p w14:paraId="679E5390" w14:textId="77777777" w:rsidR="00F7487B" w:rsidRDefault="00F7487B" w:rsidP="00F749D5">
      <w:pPr>
        <w:rPr>
          <w:sz w:val="20"/>
        </w:rPr>
      </w:pPr>
      <w:r>
        <w:rPr>
          <w:sz w:val="20"/>
        </w:rPr>
        <w:t>Self-Directed = variable</w:t>
      </w:r>
    </w:p>
    <w:p w14:paraId="3FF8AA0F" w14:textId="77777777" w:rsidR="00F7487B" w:rsidRPr="00C84488" w:rsidRDefault="00F7487B" w:rsidP="00F749D5">
      <w:pPr>
        <w:rPr>
          <w:bCs/>
          <w:sz w:val="20"/>
        </w:rPr>
      </w:pPr>
      <w:r>
        <w:rPr>
          <w:sz w:val="20"/>
        </w:rPr>
        <w:t>Information Services = 1 activity</w:t>
      </w:r>
    </w:p>
    <w:p w14:paraId="41A0C6C2" w14:textId="77777777" w:rsidR="00F7487B" w:rsidRDefault="00F7487B" w:rsidP="00F749D5">
      <w:pPr>
        <w:pStyle w:val="FootnoteText"/>
      </w:pPr>
    </w:p>
  </w:footnote>
  <w:footnote w:id="6">
    <w:p w14:paraId="4FF5DAFD" w14:textId="717738C9" w:rsidR="00F7487B" w:rsidRDefault="00F7487B" w:rsidP="00487731">
      <w:pPr>
        <w:pStyle w:val="FootnoteText"/>
      </w:pPr>
      <w:r>
        <w:rPr>
          <w:sz w:val="16"/>
          <w:szCs w:val="16"/>
        </w:rPr>
        <w:t xml:space="preserve">6 </w:t>
      </w:r>
      <w:r w:rsidRPr="009D3791">
        <w:t>Arias E</w:t>
      </w:r>
      <w:r>
        <w:t>, Heron M, Xu J.</w:t>
      </w:r>
      <w:r w:rsidRPr="009D3791">
        <w:t xml:space="preserve"> United States life tables, 201</w:t>
      </w:r>
      <w:r>
        <w:t>3</w:t>
      </w:r>
      <w:r w:rsidRPr="009D3791">
        <w:t>. National vital statistics reports; vol</w:t>
      </w:r>
      <w:r>
        <w:t>.</w:t>
      </w:r>
      <w:r w:rsidRPr="009D3791">
        <w:t xml:space="preserve"> 6</w:t>
      </w:r>
      <w:r>
        <w:t>6</w:t>
      </w:r>
      <w:r w:rsidRPr="009D3791">
        <w:t xml:space="preserve"> no </w:t>
      </w:r>
      <w:r>
        <w:t>3</w:t>
      </w:r>
      <w:r w:rsidRPr="009D3791">
        <w:t xml:space="preserve">. Hyattsville, MD: National Center for Health Statistics. </w:t>
      </w:r>
      <w:r>
        <w:t xml:space="preserve">April 11, </w:t>
      </w:r>
      <w:r w:rsidRPr="009D3791">
        <w:t>201</w:t>
      </w:r>
      <w:r>
        <w:t>7</w:t>
      </w:r>
      <w:r w:rsidRPr="009D3791">
        <w:t xml:space="preserve">. Accessed </w:t>
      </w:r>
      <w:r>
        <w:t xml:space="preserve">May 1, 2019  </w:t>
      </w:r>
      <w:r w:rsidRPr="009D3791">
        <w:t xml:space="preserve">at </w:t>
      </w:r>
      <w:hyperlink r:id="rId1" w:history="1">
        <w:r w:rsidRPr="0093359A">
          <w:rPr>
            <w:rStyle w:val="Hyperlink"/>
          </w:rPr>
          <w:t>https://www.cdc.gov/nchs/data/nvsr/nvsr66/nvsr66_03.pdf</w:t>
        </w:r>
      </w:hyperlink>
      <w:r>
        <w:t xml:space="preserve"> </w:t>
      </w:r>
    </w:p>
  </w:footnote>
  <w:footnote w:id="7">
    <w:p w14:paraId="52FB9902" w14:textId="298F6E1B" w:rsidR="00F7487B" w:rsidRDefault="00F7487B" w:rsidP="00C300DE">
      <w:pPr>
        <w:pStyle w:val="FootnoteText"/>
      </w:pPr>
      <w:r>
        <w:rPr>
          <w:rStyle w:val="FootnoteReference"/>
        </w:rPr>
        <w:footnoteRef/>
      </w:r>
      <w:r>
        <w:t xml:space="preserve">Murphy SL, Xu JQ, Kochanek KD, Arias E. Mortality in the United States, 2017. NCHS Data Brief, no 328. Hyattsville, MD: National Center for Health Statistics. 2018. Accessed May 1, 2019  at </w:t>
      </w:r>
      <w:r w:rsidRPr="00C300DE">
        <w:t>https://www.cdc.gov/nchs/products/databriefs/db328.htm</w:t>
      </w:r>
      <w:r>
        <w:t>.</w:t>
      </w:r>
    </w:p>
  </w:footnote>
  <w:footnote w:id="8">
    <w:p w14:paraId="1929B43A" w14:textId="05F590B4" w:rsidR="00F7487B" w:rsidRDefault="00F7487B">
      <w:pPr>
        <w:pStyle w:val="FootnoteText"/>
      </w:pPr>
      <w:r>
        <w:rPr>
          <w:rStyle w:val="FootnoteReference"/>
        </w:rPr>
        <w:footnoteRef/>
      </w:r>
      <w:r>
        <w:t xml:space="preserve">CMS Chartbook and Charts. Figure 13: Distribution of Medicare Fee-for-Service Beneficiaries and Medicare Spending by Number of Chronic Conditions: 2017. Chronic Condition Charts: 2017. Accessed May 1, 2019 at </w:t>
      </w:r>
      <w:r w:rsidRPr="00F05D26">
        <w:t>https://www.cms.gov/Research-Statistics-Data-and-Systems/Statistics-Trends-and-Reports/Chronic-Conditions/Chartbook_Charts.html</w:t>
      </w:r>
      <w:r>
        <w:t xml:space="preserve">  </w:t>
      </w:r>
    </w:p>
  </w:footnote>
  <w:footnote w:id="9">
    <w:p w14:paraId="764D556F" w14:textId="431B7AE4" w:rsidR="00F7487B" w:rsidRDefault="00F7487B" w:rsidP="00923CD1">
      <w:pPr>
        <w:pStyle w:val="FootnoteText"/>
      </w:pPr>
      <w:r>
        <w:rPr>
          <w:rStyle w:val="FootnoteReference"/>
        </w:rPr>
        <w:footnoteRef/>
      </w:r>
      <w:r>
        <w:t xml:space="preserve"> CMS Multiple Chronic Conditions </w:t>
      </w:r>
      <w:r w:rsidRPr="007E700E">
        <w:t>Utilization/Spending State Level: All Beneficiaries by Medicare-Medicaid Enrollm</w:t>
      </w:r>
      <w:r>
        <w:t xml:space="preserve">ent and Age, 2007-2017. Accessed May 1, 2019 at </w:t>
      </w:r>
      <w:hyperlink r:id="rId2" w:history="1">
        <w:r w:rsidRPr="00911602">
          <w:rPr>
            <w:rStyle w:val="Hyperlink"/>
          </w:rPr>
          <w:t>https://www.cms.gov/Research-Statistics-Data-and-Systems/Statistics-Trends-and-Reports/Chronic-Conditions/MCC_Main.html</w:t>
        </w:r>
      </w:hyperlink>
      <w:r>
        <w:t xml:space="preserve">. </w:t>
      </w:r>
    </w:p>
  </w:footnote>
  <w:footnote w:id="10">
    <w:p w14:paraId="0FD379A4" w14:textId="77777777" w:rsidR="00F7487B" w:rsidRDefault="00F7487B">
      <w:pPr>
        <w:pStyle w:val="FootnoteText"/>
      </w:pPr>
      <w:r>
        <w:rPr>
          <w:rStyle w:val="FootnoteReference"/>
        </w:rPr>
        <w:footnoteRef/>
      </w:r>
      <w:r>
        <w:t xml:space="preserve"> Ibid.</w:t>
      </w:r>
    </w:p>
  </w:footnote>
  <w:footnote w:id="11">
    <w:p w14:paraId="3EEE34DC" w14:textId="104665F5" w:rsidR="00F7487B" w:rsidRPr="0090625D" w:rsidRDefault="00F7487B" w:rsidP="005475CC">
      <w:pPr>
        <w:ind w:left="180" w:hanging="180"/>
        <w:jc w:val="both"/>
        <w:rPr>
          <w:lang w:val="fr-FR"/>
        </w:rPr>
      </w:pPr>
      <w:r w:rsidRPr="005475CC">
        <w:rPr>
          <w:rStyle w:val="FootnoteReference"/>
          <w:sz w:val="22"/>
        </w:rPr>
        <w:footnoteRef/>
      </w:r>
      <w:r w:rsidRPr="005475CC">
        <w:rPr>
          <w:rStyle w:val="FootnoteTextChar"/>
          <w:sz w:val="18"/>
        </w:rPr>
        <w:t xml:space="preserve"> </w:t>
      </w:r>
      <w:r w:rsidRPr="00F86837">
        <w:rPr>
          <w:rStyle w:val="FootnoteTextChar"/>
        </w:rPr>
        <w:t>201</w:t>
      </w:r>
      <w:r>
        <w:rPr>
          <w:rStyle w:val="FootnoteTextChar"/>
        </w:rPr>
        <w:t>8</w:t>
      </w:r>
      <w:r w:rsidRPr="00F86837">
        <w:rPr>
          <w:rStyle w:val="FootnoteTextChar"/>
        </w:rPr>
        <w:t xml:space="preserve"> National Survey of</w:t>
      </w:r>
      <w:r w:rsidRPr="00155D0B">
        <w:rPr>
          <w:rStyle w:val="FootnoteTextChar"/>
        </w:rPr>
        <w:t xml:space="preserve"> Older Americans Act Participants</w:t>
      </w:r>
      <w:r>
        <w:rPr>
          <w:rStyle w:val="FootnoteTextChar"/>
        </w:rPr>
        <w:t xml:space="preserve">. </w:t>
      </w:r>
      <w:hyperlink r:id="rId3" w:history="1">
        <w:r w:rsidRPr="0090625D">
          <w:rPr>
            <w:rStyle w:val="Hyperlink"/>
            <w:sz w:val="20"/>
            <w:szCs w:val="20"/>
            <w:lang w:val="fr-FR"/>
          </w:rPr>
          <w:t>http://www.agid.acl.gov</w:t>
        </w:r>
      </w:hyperlink>
      <w:r w:rsidRPr="0090625D">
        <w:rPr>
          <w:rStyle w:val="FootnoteTextChar"/>
          <w:lang w:val="fr-FR"/>
        </w:rPr>
        <w:t>.</w:t>
      </w:r>
    </w:p>
  </w:footnote>
  <w:footnote w:id="12">
    <w:p w14:paraId="536EC32C" w14:textId="12E8C701" w:rsidR="00F7487B" w:rsidRPr="00155D0B" w:rsidRDefault="00F7487B" w:rsidP="005475CC">
      <w:pPr>
        <w:pStyle w:val="FootnoteText"/>
        <w:ind w:left="180" w:hanging="180"/>
      </w:pPr>
      <w:r w:rsidRPr="00155D0B">
        <w:rPr>
          <w:rStyle w:val="FootnoteReference"/>
        </w:rPr>
        <w:footnoteRef/>
      </w:r>
      <w:r w:rsidRPr="0090625D">
        <w:rPr>
          <w:lang w:val="fr-FR"/>
        </w:rPr>
        <w:t xml:space="preserve">  U.S. Census Bureau. Population Division. </w:t>
      </w:r>
      <w:r>
        <w:t xml:space="preserve">Annual Estimates of the Resident Population for Selected Age Groups by Sex for the United States, States, Counties, and Puerto Rico Commonwealth and Municipios: April 1, 2010 to July 1, 2017. Release Date: June 2018. Accessed May 1, 2019. </w:t>
      </w:r>
      <w:r w:rsidRPr="00962AD0">
        <w:t>U.S. Census Bureau, “2017 National Population Projections,” Table 3. Projected 5-Year Age Groups and Sex Composition of the Population for the United States:  2017 to 2060</w:t>
      </w:r>
      <w:r>
        <w:t xml:space="preserve">. </w:t>
      </w:r>
      <w:r w:rsidRPr="00962AD0">
        <w:t xml:space="preserve">Original Release Date: March 2018, Revised Release Date: September 2018. </w:t>
      </w:r>
      <w:hyperlink r:id="rId4" w:history="1">
        <w:r w:rsidRPr="0040284E">
          <w:rPr>
            <w:rStyle w:val="Hyperlink"/>
          </w:rPr>
          <w:t>https://www.census.gov/data/tables/2017/demo/popproj/2017-summary-tables.html. Accessed May 1</w:t>
        </w:r>
      </w:hyperlink>
      <w:r>
        <w:t>, 2019.</w:t>
      </w:r>
      <w:r w:rsidRPr="00962AD0">
        <w:t xml:space="preserve"> </w:t>
      </w:r>
      <w:r>
        <w:t xml:space="preserve"> </w:t>
      </w:r>
    </w:p>
  </w:footnote>
  <w:footnote w:id="13">
    <w:p w14:paraId="5B42545C" w14:textId="035B622E" w:rsidR="00F7487B" w:rsidRPr="00533B69" w:rsidRDefault="00F7487B" w:rsidP="005475CC">
      <w:pPr>
        <w:pStyle w:val="FootnoteText"/>
        <w:ind w:left="180" w:hanging="180"/>
        <w:rPr>
          <w:sz w:val="18"/>
        </w:rPr>
      </w:pPr>
      <w:r w:rsidRPr="00533B69">
        <w:rPr>
          <w:rStyle w:val="FootnoteReference"/>
          <w:sz w:val="18"/>
        </w:rPr>
        <w:footnoteRef/>
      </w:r>
      <w:r w:rsidRPr="00533B69">
        <w:rPr>
          <w:sz w:val="18"/>
        </w:rPr>
        <w:t xml:space="preserve"> </w:t>
      </w:r>
      <w:r>
        <w:rPr>
          <w:sz w:val="18"/>
        </w:rPr>
        <w:t xml:space="preserve">  </w:t>
      </w:r>
      <w:r>
        <w:t xml:space="preserve">Ibid and </w:t>
      </w:r>
      <w:r w:rsidRPr="00962AD0">
        <w:t xml:space="preserve">Centers for Medicare &amp; Medicaid Services, ACL analysis of 2015 Medicare Current Beneficiary Survey. https://www.cms.gov/Research-Statistics-Data-and-Systems/Research/MCBS/. Accessed </w:t>
      </w:r>
      <w:r>
        <w:t>May 1, 2019.</w:t>
      </w:r>
    </w:p>
  </w:footnote>
  <w:footnote w:id="14">
    <w:p w14:paraId="1AAB4469" w14:textId="63D22466" w:rsidR="00F7487B" w:rsidRPr="0011337E" w:rsidRDefault="00F7487B" w:rsidP="005475CC">
      <w:pPr>
        <w:pStyle w:val="FootnoteText"/>
        <w:ind w:left="180" w:hanging="180"/>
      </w:pPr>
      <w:r>
        <w:rPr>
          <w:rStyle w:val="FootnoteReference"/>
        </w:rPr>
        <w:footnoteRef/>
      </w:r>
      <w:r>
        <w:t xml:space="preserve">  </w:t>
      </w:r>
      <w:r w:rsidRPr="0011337E">
        <w:t xml:space="preserve">AoA’s FY 2017 State Program Report. </w:t>
      </w:r>
    </w:p>
  </w:footnote>
  <w:footnote w:id="15">
    <w:p w14:paraId="376C34B4" w14:textId="77777777" w:rsidR="00F7487B" w:rsidRDefault="00F7487B" w:rsidP="005475CC">
      <w:pPr>
        <w:pStyle w:val="FootnoteText"/>
        <w:ind w:left="180" w:hanging="180"/>
      </w:pPr>
      <w:r w:rsidRPr="0011337E">
        <w:rPr>
          <w:rStyle w:val="FootnoteReference"/>
        </w:rPr>
        <w:footnoteRef/>
      </w:r>
      <w:r w:rsidRPr="0011337E">
        <w:t xml:space="preserve"> Ibid</w:t>
      </w:r>
    </w:p>
  </w:footnote>
  <w:footnote w:id="16">
    <w:p w14:paraId="4D2EBEF2" w14:textId="12736241" w:rsidR="00F7487B" w:rsidRDefault="00F7487B" w:rsidP="005475CC">
      <w:pPr>
        <w:pStyle w:val="FootnoteText"/>
        <w:ind w:left="180" w:hanging="180"/>
      </w:pPr>
      <w:r w:rsidRPr="005475CC">
        <w:rPr>
          <w:rStyle w:val="FootnoteReference"/>
        </w:rPr>
        <w:footnoteRef/>
      </w:r>
      <w:r w:rsidRPr="005475CC">
        <w:t xml:space="preserve">  </w:t>
      </w:r>
      <w:r w:rsidRPr="00F71E72">
        <w:t xml:space="preserve">Centers for Medicare &amp; Medicaid Services, </w:t>
      </w:r>
      <w:r>
        <w:t xml:space="preserve">ACL analysis of </w:t>
      </w:r>
      <w:r w:rsidRPr="0047496C">
        <w:t>201</w:t>
      </w:r>
      <w:r>
        <w:t>5</w:t>
      </w:r>
      <w:r w:rsidRPr="0047496C">
        <w:t xml:space="preserve"> Medicare Current Beneficiary Survey.</w:t>
      </w:r>
      <w:r w:rsidRPr="0078226D">
        <w:t xml:space="preserve"> </w:t>
      </w:r>
      <w:hyperlink r:id="rId5" w:history="1">
        <w:r w:rsidRPr="00FD69F3">
          <w:rPr>
            <w:rStyle w:val="Hyperlink"/>
          </w:rPr>
          <w:t>https://www.cms.gov/Research-Statistics-Data-and-Systems/Research/MCBS/</w:t>
        </w:r>
      </w:hyperlink>
      <w:r w:rsidRPr="005F72E6">
        <w:t>.</w:t>
      </w:r>
      <w:r w:rsidRPr="00656A57" w:rsidDel="00807BEA">
        <w:t xml:space="preserve"> </w:t>
      </w:r>
      <w:r w:rsidRPr="0047496C">
        <w:t xml:space="preserve">Accessed </w:t>
      </w:r>
      <w:r>
        <w:t>May 1, 2019.</w:t>
      </w:r>
    </w:p>
  </w:footnote>
  <w:footnote w:id="17">
    <w:p w14:paraId="156036CA" w14:textId="73336E5A" w:rsidR="00F7487B" w:rsidRDefault="00F7487B" w:rsidP="005475CC">
      <w:pPr>
        <w:pStyle w:val="FootnoteText"/>
        <w:ind w:left="180" w:hanging="180"/>
      </w:pPr>
      <w:r>
        <w:rPr>
          <w:rStyle w:val="FootnoteReference"/>
        </w:rPr>
        <w:footnoteRef/>
      </w:r>
      <w:r>
        <w:t xml:space="preserve">  Brock, D et al. “Risk Factors for Nursing Home Placement among OAA Service Recipients: Summary Analysis from Five Data Sources” Westat; U.S. Administration on Aging Contract No. 233-02-0087. </w:t>
      </w:r>
      <w:r w:rsidRPr="00BD0B98">
        <w:t>http://www.aoa.gov/AoARoot/Program_Results/POMP/docs/Risk_Factors.pdf</w:t>
      </w:r>
    </w:p>
  </w:footnote>
  <w:footnote w:id="18">
    <w:p w14:paraId="44149ED1" w14:textId="77777777" w:rsidR="00F7487B" w:rsidRDefault="00F7487B" w:rsidP="009C10E3">
      <w:pPr>
        <w:pStyle w:val="FootnoteText"/>
        <w:ind w:left="180" w:hanging="180"/>
      </w:pPr>
      <w:r>
        <w:rPr>
          <w:rStyle w:val="FootnoteReference"/>
        </w:rPr>
        <w:footnoteRef/>
      </w:r>
      <w:r>
        <w:t xml:space="preserve"> </w:t>
      </w:r>
      <w:r w:rsidRPr="00F71E72">
        <w:t xml:space="preserve">Centers for Medicare &amp; Medicaid Services, </w:t>
      </w:r>
      <w:r>
        <w:t xml:space="preserve">ACL analysis of </w:t>
      </w:r>
      <w:r w:rsidRPr="0047496C">
        <w:t>201</w:t>
      </w:r>
      <w:r>
        <w:t>5</w:t>
      </w:r>
      <w:r w:rsidRPr="0047496C">
        <w:t xml:space="preserve"> Medicare Current Beneficiary Survey.</w:t>
      </w:r>
      <w:r w:rsidRPr="0078226D">
        <w:t xml:space="preserve"> </w:t>
      </w:r>
      <w:hyperlink r:id="rId6" w:history="1">
        <w:r w:rsidRPr="00FD69F3">
          <w:rPr>
            <w:rStyle w:val="Hyperlink"/>
          </w:rPr>
          <w:t>https://www.cms.gov/Research-Statistics-Data-and-Systems/Research/MCBS/</w:t>
        </w:r>
      </w:hyperlink>
      <w:r w:rsidRPr="005F72E6">
        <w:t>.</w:t>
      </w:r>
      <w:r w:rsidRPr="00656A57" w:rsidDel="00807BEA">
        <w:t xml:space="preserve"> </w:t>
      </w:r>
      <w:r w:rsidRPr="0047496C">
        <w:t xml:space="preserve">Accessed </w:t>
      </w:r>
      <w:r>
        <w:t>May 1, 2019.</w:t>
      </w:r>
    </w:p>
    <w:p w14:paraId="272293F0" w14:textId="3B89B741" w:rsidR="00F7487B" w:rsidRPr="002F423E" w:rsidRDefault="00F7487B" w:rsidP="002F423E">
      <w:pPr>
        <w:ind w:left="270" w:hanging="270"/>
        <w:rPr>
          <w:sz w:val="20"/>
          <w:szCs w:val="20"/>
        </w:rPr>
      </w:pPr>
    </w:p>
  </w:footnote>
  <w:footnote w:id="19">
    <w:p w14:paraId="74922CA2" w14:textId="77777777" w:rsidR="00F7487B" w:rsidRPr="00155D0B" w:rsidRDefault="00F7487B" w:rsidP="002F423E">
      <w:pPr>
        <w:ind w:left="270" w:hanging="270"/>
        <w:rPr>
          <w:sz w:val="20"/>
          <w:szCs w:val="20"/>
        </w:rPr>
      </w:pPr>
      <w:r w:rsidRPr="00155D0B">
        <w:rPr>
          <w:rStyle w:val="FootnoteReference"/>
        </w:rPr>
        <w:footnoteRef/>
      </w:r>
      <w:r>
        <w:rPr>
          <w:sz w:val="20"/>
          <w:szCs w:val="20"/>
        </w:rPr>
        <w:t xml:space="preserve">  Ibid</w:t>
      </w:r>
      <w:r w:rsidRPr="00155D0B">
        <w:rPr>
          <w:sz w:val="20"/>
          <w:szCs w:val="20"/>
        </w:rPr>
        <w:t>.</w:t>
      </w:r>
    </w:p>
  </w:footnote>
  <w:footnote w:id="20">
    <w:p w14:paraId="26C749E0" w14:textId="3ECB16E7" w:rsidR="00F7487B" w:rsidRPr="00AE24F9" w:rsidRDefault="00F7487B" w:rsidP="002F423E">
      <w:pPr>
        <w:pStyle w:val="FootnoteText"/>
        <w:ind w:left="270" w:hanging="270"/>
      </w:pPr>
      <w:r w:rsidRPr="00AE24F9">
        <w:rPr>
          <w:rStyle w:val="FootnoteReference"/>
        </w:rPr>
        <w:footnoteRef/>
      </w:r>
      <w:r w:rsidRPr="00AE24F9">
        <w:t xml:space="preserve">   AoA’s FY 201</w:t>
      </w:r>
      <w:r>
        <w:t>7</w:t>
      </w:r>
      <w:r w:rsidRPr="00AE24F9">
        <w:t xml:space="preserve"> State Program Report.</w:t>
      </w:r>
    </w:p>
  </w:footnote>
  <w:footnote w:id="21">
    <w:p w14:paraId="4669D624" w14:textId="103A6F2B" w:rsidR="00F7487B" w:rsidRPr="00F86837" w:rsidRDefault="00F7487B" w:rsidP="002F423E">
      <w:pPr>
        <w:ind w:left="270" w:hanging="270"/>
        <w:jc w:val="both"/>
      </w:pPr>
      <w:r w:rsidRPr="00F86837">
        <w:rPr>
          <w:rStyle w:val="FootnoteReference"/>
        </w:rPr>
        <w:footnoteRef/>
      </w:r>
      <w:r w:rsidRPr="00F86837">
        <w:t xml:space="preserve"> </w:t>
      </w:r>
      <w:r w:rsidRPr="00F86837">
        <w:rPr>
          <w:rStyle w:val="FootnoteTextChar"/>
        </w:rPr>
        <w:t>201</w:t>
      </w:r>
      <w:r>
        <w:rPr>
          <w:rStyle w:val="FootnoteTextChar"/>
        </w:rPr>
        <w:t>8</w:t>
      </w:r>
      <w:r w:rsidRPr="00F86837">
        <w:rPr>
          <w:rStyle w:val="FootnoteTextChar"/>
        </w:rPr>
        <w:t xml:space="preserve"> National Survey of Older Americans Act Participants. </w:t>
      </w:r>
      <w:hyperlink r:id="rId7" w:history="1">
        <w:r w:rsidRPr="00F86837">
          <w:rPr>
            <w:rStyle w:val="Hyperlink"/>
            <w:sz w:val="20"/>
            <w:szCs w:val="20"/>
          </w:rPr>
          <w:t>http://www.agid.acl.gov</w:t>
        </w:r>
      </w:hyperlink>
      <w:r w:rsidRPr="00F86837">
        <w:rPr>
          <w:rStyle w:val="FootnoteTextChar"/>
        </w:rPr>
        <w:t>.</w:t>
      </w:r>
    </w:p>
  </w:footnote>
  <w:footnote w:id="22">
    <w:p w14:paraId="6548ECA8" w14:textId="77777777" w:rsidR="00F7487B" w:rsidRPr="00F86837" w:rsidRDefault="00F7487B">
      <w:pPr>
        <w:pStyle w:val="FootnoteText"/>
      </w:pPr>
      <w:r w:rsidRPr="00F86837">
        <w:rPr>
          <w:rStyle w:val="FootnoteReference"/>
        </w:rPr>
        <w:footnoteRef/>
      </w:r>
      <w:r w:rsidRPr="00F86837">
        <w:t xml:space="preserve">  Ibid</w:t>
      </w:r>
    </w:p>
  </w:footnote>
  <w:footnote w:id="23">
    <w:p w14:paraId="39ABD11B" w14:textId="2CC77088" w:rsidR="00F7487B" w:rsidRPr="00F86837" w:rsidRDefault="00F7487B" w:rsidP="002834FD">
      <w:pPr>
        <w:pStyle w:val="FootnoteText"/>
      </w:pPr>
      <w:r w:rsidRPr="00F86837">
        <w:rPr>
          <w:rStyle w:val="FootnoteReference"/>
        </w:rPr>
        <w:footnoteRef/>
      </w:r>
      <w:r w:rsidRPr="00F86837">
        <w:t xml:space="preserve"> Ibid</w:t>
      </w:r>
    </w:p>
  </w:footnote>
  <w:footnote w:id="24">
    <w:p w14:paraId="0F81DE1D" w14:textId="77777777" w:rsidR="00F7487B" w:rsidRPr="00F86837" w:rsidRDefault="00F7487B">
      <w:pPr>
        <w:pStyle w:val="FootnoteText"/>
      </w:pPr>
      <w:r w:rsidRPr="00F86837">
        <w:rPr>
          <w:rStyle w:val="FootnoteReference"/>
        </w:rPr>
        <w:footnoteRef/>
      </w:r>
      <w:r w:rsidRPr="00F86837">
        <w:t xml:space="preserve"> Ibid.</w:t>
      </w:r>
    </w:p>
  </w:footnote>
  <w:footnote w:id="25">
    <w:p w14:paraId="0432C832" w14:textId="77777777" w:rsidR="00F7487B" w:rsidRPr="00155D0B" w:rsidRDefault="00F7487B" w:rsidP="002834FD">
      <w:pPr>
        <w:ind w:left="144" w:hanging="144"/>
        <w:rPr>
          <w:sz w:val="20"/>
          <w:szCs w:val="20"/>
        </w:rPr>
      </w:pPr>
      <w:r w:rsidRPr="00F86837">
        <w:rPr>
          <w:rStyle w:val="FootnoteReference"/>
        </w:rPr>
        <w:footnoteRef/>
      </w:r>
      <w:r w:rsidRPr="00F86837">
        <w:rPr>
          <w:rStyle w:val="FootnoteTextChar"/>
        </w:rPr>
        <w:t>Ibid.</w:t>
      </w:r>
      <w:r w:rsidRPr="00155D0B">
        <w:rPr>
          <w:sz w:val="20"/>
          <w:szCs w:val="20"/>
        </w:rPr>
        <w:t xml:space="preserve"> </w:t>
      </w:r>
    </w:p>
  </w:footnote>
  <w:footnote w:id="26">
    <w:p w14:paraId="2B36C87C" w14:textId="7E8FFCA4" w:rsidR="00F7487B" w:rsidRPr="00155D0B" w:rsidRDefault="00F7487B" w:rsidP="003D1F5B">
      <w:pPr>
        <w:pStyle w:val="FootnoteText"/>
        <w:ind w:left="180" w:hanging="180"/>
        <w:jc w:val="both"/>
      </w:pPr>
      <w:r w:rsidRPr="00155D0B">
        <w:rPr>
          <w:rStyle w:val="FootnoteReference"/>
        </w:rPr>
        <w:footnoteRef/>
      </w:r>
      <w:r w:rsidRPr="00155D0B">
        <w:t xml:space="preserve"> Chen, Ya Mei and Elaine Adams Thompson</w:t>
      </w:r>
      <w:r>
        <w:t xml:space="preserve">. </w:t>
      </w:r>
      <w:r w:rsidRPr="00155D0B">
        <w:rPr>
          <w:bCs/>
        </w:rPr>
        <w:t>Understanding Factors That Influence Success of Home- and Community-Based Services in Keeping Older Adults in Community Settings</w:t>
      </w:r>
      <w:r>
        <w:rPr>
          <w:bCs/>
        </w:rPr>
        <w:t xml:space="preserve">. </w:t>
      </w:r>
      <w:r w:rsidRPr="00155D0B">
        <w:rPr>
          <w:bCs/>
        </w:rPr>
        <w:t>2010</w:t>
      </w:r>
      <w:r>
        <w:rPr>
          <w:bCs/>
        </w:rPr>
        <w:t xml:space="preserve">. </w:t>
      </w:r>
      <w:r w:rsidRPr="00155D0B">
        <w:rPr>
          <w:bCs/>
        </w:rPr>
        <w:t>Journal of Aging and</w:t>
      </w:r>
      <w:r>
        <w:rPr>
          <w:bCs/>
        </w:rPr>
        <w:t xml:space="preserve"> Health. V. 22: 267. Accessed March 23, 2018 at</w:t>
      </w:r>
      <w:r w:rsidRPr="00155D0B">
        <w:rPr>
          <w:bCs/>
        </w:rPr>
        <w:t xml:space="preserve">: </w:t>
      </w:r>
      <w:hyperlink r:id="rId8" w:history="1">
        <w:r w:rsidRPr="00911602">
          <w:rPr>
            <w:rStyle w:val="Hyperlink"/>
          </w:rPr>
          <w:t>http://jah.sagepub.com/cgi/content/abstract/22/3/267</w:t>
        </w:r>
      </w:hyperlink>
      <w:r w:rsidRPr="00155D0B">
        <w:rPr>
          <w:color w:val="0000FF"/>
        </w:rPr>
        <w:t>.</w:t>
      </w:r>
      <w:r>
        <w:rPr>
          <w:color w:val="0000FF"/>
        </w:rPr>
        <w:t xml:space="preserve"> </w:t>
      </w:r>
    </w:p>
  </w:footnote>
  <w:footnote w:id="27">
    <w:p w14:paraId="6FB5F7DD" w14:textId="3AAA71D7" w:rsidR="00F7487B" w:rsidRPr="00D73E8A" w:rsidRDefault="00F7487B" w:rsidP="00943E59">
      <w:pPr>
        <w:pStyle w:val="NormalWeb"/>
        <w:shd w:val="clear" w:color="auto" w:fill="FFFFFF"/>
        <w:spacing w:before="0" w:beforeAutospacing="0" w:after="0" w:afterAutospacing="0"/>
        <w:ind w:left="187" w:hanging="187"/>
      </w:pPr>
      <w:r w:rsidRPr="00D73E8A">
        <w:rPr>
          <w:rStyle w:val="FootnoteReference"/>
          <w:sz w:val="20"/>
          <w:szCs w:val="20"/>
        </w:rPr>
        <w:footnoteRef/>
      </w:r>
      <w:r w:rsidRPr="00D73E8A">
        <w:rPr>
          <w:sz w:val="20"/>
          <w:szCs w:val="20"/>
        </w:rPr>
        <w:t xml:space="preserve"> Administration for Community Living, http://www.agid.acl.gov/DataGlance/. Data-at-a-Glance: American Community Survey (ACS) Public Use Microdata Sample (PUMS) 1-Year Files (201</w:t>
      </w:r>
      <w:r>
        <w:rPr>
          <w:sz w:val="20"/>
          <w:szCs w:val="20"/>
        </w:rPr>
        <w:t>7</w:t>
      </w:r>
      <w:r w:rsidRPr="00D73E8A">
        <w:rPr>
          <w:sz w:val="20"/>
          <w:szCs w:val="20"/>
        </w:rPr>
        <w:t xml:space="preserve">), accessed </w:t>
      </w:r>
      <w:r>
        <w:rPr>
          <w:sz w:val="20"/>
          <w:szCs w:val="20"/>
        </w:rPr>
        <w:t>May 1, 2019.</w:t>
      </w:r>
    </w:p>
  </w:footnote>
  <w:footnote w:id="28">
    <w:p w14:paraId="32F2C9AE" w14:textId="37DE1A99" w:rsidR="00F7487B" w:rsidRDefault="00F7487B">
      <w:pPr>
        <w:pStyle w:val="FootnoteText"/>
      </w:pPr>
      <w:r w:rsidRPr="00F86837">
        <w:rPr>
          <w:rStyle w:val="FootnoteReference"/>
        </w:rPr>
        <w:footnoteRef/>
      </w:r>
      <w:r w:rsidRPr="00F86837">
        <w:t xml:space="preserve"> 201</w:t>
      </w:r>
      <w:r>
        <w:t>8</w:t>
      </w:r>
      <w:r w:rsidRPr="00F86837">
        <w:t xml:space="preserve"> National Survey</w:t>
      </w:r>
      <w:r w:rsidRPr="00155D0B">
        <w:t xml:space="preserve"> of Older Americans Act Participants</w:t>
      </w:r>
      <w:r>
        <w:t xml:space="preserve">. </w:t>
      </w:r>
      <w:hyperlink r:id="rId9" w:history="1">
        <w:r w:rsidRPr="00155D0B">
          <w:rPr>
            <w:rStyle w:val="Hyperlink"/>
          </w:rPr>
          <w:t>http://www.agid.acl.gov</w:t>
        </w:r>
      </w:hyperlink>
    </w:p>
  </w:footnote>
  <w:footnote w:id="29">
    <w:p w14:paraId="272FDD5F" w14:textId="0CBF0317" w:rsidR="00F7487B" w:rsidRDefault="00F7487B" w:rsidP="003D1F5B">
      <w:pPr>
        <w:pStyle w:val="FootnoteText"/>
        <w:ind w:left="180" w:hanging="180"/>
        <w:jc w:val="both"/>
      </w:pPr>
      <w:r>
        <w:rPr>
          <w:rStyle w:val="FootnoteReference"/>
        </w:rPr>
        <w:footnoteRef/>
      </w:r>
      <w:r>
        <w:t xml:space="preserve"> Muramatsu, Naoko. </w:t>
      </w:r>
      <w:r w:rsidRPr="006D3046">
        <w:t>“Risk of Nursing Home Admission Among Older Americans:  Does States’ Spending on Home and Community-Based Services Matter?” May 2007</w:t>
      </w:r>
      <w:r>
        <w:t xml:space="preserve">. </w:t>
      </w:r>
      <w:r w:rsidRPr="006D3046">
        <w:t>Journal of Gerontology: Psychological Sciences</w:t>
      </w:r>
      <w:r>
        <w:t>.</w:t>
      </w:r>
    </w:p>
  </w:footnote>
  <w:footnote w:id="30">
    <w:p w14:paraId="3047BABA" w14:textId="77777777" w:rsidR="00F7487B" w:rsidRDefault="00F7487B" w:rsidP="00730419">
      <w:pPr>
        <w:pStyle w:val="FootnoteText"/>
      </w:pPr>
      <w:r>
        <w:rPr>
          <w:rStyle w:val="FootnoteReference"/>
        </w:rPr>
        <w:footnoteRef/>
      </w:r>
      <w:r>
        <w:t xml:space="preserve"> </w:t>
      </w:r>
      <w:hyperlink r:id="rId10" w:history="1">
        <w:r w:rsidRPr="0027448E">
          <w:rPr>
            <w:rStyle w:val="Hyperlink"/>
          </w:rPr>
          <w:t>https://health.gov/dietaryguidelines/2015/guidelines/</w:t>
        </w:r>
      </w:hyperlink>
      <w:r>
        <w:t xml:space="preserve"> and </w:t>
      </w:r>
      <w:hyperlink r:id="rId11" w:history="1">
        <w:r w:rsidRPr="0027448E">
          <w:rPr>
            <w:rStyle w:val="Hyperlink"/>
          </w:rPr>
          <w:t>https://www.nal.usda.gov/fnic/dietary-reference-intakes</w:t>
        </w:r>
      </w:hyperlink>
      <w:r>
        <w:t xml:space="preserve"> </w:t>
      </w:r>
    </w:p>
  </w:footnote>
  <w:footnote w:id="31">
    <w:p w14:paraId="4AD34EC8" w14:textId="5EAF4316" w:rsidR="00F7487B" w:rsidRDefault="00F7487B" w:rsidP="00730419">
      <w:pPr>
        <w:pStyle w:val="FootnoteText"/>
      </w:pPr>
      <w:r>
        <w:rPr>
          <w:rStyle w:val="FootnoteReference"/>
        </w:rPr>
        <w:footnoteRef/>
      </w:r>
      <w:r>
        <w:t xml:space="preserve"> </w:t>
      </w:r>
      <w:r w:rsidRPr="00640ED9">
        <w:t>AoA’s FY</w:t>
      </w:r>
      <w:r>
        <w:t xml:space="preserve"> 2017 State Program Report</w:t>
      </w:r>
      <w:r w:rsidRPr="00155D0B">
        <w:t>.</w:t>
      </w:r>
      <w:r w:rsidRPr="008C67DE">
        <w:t xml:space="preserve"> </w:t>
      </w:r>
    </w:p>
  </w:footnote>
  <w:footnote w:id="32">
    <w:p w14:paraId="471EE465" w14:textId="31D6BCD8" w:rsidR="00F7487B" w:rsidRDefault="00F7487B" w:rsidP="00400C63">
      <w:pPr>
        <w:pStyle w:val="FootnoteText"/>
        <w:ind w:left="180" w:hanging="180"/>
      </w:pPr>
      <w:r>
        <w:rPr>
          <w:rStyle w:val="FootnoteReference"/>
        </w:rPr>
        <w:footnoteRef/>
      </w:r>
      <w:r>
        <w:t xml:space="preserve"> </w:t>
      </w:r>
      <w:r w:rsidRPr="00F71E72">
        <w:t xml:space="preserve">Centers for Medicare &amp; Medicaid Services, </w:t>
      </w:r>
      <w:r>
        <w:t xml:space="preserve">ACL analysis of </w:t>
      </w:r>
      <w:r w:rsidRPr="0047496C">
        <w:t>201</w:t>
      </w:r>
      <w:r>
        <w:t>5</w:t>
      </w:r>
      <w:r w:rsidRPr="0047496C">
        <w:t xml:space="preserve"> Medicare Current Beneficiary Survey.</w:t>
      </w:r>
      <w:r w:rsidRPr="0078226D">
        <w:t xml:space="preserve"> </w:t>
      </w:r>
      <w:hyperlink r:id="rId12" w:history="1">
        <w:r w:rsidRPr="00FD69F3">
          <w:rPr>
            <w:rStyle w:val="Hyperlink"/>
          </w:rPr>
          <w:t>https://www.cms.gov/Research-Statistics-Data-and-Systems/Research/MCBS/</w:t>
        </w:r>
      </w:hyperlink>
      <w:r w:rsidRPr="005F72E6">
        <w:t>.</w:t>
      </w:r>
      <w:r w:rsidRPr="00656A57" w:rsidDel="00807BEA">
        <w:t xml:space="preserve"> </w:t>
      </w:r>
      <w:r w:rsidRPr="0047496C">
        <w:t xml:space="preserve">Accessed </w:t>
      </w:r>
      <w:r>
        <w:t xml:space="preserve">May 1, 2019 </w:t>
      </w:r>
    </w:p>
  </w:footnote>
  <w:footnote w:id="33">
    <w:p w14:paraId="072CD5C7" w14:textId="2775C55A" w:rsidR="00F7487B" w:rsidRDefault="00F7487B" w:rsidP="00730419">
      <w:pPr>
        <w:pStyle w:val="FootnoteText"/>
        <w:ind w:left="180" w:hanging="180"/>
      </w:pPr>
      <w:r>
        <w:rPr>
          <w:rStyle w:val="FootnoteReference"/>
        </w:rPr>
        <w:footnoteRef/>
      </w:r>
      <w:r>
        <w:t xml:space="preserve"> </w:t>
      </w:r>
      <w:r w:rsidRPr="00B25507">
        <w:t>U.S. Census Bureau, Population Division. Annual Estimates of the Resident Population for Selected Age Groups by Sex for the United States, States, Counties, and Puerto Rico Commonwealth and Municipio</w:t>
      </w:r>
      <w:r>
        <w:t>s: April 1, 2010 to July 1, 2017. Release Date: June 2018,</w:t>
      </w:r>
      <w:r w:rsidRPr="002232AF">
        <w:t xml:space="preserve"> </w:t>
      </w:r>
      <w:r w:rsidRPr="0078226D">
        <w:t>https://factfinder.census.gov/faces/nav/jsf/pages/index.xhtml</w:t>
      </w:r>
      <w:r>
        <w:t>.</w:t>
      </w:r>
      <w:r>
        <w:rPr>
          <w:rStyle w:val="Strong"/>
        </w:rPr>
        <w:t xml:space="preserve"> </w:t>
      </w:r>
      <w:r>
        <w:t xml:space="preserve">Accessed May 1, 2019 and AoA’s FY 2017 State Program Report. </w:t>
      </w:r>
    </w:p>
  </w:footnote>
  <w:footnote w:id="34">
    <w:p w14:paraId="5E11FA06" w14:textId="422C094D" w:rsidR="00F7487B" w:rsidRDefault="00F7487B" w:rsidP="00730419">
      <w:pPr>
        <w:pStyle w:val="FootnoteText"/>
        <w:ind w:left="180" w:hanging="180"/>
      </w:pPr>
      <w:r w:rsidRPr="00640ED9">
        <w:rPr>
          <w:rStyle w:val="FootnoteReference"/>
        </w:rPr>
        <w:footnoteRef/>
      </w:r>
      <w:r w:rsidRPr="00640ED9">
        <w:t xml:space="preserve"> 201</w:t>
      </w:r>
      <w:r>
        <w:t>8</w:t>
      </w:r>
      <w:r w:rsidRPr="00640ED9">
        <w:t xml:space="preserve"> National</w:t>
      </w:r>
      <w:r>
        <w:t xml:space="preserve"> Survey of Older Americans Act Participants. </w:t>
      </w:r>
      <w:hyperlink r:id="rId13" w:history="1">
        <w:r w:rsidRPr="006A4AC2">
          <w:rPr>
            <w:rStyle w:val="Hyperlink"/>
          </w:rPr>
          <w:t>http://www.agid.acl.gov</w:t>
        </w:r>
      </w:hyperlink>
      <w:r>
        <w:t>.</w:t>
      </w:r>
    </w:p>
  </w:footnote>
  <w:footnote w:id="35">
    <w:p w14:paraId="72B1A400" w14:textId="77777777" w:rsidR="00F7487B" w:rsidRDefault="00F7487B" w:rsidP="00730419">
      <w:pPr>
        <w:pStyle w:val="FootnoteText"/>
      </w:pPr>
      <w:r w:rsidRPr="00640ED9">
        <w:rPr>
          <w:rStyle w:val="FootnoteReference"/>
        </w:rPr>
        <w:footnoteRef/>
      </w:r>
      <w:r w:rsidRPr="00640ED9">
        <w:t xml:space="preserve"> Ibid.</w:t>
      </w:r>
      <w:r>
        <w:t xml:space="preserve"> </w:t>
      </w:r>
    </w:p>
  </w:footnote>
  <w:footnote w:id="36">
    <w:p w14:paraId="23ED7C74" w14:textId="2E6D99AD" w:rsidR="00F7487B" w:rsidRDefault="00F7487B" w:rsidP="00730419">
      <w:pPr>
        <w:pStyle w:val="FootnoteText"/>
      </w:pPr>
      <w:r w:rsidRPr="00346482">
        <w:rPr>
          <w:rStyle w:val="FootnoteReference"/>
        </w:rPr>
        <w:footnoteRef/>
      </w:r>
      <w:r w:rsidRPr="00346482">
        <w:t xml:space="preserve"> AoA’s</w:t>
      </w:r>
      <w:r>
        <w:t xml:space="preserve"> FY 2017 State Program Report.</w:t>
      </w:r>
      <w:r w:rsidRPr="008C67DE">
        <w:t xml:space="preserve"> </w:t>
      </w:r>
    </w:p>
  </w:footnote>
  <w:footnote w:id="37">
    <w:p w14:paraId="7FA897DB" w14:textId="3F301A46" w:rsidR="00F7487B" w:rsidRDefault="00F7487B" w:rsidP="00C451BE">
      <w:pPr>
        <w:pStyle w:val="FootnoteText"/>
        <w:ind w:left="180" w:hanging="180"/>
      </w:pPr>
      <w:r>
        <w:rPr>
          <w:rStyle w:val="FootnoteReference"/>
        </w:rPr>
        <w:footnoteRef/>
      </w:r>
      <w:r>
        <w:t xml:space="preserve"> Administration for Community Living, http://www.agid.acl.gov/DataGlance/. Data-at-a-Glance: American Community Survey (ACS) Public Use Microdata Sample (PUMS) 1-Year Files (2017), accessed May 1, 2019.</w:t>
      </w:r>
    </w:p>
  </w:footnote>
  <w:footnote w:id="38">
    <w:p w14:paraId="01D6AA4B" w14:textId="336CBEB4" w:rsidR="00F7487B" w:rsidRDefault="00F7487B" w:rsidP="00C451BE">
      <w:pPr>
        <w:pStyle w:val="FootnoteText"/>
      </w:pPr>
      <w:r>
        <w:rPr>
          <w:rStyle w:val="FootnoteReference"/>
        </w:rPr>
        <w:footnoteRef/>
      </w:r>
      <w:r>
        <w:t xml:space="preserve"> </w:t>
      </w:r>
      <w:r w:rsidRPr="00346482">
        <w:t>201</w:t>
      </w:r>
      <w:r>
        <w:t>8</w:t>
      </w:r>
      <w:r w:rsidRPr="00346482">
        <w:t xml:space="preserve"> National Survey</w:t>
      </w:r>
      <w:r>
        <w:t xml:space="preserve"> of Older Americans Act Participants. </w:t>
      </w:r>
      <w:hyperlink r:id="rId14" w:history="1">
        <w:r w:rsidRPr="006403D4">
          <w:rPr>
            <w:rStyle w:val="Hyperlink"/>
          </w:rPr>
          <w:t>http://www.agid.acl.gov</w:t>
        </w:r>
      </w:hyperlink>
      <w:r>
        <w:t>.</w:t>
      </w:r>
    </w:p>
  </w:footnote>
  <w:footnote w:id="39">
    <w:p w14:paraId="234FAAEE" w14:textId="77777777" w:rsidR="00F7487B" w:rsidRDefault="00F7487B" w:rsidP="00C451BE">
      <w:pPr>
        <w:pStyle w:val="FootnoteText"/>
      </w:pPr>
      <w:r>
        <w:rPr>
          <w:rStyle w:val="FootnoteReference"/>
        </w:rPr>
        <w:footnoteRef/>
      </w:r>
      <w:r>
        <w:t xml:space="preserve"> Cornwell, E, Waite L. Social Disconnectedness, Perceived Isolation, and Health among Older Adults. J Heath Soc Behav 2009 Mar; 50(1); 31-48</w:t>
      </w:r>
    </w:p>
  </w:footnote>
  <w:footnote w:id="40">
    <w:p w14:paraId="425D4255" w14:textId="3B727907" w:rsidR="00F7487B" w:rsidRDefault="00F7487B" w:rsidP="00C451BE">
      <w:pPr>
        <w:pStyle w:val="FootnoteText"/>
      </w:pPr>
      <w:r>
        <w:rPr>
          <w:rStyle w:val="FootnoteReference"/>
        </w:rPr>
        <w:footnoteRef/>
      </w:r>
      <w:r>
        <w:t xml:space="preserve"> Evaluation of Title III-C Elderly Nutrition Services Program Client Outcome Study 2017</w:t>
      </w:r>
    </w:p>
  </w:footnote>
  <w:footnote w:id="41">
    <w:p w14:paraId="0EC68781" w14:textId="77777777" w:rsidR="00F7487B" w:rsidRDefault="00F7487B" w:rsidP="00C451BE">
      <w:pPr>
        <w:pStyle w:val="FootnoteText"/>
      </w:pPr>
      <w:r>
        <w:rPr>
          <w:rStyle w:val="FootnoteReference"/>
        </w:rPr>
        <w:footnoteRef/>
      </w:r>
      <w:r>
        <w:t xml:space="preserve"> </w:t>
      </w:r>
      <w:hyperlink r:id="rId15" w:history="1">
        <w:r w:rsidRPr="00323EE6">
          <w:rPr>
            <w:rStyle w:val="Hyperlink"/>
          </w:rPr>
          <w:t>http://nfesh.org/research/</w:t>
        </w:r>
      </w:hyperlink>
      <w:r>
        <w:t xml:space="preserve"> (accessed January 23, 2018)</w:t>
      </w:r>
    </w:p>
  </w:footnote>
  <w:footnote w:id="42">
    <w:p w14:paraId="7149246C" w14:textId="6DDCDFF9" w:rsidR="00F7487B" w:rsidRDefault="00F7487B" w:rsidP="00C451BE">
      <w:pPr>
        <w:pStyle w:val="FootnoteText"/>
      </w:pPr>
      <w:r>
        <w:rPr>
          <w:rStyle w:val="FootnoteReference"/>
        </w:rPr>
        <w:footnoteRef/>
      </w:r>
      <w:r>
        <w:t xml:space="preserve"> 2018 National Survey of Older Americans Act Participants. http://www.agid.acl.gov.</w:t>
      </w:r>
    </w:p>
  </w:footnote>
  <w:footnote w:id="43">
    <w:p w14:paraId="1E0724CB" w14:textId="77777777" w:rsidR="00F7487B" w:rsidRDefault="00F7487B" w:rsidP="00C451BE">
      <w:pPr>
        <w:pStyle w:val="FootnoteText"/>
        <w:ind w:left="180" w:hanging="180"/>
      </w:pPr>
      <w:r>
        <w:rPr>
          <w:rStyle w:val="FootnoteReference"/>
        </w:rPr>
        <w:footnoteRef/>
      </w:r>
      <w:r>
        <w:t xml:space="preserve"> Thomas, K &amp; Moe, V. The relationship between Older Americans Act Title III State Expenditures &amp; Prevalence of Low-Care Nursing Home Residents. Health Services Research. 12.3.12. Accessed March 23, 2018 at: </w:t>
      </w:r>
      <w:hyperlink r:id="rId16" w:history="1">
        <w:r w:rsidRPr="00992B4D">
          <w:rPr>
            <w:rStyle w:val="Hyperlink"/>
          </w:rPr>
          <w:t>http://onlinelibrary.wiley.com/doi/10.1111/1475-6773.12015/abstract</w:t>
        </w:r>
      </w:hyperlink>
      <w:r>
        <w:t xml:space="preserve"> </w:t>
      </w:r>
    </w:p>
  </w:footnote>
  <w:footnote w:id="44">
    <w:p w14:paraId="131B4668" w14:textId="77777777" w:rsidR="00F7487B" w:rsidRDefault="00F7487B" w:rsidP="00C451BE">
      <w:pPr>
        <w:pStyle w:val="FootnoteText"/>
      </w:pPr>
      <w:r>
        <w:rPr>
          <w:rStyle w:val="FootnoteReference"/>
        </w:rPr>
        <w:footnoteRef/>
      </w:r>
      <w:r>
        <w:t xml:space="preserve"> Ibid.</w:t>
      </w:r>
    </w:p>
  </w:footnote>
  <w:footnote w:id="45">
    <w:p w14:paraId="1868C246" w14:textId="4D893277" w:rsidR="00F7487B" w:rsidRDefault="00F7487B" w:rsidP="00C451BE">
      <w:pPr>
        <w:pStyle w:val="FootnoteText"/>
      </w:pPr>
      <w:r>
        <w:rPr>
          <w:rStyle w:val="FootnoteReference"/>
        </w:rPr>
        <w:footnoteRef/>
      </w:r>
      <w:r>
        <w:t xml:space="preserve"> </w:t>
      </w:r>
      <w:r w:rsidRPr="00A14671">
        <w:t>201</w:t>
      </w:r>
      <w:r>
        <w:t>8</w:t>
      </w:r>
      <w:r w:rsidRPr="00A14671">
        <w:t xml:space="preserve"> National Survey of Older</w:t>
      </w:r>
      <w:r>
        <w:t xml:space="preserve"> Americans Act Participants. </w:t>
      </w:r>
      <w:hyperlink r:id="rId17" w:history="1">
        <w:r w:rsidRPr="006403D4">
          <w:rPr>
            <w:rStyle w:val="Hyperlink"/>
          </w:rPr>
          <w:t>http://www.agid.acl.gov</w:t>
        </w:r>
      </w:hyperlink>
      <w:r>
        <w:t>.</w:t>
      </w:r>
    </w:p>
  </w:footnote>
  <w:footnote w:id="46">
    <w:p w14:paraId="05F1BDA4" w14:textId="2361E55C" w:rsidR="00F7487B" w:rsidRDefault="00F7487B" w:rsidP="00C451BE">
      <w:pPr>
        <w:pStyle w:val="FootnoteText"/>
      </w:pPr>
      <w:r>
        <w:rPr>
          <w:rStyle w:val="FootnoteReference"/>
        </w:rPr>
        <w:footnoteRef/>
      </w:r>
      <w:r>
        <w:t xml:space="preserve"> Evaluation of Title III-C Elderly Nutrition Services Program Client Outcome Study 2017</w:t>
      </w:r>
    </w:p>
  </w:footnote>
  <w:footnote w:id="47">
    <w:p w14:paraId="55205B99" w14:textId="4E741C13" w:rsidR="00F7487B" w:rsidRPr="00A14671" w:rsidRDefault="00F7487B">
      <w:pPr>
        <w:pStyle w:val="FootnoteText"/>
      </w:pPr>
      <w:r>
        <w:rPr>
          <w:rStyle w:val="FootnoteReference"/>
        </w:rPr>
        <w:footnoteRef/>
      </w:r>
      <w:r>
        <w:t xml:space="preserve"> </w:t>
      </w:r>
      <w:r w:rsidRPr="00A14671">
        <w:t>AoA’s FY 201</w:t>
      </w:r>
      <w:r>
        <w:t>7</w:t>
      </w:r>
      <w:r w:rsidRPr="00A14671">
        <w:t xml:space="preserve"> State Program Report.</w:t>
      </w:r>
    </w:p>
  </w:footnote>
  <w:footnote w:id="48">
    <w:p w14:paraId="5566E28F" w14:textId="77777777" w:rsidR="00F7487B" w:rsidRDefault="00F7487B">
      <w:pPr>
        <w:pStyle w:val="FootnoteText"/>
      </w:pPr>
      <w:r w:rsidRPr="00A14671">
        <w:rPr>
          <w:rStyle w:val="FootnoteReference"/>
        </w:rPr>
        <w:footnoteRef/>
      </w:r>
      <w:r w:rsidRPr="00A14671">
        <w:t xml:space="preserve"> Ibid.</w:t>
      </w:r>
    </w:p>
  </w:footnote>
  <w:footnote w:id="49">
    <w:p w14:paraId="670E69F4" w14:textId="5765EA47" w:rsidR="00F7487B" w:rsidRPr="00A14671" w:rsidRDefault="00F7487B">
      <w:pPr>
        <w:pStyle w:val="FootnoteText"/>
      </w:pPr>
      <w:r w:rsidRPr="00A14671">
        <w:rPr>
          <w:rStyle w:val="FootnoteReference"/>
        </w:rPr>
        <w:footnoteRef/>
      </w:r>
      <w:r w:rsidRPr="00A14671">
        <w:t xml:space="preserve"> 201</w:t>
      </w:r>
      <w:r>
        <w:t>8</w:t>
      </w:r>
      <w:r w:rsidRPr="00A14671">
        <w:t xml:space="preserve"> National Survey of Older Americans Act Participants. </w:t>
      </w:r>
      <w:hyperlink r:id="rId18" w:history="1">
        <w:r w:rsidRPr="00A14671">
          <w:rPr>
            <w:rStyle w:val="Hyperlink"/>
          </w:rPr>
          <w:t>http://www.agid.acl.gov</w:t>
        </w:r>
      </w:hyperlink>
      <w:r w:rsidRPr="00A14671">
        <w:t>.</w:t>
      </w:r>
    </w:p>
  </w:footnote>
  <w:footnote w:id="50">
    <w:p w14:paraId="2F03A5F6" w14:textId="77777777" w:rsidR="00F7487B" w:rsidRPr="005814A8" w:rsidRDefault="00F7487B">
      <w:pPr>
        <w:pStyle w:val="FootnoteText"/>
        <w:rPr>
          <w:highlight w:val="yellow"/>
        </w:rPr>
      </w:pPr>
      <w:r w:rsidRPr="00A14671">
        <w:rPr>
          <w:rStyle w:val="FootnoteReference"/>
        </w:rPr>
        <w:footnoteRef/>
      </w:r>
      <w:r w:rsidRPr="00A14671">
        <w:t xml:space="preserve"> Ibid. </w:t>
      </w:r>
    </w:p>
  </w:footnote>
  <w:footnote w:id="51">
    <w:p w14:paraId="294AE58C" w14:textId="7BD99CC7" w:rsidR="00F7487B" w:rsidRDefault="00F7487B" w:rsidP="00C451BE">
      <w:pPr>
        <w:pStyle w:val="FootnoteText"/>
      </w:pPr>
      <w:r w:rsidRPr="007A2D6D">
        <w:rPr>
          <w:rStyle w:val="FootnoteReference"/>
        </w:rPr>
        <w:footnoteRef/>
      </w:r>
      <w:r w:rsidRPr="007A2D6D">
        <w:t xml:space="preserve"> AoA’s FY 201</w:t>
      </w:r>
      <w:r>
        <w:t>7 State Program Report.</w:t>
      </w:r>
      <w:r w:rsidRPr="008C67DE">
        <w:t xml:space="preserve"> </w:t>
      </w:r>
    </w:p>
  </w:footnote>
  <w:footnote w:id="52">
    <w:p w14:paraId="0ED71AA6" w14:textId="7997B88A" w:rsidR="00F7487B" w:rsidRDefault="00F7487B" w:rsidP="00B55FC2">
      <w:pPr>
        <w:pStyle w:val="FootnoteText"/>
        <w:ind w:left="180" w:hanging="180"/>
      </w:pPr>
      <w:r>
        <w:rPr>
          <w:rStyle w:val="FootnoteReference"/>
        </w:rPr>
        <w:footnoteRef/>
      </w:r>
      <w:r>
        <w:t xml:space="preserve"> </w:t>
      </w:r>
      <w:r w:rsidRPr="00495E30">
        <w:t xml:space="preserve">Meredith, S., Feldman, P., Frey, D., Giammarco, L., Hall, K., Arnold, K., Ray, W. A. (2002). Improving medication use in newly admitted home healthcare patients: A randomized controlled trial. Journal of the American Geriatrics Society, 50(9), 1484–1491. PubMed abstract available at </w:t>
      </w:r>
      <w:hyperlink r:id="rId19" w:history="1">
        <w:r w:rsidRPr="007E495F">
          <w:rPr>
            <w:rStyle w:val="Hyperlink"/>
          </w:rPr>
          <w:t>http://www.ncbi.nlm.nih.gov/pubmed/12383144</w:t>
        </w:r>
      </w:hyperlink>
      <w:r>
        <w:t xml:space="preserve">. Accessed March 23, 2018. </w:t>
      </w:r>
    </w:p>
  </w:footnote>
  <w:footnote w:id="53">
    <w:p w14:paraId="6D261DD4" w14:textId="0D670BC3" w:rsidR="00F7487B" w:rsidRDefault="00F7487B" w:rsidP="00B55FC2">
      <w:pPr>
        <w:pStyle w:val="FootnoteText"/>
        <w:ind w:left="180" w:hanging="180"/>
      </w:pPr>
      <w:r>
        <w:rPr>
          <w:rStyle w:val="FootnoteReference"/>
        </w:rPr>
        <w:footnoteRef/>
      </w:r>
      <w:r>
        <w:t xml:space="preserve"> A summary of these studies can be found at: </w:t>
      </w:r>
      <w:hyperlink r:id="rId20" w:history="1">
        <w:r>
          <w:rPr>
            <w:rStyle w:val="Hyperlink"/>
          </w:rPr>
          <w:t>https://www.acl.gov/programs/strengthening-aging-and-disability-networks/aging-and-disability-evidence-based-programs</w:t>
        </w:r>
      </w:hyperlink>
      <w:r>
        <w:rPr>
          <w:color w:val="1F497D"/>
        </w:rPr>
        <w:t xml:space="preserve"> </w:t>
      </w:r>
    </w:p>
  </w:footnote>
  <w:footnote w:id="54">
    <w:p w14:paraId="6A5351D0" w14:textId="4AC78D2B" w:rsidR="00F7487B" w:rsidRPr="00EC371A" w:rsidRDefault="00F7487B" w:rsidP="00C63CE8">
      <w:pPr>
        <w:autoSpaceDE w:val="0"/>
        <w:autoSpaceDN w:val="0"/>
        <w:ind w:left="180" w:hanging="180"/>
        <w:rPr>
          <w:sz w:val="20"/>
          <w:szCs w:val="20"/>
        </w:rPr>
      </w:pPr>
      <w:r w:rsidRPr="00EC371A">
        <w:rPr>
          <w:rStyle w:val="FootnoteReference"/>
          <w:sz w:val="20"/>
          <w:szCs w:val="20"/>
        </w:rPr>
        <w:footnoteRef/>
      </w:r>
      <w:r w:rsidRPr="00EC371A">
        <w:rPr>
          <w:sz w:val="20"/>
          <w:szCs w:val="20"/>
        </w:rPr>
        <w:t xml:space="preserve"> CMS Chartbook and Charts. Figure 2: Prevalence of Chronic Conditions among Fee-for-Service Beneficiaries by Age: 2017. Chronic Condition Charts: 2017. Accessed May 1, 2019 at https://www.cms.gov/Research-Statistics-Data-and-Systems/Statistics-Trends-and-Reports/Chronic-Conditions/Chartbook_Charts.html   </w:t>
      </w:r>
    </w:p>
  </w:footnote>
  <w:footnote w:id="55">
    <w:p w14:paraId="197685E3" w14:textId="46257361" w:rsidR="00F7487B" w:rsidRPr="00EC371A" w:rsidRDefault="00F7487B" w:rsidP="00C63CE8">
      <w:pPr>
        <w:pStyle w:val="FootnoteText"/>
        <w:ind w:left="180" w:hanging="180"/>
      </w:pPr>
      <w:r w:rsidRPr="00EC371A">
        <w:rPr>
          <w:shd w:val="clear" w:color="auto" w:fill="FFFFFF"/>
          <w:vertAlign w:val="superscript"/>
        </w:rPr>
        <w:t>55</w:t>
      </w:r>
      <w:r w:rsidRPr="00EC371A">
        <w:rPr>
          <w:shd w:val="clear" w:color="auto" w:fill="FFFFFF"/>
        </w:rPr>
        <w:t xml:space="preserve"> Snow, C.E.; Abrams, R.C. The Indirect Costs of Late-Life Depression in the United States: A Literature Review and Perspective.</w:t>
      </w:r>
      <w:r w:rsidRPr="00EC371A">
        <w:rPr>
          <w:rStyle w:val="apple-converted-space"/>
          <w:shd w:val="clear" w:color="auto" w:fill="FFFFFF"/>
        </w:rPr>
        <w:t> </w:t>
      </w:r>
      <w:r w:rsidRPr="00EC371A">
        <w:rPr>
          <w:rStyle w:val="Emphasis"/>
          <w:shd w:val="clear" w:color="auto" w:fill="FFFFFF"/>
        </w:rPr>
        <w:t>Geriatrics</w:t>
      </w:r>
      <w:r w:rsidRPr="00EC371A">
        <w:rPr>
          <w:rStyle w:val="apple-converted-space"/>
          <w:shd w:val="clear" w:color="auto" w:fill="FFFFFF"/>
        </w:rPr>
        <w:t> </w:t>
      </w:r>
      <w:r w:rsidRPr="00EC371A">
        <w:rPr>
          <w:bCs/>
          <w:shd w:val="clear" w:color="auto" w:fill="FFFFFF"/>
        </w:rPr>
        <w:t>2016</w:t>
      </w:r>
      <w:r w:rsidRPr="00EC371A">
        <w:rPr>
          <w:shd w:val="clear" w:color="auto" w:fill="FFFFFF"/>
        </w:rPr>
        <w:t>,</w:t>
      </w:r>
      <w:r w:rsidRPr="00EC371A">
        <w:rPr>
          <w:rStyle w:val="apple-converted-space"/>
          <w:shd w:val="clear" w:color="auto" w:fill="FFFFFF"/>
        </w:rPr>
        <w:t> </w:t>
      </w:r>
      <w:r w:rsidRPr="00EC371A">
        <w:rPr>
          <w:rStyle w:val="Emphasis"/>
          <w:shd w:val="clear" w:color="auto" w:fill="FFFFFF"/>
        </w:rPr>
        <w:t>1</w:t>
      </w:r>
      <w:r w:rsidRPr="00EC371A">
        <w:rPr>
          <w:shd w:val="clear" w:color="auto" w:fill="FFFFFF"/>
        </w:rPr>
        <w:t>, 30.</w:t>
      </w:r>
    </w:p>
  </w:footnote>
  <w:footnote w:id="56">
    <w:p w14:paraId="72FB0976" w14:textId="77777777" w:rsidR="00F7487B" w:rsidRPr="001F2AA0" w:rsidRDefault="00F7487B" w:rsidP="00C63CE8">
      <w:pPr>
        <w:pStyle w:val="FootnoteText"/>
        <w:ind w:left="180" w:hanging="180"/>
      </w:pPr>
      <w:r w:rsidRPr="00EC371A">
        <w:rPr>
          <w:rStyle w:val="FootnoteReference"/>
        </w:rPr>
        <w:footnoteRef/>
      </w:r>
      <w:r w:rsidRPr="00EC371A">
        <w:t xml:space="preserve"> Program to Encourage Rewarding Lives for Seniors (2012). Description available at: </w:t>
      </w:r>
      <w:hyperlink r:id="rId21" w:history="1">
        <w:r w:rsidRPr="00EC371A">
          <w:rPr>
            <w:rStyle w:val="Hyperlink"/>
          </w:rPr>
          <w:t>http://www.pearlsprogram.org/</w:t>
        </w:r>
      </w:hyperlink>
    </w:p>
  </w:footnote>
  <w:footnote w:id="57">
    <w:p w14:paraId="2CE2B475" w14:textId="7AA20882" w:rsidR="00F7487B" w:rsidRDefault="00F7487B" w:rsidP="00C63CE8">
      <w:pPr>
        <w:pStyle w:val="FootnoteText"/>
        <w:ind w:left="180" w:hanging="180"/>
      </w:pPr>
      <w:r>
        <w:rPr>
          <w:rStyle w:val="FootnoteReference"/>
        </w:rPr>
        <w:footnoteRef/>
      </w:r>
      <w:r>
        <w:t xml:space="preserve"> </w:t>
      </w:r>
      <w:r w:rsidRPr="001157DD">
        <w:t>Gerteis J, Izrael D, Deitz D, LeRoy L, Ricciardi R, Miller T, Basu J. Multiple Chronic Conditions Chartbook. AHRQ Publications No, Q14-0038. Rockville, MD: Agency for Healthcare Research and Quality. April 2014.</w:t>
      </w:r>
    </w:p>
  </w:footnote>
  <w:footnote w:id="58">
    <w:p w14:paraId="1031A59B" w14:textId="77777777" w:rsidR="00F7487B" w:rsidRDefault="00F7487B" w:rsidP="00C63CE8">
      <w:pPr>
        <w:pStyle w:val="FootnoteText"/>
        <w:ind w:left="180" w:hanging="180"/>
      </w:pPr>
      <w:r>
        <w:rPr>
          <w:rStyle w:val="FootnoteReference"/>
        </w:rPr>
        <w:footnoteRef/>
      </w:r>
      <w:r>
        <w:t xml:space="preserve"> Parekh, AK, et al. 2011. Managing Multiple Chronic Conditions: A Strategic Framework for Improving Health Outcomes and Quality of Life. Public Health Rep. 126(4):460-71.</w:t>
      </w:r>
    </w:p>
  </w:footnote>
  <w:footnote w:id="59">
    <w:p w14:paraId="5BAAD3A8" w14:textId="77777777" w:rsidR="00F7487B" w:rsidRDefault="00F7487B" w:rsidP="00C63CE8">
      <w:pPr>
        <w:pStyle w:val="FootnoteText"/>
        <w:ind w:left="180" w:hanging="180"/>
      </w:pPr>
      <w:r>
        <w:rPr>
          <w:rStyle w:val="FootnoteReference"/>
        </w:rPr>
        <w:footnoteRef/>
      </w:r>
      <w:r>
        <w:t xml:space="preserve"> Kramarow, E et al. 2007. Trends in Health of Older Americans, 1970-2005. Health Affairs (Milwood). Sep-Oct; 26 (5):1417-25.</w:t>
      </w:r>
    </w:p>
  </w:footnote>
  <w:footnote w:id="60">
    <w:p w14:paraId="4386B9E5" w14:textId="77777777" w:rsidR="00F7487B" w:rsidRDefault="00F7487B" w:rsidP="00C63CE8">
      <w:pPr>
        <w:pStyle w:val="FootnoteText"/>
        <w:ind w:left="180" w:hanging="180"/>
      </w:pPr>
      <w:r>
        <w:rPr>
          <w:rStyle w:val="FootnoteReference"/>
        </w:rPr>
        <w:footnoteRef/>
      </w:r>
      <w:r>
        <w:t xml:space="preserve"> Centers for Disease Control and Prevention. The State of Aging and Health in America 2013. Atlanta, GA: Centers for Disease Control and Prevention, US Dept of Health and Human Services; 2013.</w:t>
      </w:r>
    </w:p>
  </w:footnote>
  <w:footnote w:id="61">
    <w:p w14:paraId="229670E4" w14:textId="77777777" w:rsidR="00F7487B" w:rsidRPr="00D014C8" w:rsidRDefault="00F7487B" w:rsidP="00C63CE8">
      <w:pPr>
        <w:pStyle w:val="FootnoteText"/>
        <w:ind w:left="180" w:hanging="180"/>
      </w:pPr>
      <w:r w:rsidRPr="00C43375">
        <w:rPr>
          <w:rStyle w:val="FootnoteReference"/>
        </w:rPr>
        <w:footnoteRef/>
      </w:r>
      <w:r w:rsidRPr="0090625D">
        <w:rPr>
          <w:lang w:val="fr-FR"/>
        </w:rPr>
        <w:t xml:space="preserve">  Brady, T.J., et al. 2013. </w:t>
      </w:r>
      <w:r w:rsidRPr="00D014C8">
        <w:t>“A Meta-analysis of Health Status, Health Behaviors, and Health Care Utilization Outcomes of the Chronic Disease Self-Management Program.” Prev Chronic Dis 10:120112.</w:t>
      </w:r>
    </w:p>
  </w:footnote>
  <w:footnote w:id="62">
    <w:p w14:paraId="0075A77C" w14:textId="352D5C63" w:rsidR="00F7487B" w:rsidRPr="005E5CE7" w:rsidRDefault="00F7487B" w:rsidP="00C63CE8">
      <w:pPr>
        <w:autoSpaceDE w:val="0"/>
        <w:autoSpaceDN w:val="0"/>
        <w:adjustRightInd w:val="0"/>
        <w:ind w:left="180" w:hanging="180"/>
        <w:rPr>
          <w:sz w:val="20"/>
          <w:szCs w:val="20"/>
        </w:rPr>
      </w:pPr>
      <w:r w:rsidRPr="005E5CE7">
        <w:rPr>
          <w:rStyle w:val="FootnoteReference"/>
          <w:sz w:val="20"/>
          <w:szCs w:val="20"/>
        </w:rPr>
        <w:footnoteRef/>
      </w:r>
      <w:r w:rsidRPr="005E5CE7">
        <w:rPr>
          <w:sz w:val="20"/>
          <w:szCs w:val="20"/>
        </w:rPr>
        <w:t xml:space="preserve"> </w:t>
      </w:r>
      <w:r>
        <w:rPr>
          <w:sz w:val="20"/>
          <w:szCs w:val="20"/>
        </w:rPr>
        <w:t xml:space="preserve"> </w:t>
      </w:r>
      <w:r w:rsidRPr="0021795A">
        <w:rPr>
          <w:sz w:val="20"/>
          <w:szCs w:val="20"/>
        </w:rPr>
        <w:t>Centers for Medicare &amp; Medicaid Services, Report to Congress: The Centers for Medicare &amp; Medicaid Services’ Evaluation of Community-based Wellness and Prevention Programs under Section 4202 (b) of the Affordable Care Act</w:t>
      </w:r>
      <w:r>
        <w:rPr>
          <w:sz w:val="20"/>
          <w:szCs w:val="20"/>
        </w:rPr>
        <w:t xml:space="preserve">. </w:t>
      </w:r>
      <w:hyperlink r:id="rId22" w:history="1">
        <w:r w:rsidRPr="00911602">
          <w:rPr>
            <w:rStyle w:val="Hyperlink"/>
            <w:sz w:val="20"/>
            <w:szCs w:val="20"/>
          </w:rPr>
          <w:t>http://innovation.cms.gov/Files/reports/CommunityWellnessRTC.pdf</w:t>
        </w:r>
      </w:hyperlink>
      <w:r>
        <w:rPr>
          <w:sz w:val="20"/>
          <w:szCs w:val="20"/>
        </w:rPr>
        <w:t xml:space="preserve">  Accessed March 23, 2018.</w:t>
      </w:r>
    </w:p>
  </w:footnote>
  <w:footnote w:id="63">
    <w:p w14:paraId="3CA6EC8E" w14:textId="77777777" w:rsidR="00F7487B" w:rsidRDefault="00F7487B" w:rsidP="00C451BE">
      <w:pPr>
        <w:pStyle w:val="FootnoteText"/>
        <w:ind w:left="180" w:hanging="180"/>
      </w:pPr>
      <w:r>
        <w:rPr>
          <w:rStyle w:val="FootnoteReference"/>
        </w:rPr>
        <w:footnoteRef/>
      </w:r>
      <w:r>
        <w:t xml:space="preserve"> </w:t>
      </w:r>
      <w:r w:rsidRPr="00210B84">
        <w:t xml:space="preserve">Ahn S et al. The Impact of Chronic Disease Self-Management Programs: Healthcare Savings through a Community-Based Intervention. BMC Public Health. 2013. 13:1141. doi:10.1186/1471-2458-13-1141 Available at: </w:t>
      </w:r>
      <w:hyperlink r:id="rId23" w:history="1">
        <w:r w:rsidRPr="00911602">
          <w:rPr>
            <w:rStyle w:val="Hyperlink"/>
          </w:rPr>
          <w:t>http://www.biomedcentral.com/1471-2458/13/1141</w:t>
        </w:r>
      </w:hyperlink>
      <w:r>
        <w:t xml:space="preserve">  Accessed March 23, 2018. </w:t>
      </w:r>
    </w:p>
  </w:footnote>
  <w:footnote w:id="64">
    <w:p w14:paraId="6ACDD961" w14:textId="77777777" w:rsidR="00F7487B" w:rsidRDefault="00F7487B" w:rsidP="00C451BE">
      <w:pPr>
        <w:pStyle w:val="FootnoteText"/>
        <w:ind w:left="180" w:hanging="180"/>
      </w:pPr>
      <w:r>
        <w:rPr>
          <w:rStyle w:val="FootnoteReference"/>
        </w:rPr>
        <w:footnoteRef/>
      </w:r>
      <w:r>
        <w:t xml:space="preserve"> Racial and/or ethnic minorities refer to individuals who self-report at least one of the following racial or ethnic identities: Asian, Black or African American, Hispanic or Latino, Native Hawaiian or other Other Pacific Islanders, American Indian or Alaska Native.</w:t>
      </w:r>
    </w:p>
    <w:p w14:paraId="761942B7" w14:textId="77777777" w:rsidR="00F7487B" w:rsidRDefault="00F7487B" w:rsidP="00C451BE">
      <w:pPr>
        <w:pStyle w:val="FootnoteText"/>
      </w:pPr>
    </w:p>
  </w:footnote>
  <w:footnote w:id="65">
    <w:p w14:paraId="245C36B2" w14:textId="77777777" w:rsidR="00F7487B" w:rsidRPr="00B80894" w:rsidRDefault="00F7487B" w:rsidP="0035270C">
      <w:pPr>
        <w:ind w:left="180" w:hanging="180"/>
        <w:rPr>
          <w:color w:val="1A1A1A"/>
          <w:sz w:val="20"/>
          <w:szCs w:val="20"/>
        </w:rPr>
      </w:pPr>
      <w:r w:rsidRPr="00B80894">
        <w:rPr>
          <w:rStyle w:val="FootnoteReference"/>
          <w:sz w:val="20"/>
          <w:szCs w:val="20"/>
        </w:rPr>
        <w:footnoteRef/>
      </w:r>
      <w:r w:rsidRPr="00B80894">
        <w:rPr>
          <w:sz w:val="20"/>
          <w:szCs w:val="20"/>
        </w:rPr>
        <w:t xml:space="preserve"> </w:t>
      </w:r>
      <w:r w:rsidRPr="00B80894">
        <w:rPr>
          <w:color w:val="1A1A1A"/>
          <w:sz w:val="20"/>
          <w:szCs w:val="20"/>
        </w:rPr>
        <w:t xml:space="preserve">Substance Abuse and Mental Health Services Administration (SAMHSA). (2012). Older Americans Behavioral Health Issue Brief:  </w:t>
      </w:r>
      <w:r>
        <w:rPr>
          <w:color w:val="1A1A1A"/>
          <w:sz w:val="20"/>
          <w:szCs w:val="20"/>
        </w:rPr>
        <w:t>Series Overview. Accessed January 5, 2018 at</w:t>
      </w:r>
      <w:r w:rsidRPr="00B80894">
        <w:rPr>
          <w:color w:val="1A1A1A"/>
          <w:sz w:val="20"/>
          <w:szCs w:val="20"/>
        </w:rPr>
        <w:t xml:space="preserve">:  </w:t>
      </w:r>
      <w:hyperlink r:id="rId24" w:history="1">
        <w:r w:rsidRPr="00B80894">
          <w:rPr>
            <w:rStyle w:val="Hyperlink"/>
            <w:sz w:val="20"/>
            <w:szCs w:val="20"/>
          </w:rPr>
          <w:t>https://www.ncoa.org/wp-content/uploads/Series-Overview-Issue-Brief-1.pdf</w:t>
        </w:r>
      </w:hyperlink>
      <w:r w:rsidRPr="00B80894">
        <w:rPr>
          <w:color w:val="1A1A1A"/>
          <w:sz w:val="20"/>
          <w:szCs w:val="20"/>
        </w:rPr>
        <w:t xml:space="preserve"> </w:t>
      </w:r>
    </w:p>
  </w:footnote>
  <w:footnote w:id="66">
    <w:p w14:paraId="00AB1359" w14:textId="77777777" w:rsidR="00F7487B" w:rsidRPr="00B80894" w:rsidRDefault="00F7487B" w:rsidP="0035270C">
      <w:pPr>
        <w:pStyle w:val="FootnoteText"/>
        <w:ind w:left="180" w:hanging="180"/>
      </w:pPr>
      <w:r w:rsidRPr="00B80894">
        <w:rPr>
          <w:rStyle w:val="FootnoteReference"/>
        </w:rPr>
        <w:footnoteRef/>
      </w:r>
      <w:r w:rsidRPr="00B80894">
        <w:t xml:space="preserve"> World Health Organization (2016). Mental Health and Older Adult</w:t>
      </w:r>
      <w:r>
        <w:t>s: A Fact Sheet. Retrieved March 23, 2018 at</w:t>
      </w:r>
      <w:r w:rsidRPr="00B80894">
        <w:t xml:space="preserve"> </w:t>
      </w:r>
      <w:hyperlink r:id="rId25" w:history="1">
        <w:r w:rsidRPr="00911602">
          <w:rPr>
            <w:rStyle w:val="Hyperlink"/>
          </w:rPr>
          <w:t>http://www.who.int/mediacentre/factsheets/fs381/en/</w:t>
        </w:r>
      </w:hyperlink>
      <w:r>
        <w:t xml:space="preserve"> </w:t>
      </w:r>
    </w:p>
  </w:footnote>
  <w:footnote w:id="67">
    <w:p w14:paraId="22BEB23C" w14:textId="687A18DD" w:rsidR="00F7487B" w:rsidRDefault="00F7487B" w:rsidP="007802C4">
      <w:pPr>
        <w:pStyle w:val="FootnoteText"/>
        <w:ind w:left="180" w:hanging="180"/>
      </w:pPr>
      <w:r>
        <w:rPr>
          <w:rStyle w:val="FootnoteReference"/>
        </w:rPr>
        <w:footnoteRef/>
      </w:r>
      <w:r>
        <w:t xml:space="preserve"> </w:t>
      </w:r>
      <w:r w:rsidR="002320E8" w:rsidRPr="002320E8">
        <w:t>Bergen G, Stevens MR, Burns ER. Falls and Fall Injuries Among Adults Aged ≥65 Years — United States, 2014. MMWR Morb Mortal Wkly Rep 2016;65:993–998. DOI: http://dx.doi.org/10.15585/mmwr.mm6537a2.</w:t>
      </w:r>
    </w:p>
  </w:footnote>
  <w:footnote w:id="68">
    <w:p w14:paraId="08C874FA" w14:textId="4AB99A9B" w:rsidR="00F7487B" w:rsidRDefault="00F7487B" w:rsidP="007802C4">
      <w:pPr>
        <w:pStyle w:val="FootnoteText"/>
        <w:ind w:left="180" w:hanging="180"/>
      </w:pPr>
      <w:r>
        <w:rPr>
          <w:rStyle w:val="FootnoteReference"/>
        </w:rPr>
        <w:footnoteRef/>
      </w:r>
      <w:r>
        <w:t xml:space="preserve"> </w:t>
      </w:r>
      <w:r w:rsidRPr="00501F46">
        <w:t>Stevens JA, Ballesteros MF, Mack KA, Rudd RA, DeCaro E, Adler G. Gender differences in seeking care for falls in the aged Medicare Population. American Journal of Preventive Medicine 2012;</w:t>
      </w:r>
      <w:r>
        <w:t xml:space="preserve"> </w:t>
      </w:r>
      <w:r w:rsidRPr="00501F46">
        <w:t>43:59–62.</w:t>
      </w:r>
    </w:p>
  </w:footnote>
  <w:footnote w:id="69">
    <w:p w14:paraId="0D3C51BF" w14:textId="272B674D" w:rsidR="00F7487B" w:rsidRDefault="00F7487B" w:rsidP="007802C4">
      <w:pPr>
        <w:pStyle w:val="FootnoteText"/>
        <w:ind w:left="180" w:hanging="180"/>
      </w:pPr>
      <w:r>
        <w:rPr>
          <w:rStyle w:val="FootnoteReference"/>
        </w:rPr>
        <w:footnoteRef/>
      </w:r>
      <w:r>
        <w:t xml:space="preserve"> </w:t>
      </w:r>
      <w:r w:rsidRPr="00990269">
        <w:t>Centers for Disease Control and Prevention, National Center for Injury Prevention and Control. Web–based Injury Statistics Query and Repor</w:t>
      </w:r>
      <w:r>
        <w:t xml:space="preserve">ting System (WISQARS) [online].  </w:t>
      </w:r>
      <w:r w:rsidRPr="00990269">
        <w:t xml:space="preserve">Accessed </w:t>
      </w:r>
      <w:r w:rsidR="002320E8">
        <w:t>October 24,</w:t>
      </w:r>
      <w:r w:rsidR="0039374E">
        <w:t xml:space="preserve"> 2019</w:t>
      </w:r>
      <w:r w:rsidRPr="00990269">
        <w:t>.</w:t>
      </w:r>
    </w:p>
  </w:footnote>
  <w:footnote w:id="70">
    <w:p w14:paraId="5E18C555" w14:textId="3312FEB0" w:rsidR="00F7487B" w:rsidRPr="00A147A7" w:rsidRDefault="00F7487B" w:rsidP="007802C4">
      <w:pPr>
        <w:pStyle w:val="FootnoteText"/>
        <w:ind w:left="180" w:hanging="180"/>
      </w:pPr>
      <w:r w:rsidRPr="00A147A7">
        <w:rPr>
          <w:rStyle w:val="FootnoteReference"/>
        </w:rPr>
        <w:footnoteRef/>
      </w:r>
      <w:r w:rsidRPr="00A147A7">
        <w:t xml:space="preserve"> </w:t>
      </w:r>
      <w:r w:rsidR="002320E8" w:rsidRPr="002320E8">
        <w:rPr>
          <w:color w:val="000000"/>
          <w:shd w:val="clear" w:color="auto" w:fill="FFFFFF"/>
        </w:rPr>
        <w:t>Florence CS, Bergen G, Atherly A, Burns ER, Stevens JA, Drake C. Medical Costs of Fatal and Nonfatal Falls in Older Adults. Journal of the American Geriatrics Society, 2018 March, DOI:10.1111/jgs.15304external icon</w:t>
      </w:r>
      <w:r w:rsidRPr="00A147A7">
        <w:rPr>
          <w:color w:val="000000"/>
          <w:shd w:val="clear" w:color="auto" w:fill="FFFFFF"/>
        </w:rPr>
        <w:t xml:space="preserve">, </w:t>
      </w:r>
    </w:p>
  </w:footnote>
  <w:footnote w:id="71">
    <w:p w14:paraId="77572983" w14:textId="77777777" w:rsidR="00F7487B" w:rsidRDefault="00F7487B" w:rsidP="007802C4">
      <w:pPr>
        <w:pStyle w:val="FootnoteText"/>
        <w:ind w:left="180" w:hanging="180"/>
      </w:pPr>
      <w:r>
        <w:rPr>
          <w:rStyle w:val="FootnoteReference"/>
        </w:rPr>
        <w:footnoteRef/>
      </w:r>
      <w:r>
        <w:t xml:space="preserve"> </w:t>
      </w:r>
      <w:r w:rsidRPr="00501F46">
        <w:t>Tinetti, M.E., Dorothy I. Baker, D.I., King, M, Gottschalk, M.,Murphy, T.E., Acampora,D., Carlin, B.P., Linda Leo-Summers, L., and Allore, H.G. (2008) Effect of Dissemination of Evidence in Reducing Injuries from Falls. N Engl J Med;359:252-61</w:t>
      </w:r>
      <w:r>
        <w:t xml:space="preserve">. </w:t>
      </w:r>
    </w:p>
  </w:footnote>
  <w:footnote w:id="72">
    <w:p w14:paraId="65E08C69" w14:textId="3BC83AC1" w:rsidR="00F7487B" w:rsidRDefault="00F7487B" w:rsidP="007802C4">
      <w:pPr>
        <w:pStyle w:val="FootnoteText"/>
        <w:ind w:left="180" w:hanging="180"/>
      </w:pPr>
      <w:r>
        <w:rPr>
          <w:rStyle w:val="FootnoteReference"/>
        </w:rPr>
        <w:footnoteRef/>
      </w:r>
      <w:r>
        <w:t xml:space="preserve"> Report to Congress: The Centers for Medicare &amp; Medicaid Services’ Evaluation of Community-based Wellness and Prevention Programs under Section 4202 (b) of the Affordable Care Act. Accessed February 13, 2018 from: </w:t>
      </w:r>
      <w:hyperlink r:id="rId26" w:history="1">
        <w:r w:rsidRPr="00911602">
          <w:rPr>
            <w:rStyle w:val="Hyperlink"/>
          </w:rPr>
          <w:t>http://innovation.cms.gov/Files/reports/CommunityWellnessRTC.pdf</w:t>
        </w:r>
      </w:hyperlink>
      <w:r>
        <w:t xml:space="preserve">  </w:t>
      </w:r>
    </w:p>
  </w:footnote>
  <w:footnote w:id="73">
    <w:p w14:paraId="727781DE" w14:textId="28C2F27E" w:rsidR="00F7487B" w:rsidRDefault="00F7487B" w:rsidP="007802C4">
      <w:pPr>
        <w:pStyle w:val="FootnoteText"/>
        <w:ind w:left="180" w:hanging="180"/>
      </w:pPr>
      <w:r>
        <w:rPr>
          <w:rStyle w:val="FootnoteReference"/>
        </w:rPr>
        <w:footnoteRef/>
      </w:r>
      <w:r>
        <w:t xml:space="preserve"> </w:t>
      </w:r>
      <w:r w:rsidRPr="00501F46">
        <w:t>Carande-Kulisa, V., et al. (2015), A cost–benefit analysis of three older adult fall prevention interventions, Journal of Safety Resea</w:t>
      </w:r>
      <w:r>
        <w:t>rch, Accessed February 13, 2018</w:t>
      </w:r>
      <w:r w:rsidRPr="00501F46">
        <w:t xml:space="preserve"> </w:t>
      </w:r>
      <w:r>
        <w:t xml:space="preserve">from:  </w:t>
      </w:r>
      <w:hyperlink r:id="rId27" w:anchor="practice" w:history="1">
        <w:r w:rsidRPr="00911602">
          <w:rPr>
            <w:rStyle w:val="Hyperlink"/>
          </w:rPr>
          <w:t>http://www.cdc.gov/homeandrecreationalsafety/Falls/steadi/index.html#practice</w:t>
        </w:r>
      </w:hyperlink>
      <w:r>
        <w:t xml:space="preserve">   </w:t>
      </w:r>
    </w:p>
  </w:footnote>
  <w:footnote w:id="74">
    <w:p w14:paraId="6DBE06CD" w14:textId="470562C3" w:rsidR="00F7487B" w:rsidRDefault="00F7487B" w:rsidP="003755C1">
      <w:pPr>
        <w:pStyle w:val="FootnoteText"/>
        <w:ind w:left="180" w:hanging="180"/>
      </w:pPr>
      <w:r>
        <w:rPr>
          <w:rStyle w:val="FootnoteReference"/>
        </w:rPr>
        <w:footnoteRef/>
      </w:r>
      <w:r>
        <w:t xml:space="preserve"> Research Report: </w:t>
      </w:r>
      <w:r w:rsidRPr="00EE2A50">
        <w:t>Caregiving in the U.S.</w:t>
      </w:r>
      <w:r>
        <w:t xml:space="preserve"> 2015: </w:t>
      </w:r>
      <w:r w:rsidRPr="00EE2A50">
        <w:t xml:space="preserve">A Focused Look at </w:t>
      </w:r>
      <w:r>
        <w:t>Caregivers of Adults</w:t>
      </w:r>
      <w:r w:rsidRPr="00EE2A50">
        <w:t xml:space="preserve"> Age 50</w:t>
      </w:r>
      <w:r>
        <w:t xml:space="preserve">+. </w:t>
      </w:r>
      <w:r w:rsidRPr="00EE2A50">
        <w:t>National Alliance for Caregiving</w:t>
      </w:r>
      <w:r>
        <w:t xml:space="preserve"> and AARP Public Policy Institute</w:t>
      </w:r>
      <w:r w:rsidRPr="00EE2A50">
        <w:t xml:space="preserve">. </w:t>
      </w:r>
      <w:r>
        <w:t>June 2015</w:t>
      </w:r>
      <w:r w:rsidRPr="00EE2A50">
        <w:t>.</w:t>
      </w:r>
      <w:r w:rsidRPr="003755C1">
        <w:t xml:space="preserve"> </w:t>
      </w:r>
      <w:hyperlink r:id="rId28" w:history="1">
        <w:r w:rsidRPr="00911602">
          <w:rPr>
            <w:rStyle w:val="Hyperlink"/>
          </w:rPr>
          <w:t>http://www.caregiving.org/wp-content/uploads/2015/05/2015_CaregivingintheUS_Care-Recipients-Over-50_WEB.pdf</w:t>
        </w:r>
      </w:hyperlink>
      <w:r>
        <w:t>. Accessed February 15, 2018.</w:t>
      </w:r>
    </w:p>
  </w:footnote>
  <w:footnote w:id="75">
    <w:p w14:paraId="2E17C8B4" w14:textId="77777777" w:rsidR="00F7487B" w:rsidRPr="00EE2A50" w:rsidRDefault="00F7487B" w:rsidP="00C34C6C">
      <w:pPr>
        <w:pStyle w:val="FootnoteText"/>
        <w:ind w:left="180" w:hanging="180"/>
      </w:pPr>
      <w:r w:rsidRPr="00EE2A50">
        <w:rPr>
          <w:rStyle w:val="FootnoteReference"/>
        </w:rPr>
        <w:footnoteRef/>
      </w:r>
      <w:r w:rsidRPr="00EE2A50">
        <w:t xml:space="preserve"> </w:t>
      </w:r>
      <w:r>
        <w:t>Ibid.</w:t>
      </w:r>
      <w:r w:rsidRPr="00EE2A50">
        <w:t xml:space="preserve"> </w:t>
      </w:r>
    </w:p>
  </w:footnote>
  <w:footnote w:id="76">
    <w:p w14:paraId="617B8053" w14:textId="145E8D7D" w:rsidR="00F7487B" w:rsidRPr="00EE2A50" w:rsidRDefault="00F7487B" w:rsidP="00C34C6C">
      <w:pPr>
        <w:pStyle w:val="FootnoteText"/>
        <w:ind w:left="180" w:hanging="180"/>
      </w:pPr>
      <w:r w:rsidRPr="00EE2A50">
        <w:rPr>
          <w:rStyle w:val="FootnoteReference"/>
        </w:rPr>
        <w:footnoteRef/>
      </w:r>
      <w:r w:rsidRPr="00EE2A50">
        <w:t xml:space="preserve"> Valuing the Invaluable: 201</w:t>
      </w:r>
      <w:r>
        <w:t>5</w:t>
      </w:r>
      <w:r w:rsidRPr="00EE2A50">
        <w:t xml:space="preserve"> Update, The Growing Contributions and Costs of Family Caregiving. AARP Public Policy Institute. July 201</w:t>
      </w:r>
      <w:r>
        <w:t xml:space="preserve">5. </w:t>
      </w:r>
      <w:hyperlink r:id="rId29" w:history="1">
        <w:r w:rsidRPr="00932749">
          <w:rPr>
            <w:rStyle w:val="Hyperlink"/>
          </w:rPr>
          <w:t>http://www.aarp.org/ppi/info-2015/valuing-the-invaluable-2015-update.html</w:t>
        </w:r>
      </w:hyperlink>
      <w:r>
        <w:t xml:space="preserve">. Accessed February 15, 2018. </w:t>
      </w:r>
    </w:p>
  </w:footnote>
  <w:footnote w:id="77">
    <w:p w14:paraId="59F6CF4F" w14:textId="2CB8BCD1" w:rsidR="00F7487B" w:rsidRDefault="00F7487B" w:rsidP="007B7698">
      <w:pPr>
        <w:pStyle w:val="FootnoteText"/>
        <w:ind w:left="180" w:hanging="180"/>
      </w:pPr>
      <w:r>
        <w:rPr>
          <w:rStyle w:val="FootnoteReference"/>
        </w:rPr>
        <w:footnoteRef/>
      </w:r>
      <w:r>
        <w:t xml:space="preserve"> </w:t>
      </w:r>
      <w:r w:rsidRPr="00194F93">
        <w:rPr>
          <w:i/>
        </w:rPr>
        <w:t xml:space="preserve">The Opportunity Costs of Informal Elder-Care in the United States. </w:t>
      </w:r>
      <w:r w:rsidRPr="00200F1C">
        <w:t>The</w:t>
      </w:r>
      <w:r>
        <w:rPr>
          <w:i/>
        </w:rPr>
        <w:t xml:space="preserve"> </w:t>
      </w:r>
      <w:r>
        <w:t xml:space="preserve">Rand Corporation, 2014. </w:t>
      </w:r>
      <w:hyperlink r:id="rId30" w:history="1">
        <w:r w:rsidRPr="00911602">
          <w:rPr>
            <w:rStyle w:val="Hyperlink"/>
          </w:rPr>
          <w:t>http://www.rand.org/pubs/external_publications/EP66196.html</w:t>
        </w:r>
      </w:hyperlink>
      <w:r>
        <w:t xml:space="preserve">. Accessed February 15, 2018. </w:t>
      </w:r>
    </w:p>
  </w:footnote>
  <w:footnote w:id="78">
    <w:p w14:paraId="6C7BFDC3" w14:textId="22ADF680" w:rsidR="00F7487B" w:rsidRPr="00EE2A50" w:rsidRDefault="00F7487B" w:rsidP="00C34C6C">
      <w:pPr>
        <w:pStyle w:val="FootnoteText"/>
        <w:ind w:left="180" w:hanging="180"/>
      </w:pPr>
      <w:r w:rsidRPr="00EE2A50">
        <w:rPr>
          <w:rStyle w:val="FootnoteReference"/>
        </w:rPr>
        <w:footnoteRef/>
      </w:r>
      <w:r w:rsidRPr="00EE2A50">
        <w:t xml:space="preserve"> Home Alone: Family Caregivers Providing Complex Chronic Care. </w:t>
      </w:r>
      <w:r>
        <w:t xml:space="preserve"> </w:t>
      </w:r>
      <w:r w:rsidRPr="00EE2A50">
        <w:t>AARP and United Hospital Fund</w:t>
      </w:r>
      <w:r>
        <w:t xml:space="preserve">. </w:t>
      </w:r>
      <w:r w:rsidRPr="00EE2A50">
        <w:t>October 2012</w:t>
      </w:r>
      <w:r>
        <w:t xml:space="preserve">. </w:t>
      </w:r>
      <w:hyperlink r:id="rId31" w:history="1">
        <w:r w:rsidRPr="00911602">
          <w:rPr>
            <w:rStyle w:val="Hyperlink"/>
          </w:rPr>
          <w:t>https://www.aarp.org/content/dam/aarp/research/public_policy_institute/health/home-alone-family-caregivers-providing-complex-chronic-care-rev-AARP-ppi-health.pdf</w:t>
        </w:r>
      </w:hyperlink>
      <w:r>
        <w:t>. Accessed February 15, 2018.</w:t>
      </w:r>
    </w:p>
  </w:footnote>
  <w:footnote w:id="79">
    <w:p w14:paraId="6BC3098A" w14:textId="0D253505" w:rsidR="00F7487B" w:rsidRPr="00FD27F6" w:rsidRDefault="00F7487B" w:rsidP="00FD27F6">
      <w:pPr>
        <w:ind w:left="180" w:hanging="180"/>
        <w:rPr>
          <w:sz w:val="20"/>
          <w:szCs w:val="20"/>
        </w:rPr>
      </w:pPr>
      <w:r w:rsidRPr="00EE2A50">
        <w:rPr>
          <w:rStyle w:val="FootnoteReference"/>
        </w:rPr>
        <w:footnoteRef/>
      </w:r>
      <w:r w:rsidRPr="00EE2A50">
        <w:t xml:space="preserve"> </w:t>
      </w:r>
      <w:r w:rsidRPr="00085F3A">
        <w:rPr>
          <w:sz w:val="20"/>
          <w:szCs w:val="20"/>
        </w:rPr>
        <w:t xml:space="preserve">Perkins, M., Howard, V. J., Wadley, V. G., Crowe, M., </w:t>
      </w:r>
      <w:r>
        <w:rPr>
          <w:sz w:val="20"/>
          <w:szCs w:val="20"/>
        </w:rPr>
        <w:t xml:space="preserve">Safford, M. M., Haley, W. E., </w:t>
      </w:r>
      <w:r w:rsidRPr="00085F3A">
        <w:rPr>
          <w:sz w:val="20"/>
          <w:szCs w:val="20"/>
        </w:rPr>
        <w:t xml:space="preserve">Roth, D. L. (2013). Caregiving strain and all-cause mortality: Evidence from the REGARDS Study. </w:t>
      </w:r>
      <w:r>
        <w:rPr>
          <w:sz w:val="20"/>
          <w:szCs w:val="20"/>
        </w:rPr>
        <w:t xml:space="preserve"> </w:t>
      </w:r>
      <w:r w:rsidRPr="00085F3A">
        <w:rPr>
          <w:i/>
          <w:iCs/>
          <w:sz w:val="20"/>
          <w:szCs w:val="20"/>
        </w:rPr>
        <w:t xml:space="preserve">Journals of Gerontology Series B: Psychological Sciences and Social Sciences, 68, </w:t>
      </w:r>
      <w:r w:rsidRPr="00085F3A">
        <w:rPr>
          <w:sz w:val="20"/>
          <w:szCs w:val="20"/>
        </w:rPr>
        <w:t>504</w:t>
      </w:r>
      <w:r>
        <w:rPr>
          <w:sz w:val="20"/>
          <w:szCs w:val="20"/>
        </w:rPr>
        <w:t>-512. doi:10.1093/geronb/gbs084.</w:t>
      </w:r>
    </w:p>
  </w:footnote>
  <w:footnote w:id="80">
    <w:p w14:paraId="3451DBF5" w14:textId="2E49CDCE" w:rsidR="00F7487B" w:rsidRDefault="00F7487B" w:rsidP="007802C4">
      <w:pPr>
        <w:pStyle w:val="FootnoteText"/>
        <w:ind w:left="180" w:hanging="180"/>
      </w:pPr>
      <w:r>
        <w:rPr>
          <w:rStyle w:val="FootnoteReference"/>
        </w:rPr>
        <w:footnoteRef/>
      </w:r>
      <w:r>
        <w:t xml:space="preserve"> </w:t>
      </w:r>
      <w:r w:rsidRPr="00085F3A">
        <w:t xml:space="preserve">Roth, D. L., Haley, W. E., Hovater, M., Perkins, M., Wadley, V. G., &amp; Judd, S. (2013). Family caregiving and all-cause mortality: Findings from a population-based propensity-matched analysis. </w:t>
      </w:r>
      <w:r>
        <w:t xml:space="preserve"> </w:t>
      </w:r>
      <w:r w:rsidRPr="00085F3A">
        <w:rPr>
          <w:i/>
          <w:iCs/>
        </w:rPr>
        <w:t xml:space="preserve">American Journal of Epidemiology, 178, </w:t>
      </w:r>
      <w:r w:rsidRPr="00085F3A">
        <w:t>1571-1578. doi:10.1093/aje/kwt225</w:t>
      </w:r>
    </w:p>
  </w:footnote>
  <w:footnote w:id="81">
    <w:p w14:paraId="43702457" w14:textId="575FCBB5" w:rsidR="00F7487B" w:rsidRDefault="00F7487B" w:rsidP="007802C4">
      <w:pPr>
        <w:pStyle w:val="FootnoteText"/>
        <w:ind w:left="180" w:hanging="180"/>
      </w:pPr>
      <w:r>
        <w:rPr>
          <w:rStyle w:val="FootnoteReference"/>
        </w:rPr>
        <w:footnoteRef/>
      </w:r>
      <w:r>
        <w:t xml:space="preserve"> </w:t>
      </w:r>
      <w:r w:rsidRPr="00085F3A">
        <w:t xml:space="preserve">Roth, D. L., Fredman, L., &amp; Haley, W. E. (2015, Special Issue). Informal caregiving and its impact on health: A reappraisal from population-based studies. </w:t>
      </w:r>
      <w:r>
        <w:t xml:space="preserve"> </w:t>
      </w:r>
      <w:r w:rsidRPr="00085F3A">
        <w:rPr>
          <w:i/>
          <w:iCs/>
        </w:rPr>
        <w:t xml:space="preserve">The Gerontologist, 55, </w:t>
      </w:r>
      <w:r w:rsidRPr="00085F3A">
        <w:t>309-319. doi:10/1093/geront/gnu177</w:t>
      </w:r>
    </w:p>
  </w:footnote>
  <w:footnote w:id="82">
    <w:p w14:paraId="402EEB62" w14:textId="5E42ED06" w:rsidR="00F7487B" w:rsidRPr="0090625D" w:rsidRDefault="00F7487B" w:rsidP="007802C4">
      <w:pPr>
        <w:pStyle w:val="FootnoteText"/>
        <w:ind w:left="180" w:hanging="180"/>
        <w:rPr>
          <w:lang w:val="fr-FR"/>
        </w:rPr>
      </w:pPr>
      <w:r w:rsidRPr="00EE2A50">
        <w:rPr>
          <w:rStyle w:val="FootnoteReference"/>
        </w:rPr>
        <w:footnoteRef/>
      </w:r>
      <w:r w:rsidRPr="00EE2A50">
        <w:t xml:space="preserve"> </w:t>
      </w:r>
      <w:r w:rsidRPr="00DF339E">
        <w:t>2017 National</w:t>
      </w:r>
      <w:r w:rsidRPr="00EE2A50">
        <w:t xml:space="preserve"> Survey of Older Americans Act Participants. </w:t>
      </w:r>
      <w:hyperlink r:id="rId32" w:history="1">
        <w:r w:rsidRPr="0090625D">
          <w:rPr>
            <w:rStyle w:val="Hyperlink"/>
            <w:lang w:val="fr-FR"/>
          </w:rPr>
          <w:t>http://www.agid.acl.gov</w:t>
        </w:r>
      </w:hyperlink>
      <w:r w:rsidRPr="0090625D">
        <w:rPr>
          <w:lang w:val="fr-FR"/>
        </w:rPr>
        <w:t xml:space="preserve"> </w:t>
      </w:r>
    </w:p>
  </w:footnote>
  <w:footnote w:id="83">
    <w:p w14:paraId="652966FC" w14:textId="25C83312" w:rsidR="00F7487B" w:rsidRPr="002F423E" w:rsidRDefault="00F7487B" w:rsidP="00C63CE8">
      <w:pPr>
        <w:pStyle w:val="FootnoteText"/>
        <w:ind w:left="180" w:hanging="180"/>
      </w:pPr>
      <w:r w:rsidRPr="00EE2A50">
        <w:rPr>
          <w:rStyle w:val="FootnoteReference"/>
        </w:rPr>
        <w:footnoteRef/>
      </w:r>
      <w:r w:rsidRPr="0090625D">
        <w:rPr>
          <w:lang w:val="fr-FR"/>
        </w:rPr>
        <w:t xml:space="preserve"> U.S. Census Bureau. Population Division. </w:t>
      </w:r>
      <w:r>
        <w:rPr>
          <w:lang w:val="fr-FR"/>
        </w:rPr>
        <w:t xml:space="preserve"> </w:t>
      </w:r>
      <w:r>
        <w:t xml:space="preserve">Annual Estimates of the Resident Population for Selected Age Groups by Sex for the United States, States, Counties, and Puerto Rico Commonwealth and Municipios: April 1, 2010 to July 1, 2017. Release Date: June 2018. Accessed May 1, 2019. </w:t>
      </w:r>
      <w:r w:rsidRPr="00962AD0">
        <w:t>U.S. Census Bureau, “2017 National Population Projections,” Table 3. Projected 5-Year Age Groups and Sex Composition of the Population for the United States:  2017 to 2060</w:t>
      </w:r>
      <w:r>
        <w:t xml:space="preserve">.   </w:t>
      </w:r>
      <w:r w:rsidRPr="00962AD0">
        <w:t xml:space="preserve">Original Release Date: March 2018, Revised Release Date: September 2018. </w:t>
      </w:r>
      <w:hyperlink r:id="rId33" w:history="1">
        <w:r w:rsidRPr="0040284E">
          <w:rPr>
            <w:rStyle w:val="Hyperlink"/>
          </w:rPr>
          <w:t>https://www.census.gov/data/tables/2017/demo/popproj/2017-summary-tables.html. Accessed May 1</w:t>
        </w:r>
      </w:hyperlink>
      <w:r>
        <w:t xml:space="preserve">, 2019 and </w:t>
      </w:r>
      <w:r w:rsidRPr="00962AD0">
        <w:t xml:space="preserve">Centers for Medicare &amp; Medicaid Services, ACL analysis of 2015 Medicare Current Beneficiary Survey. https://www.cms.gov/Research-Statistics-Data-and-Systems/Research/MCBS/. Accessed </w:t>
      </w:r>
      <w:r>
        <w:t xml:space="preserve">May 1, 2019. </w:t>
      </w:r>
    </w:p>
  </w:footnote>
  <w:footnote w:id="84">
    <w:p w14:paraId="0060B02F" w14:textId="079701B3" w:rsidR="00F7487B" w:rsidRDefault="00F7487B" w:rsidP="007802C4">
      <w:pPr>
        <w:pStyle w:val="FootnoteText"/>
        <w:ind w:left="180" w:hanging="180"/>
      </w:pPr>
      <w:r w:rsidRPr="00DF339E">
        <w:rPr>
          <w:rStyle w:val="FootnoteReference"/>
        </w:rPr>
        <w:footnoteRef/>
      </w:r>
      <w:r w:rsidRPr="00DF339E">
        <w:t xml:space="preserve"> AoA’s FY 201</w:t>
      </w:r>
      <w:r>
        <w:t>7 State Program Report</w:t>
      </w:r>
      <w:r w:rsidRPr="00155D0B">
        <w:t>.</w:t>
      </w:r>
    </w:p>
  </w:footnote>
  <w:footnote w:id="85">
    <w:p w14:paraId="5FBAAD9B" w14:textId="4728D890" w:rsidR="00F7487B" w:rsidRPr="00155D0B" w:rsidRDefault="00F7487B" w:rsidP="007802C4">
      <w:pPr>
        <w:pStyle w:val="FootnoteText"/>
        <w:ind w:left="180" w:hanging="180"/>
        <w:jc w:val="both"/>
      </w:pPr>
      <w:r w:rsidRPr="00155D0B">
        <w:rPr>
          <w:rStyle w:val="FootnoteReference"/>
        </w:rPr>
        <w:footnoteRef/>
      </w:r>
      <w:r>
        <w:t xml:space="preserve"> </w:t>
      </w:r>
      <w:r w:rsidRPr="00DF339E">
        <w:t>201</w:t>
      </w:r>
      <w:r>
        <w:t>8</w:t>
      </w:r>
      <w:r w:rsidRPr="00DF339E">
        <w:t xml:space="preserve"> National Survey</w:t>
      </w:r>
      <w:r w:rsidRPr="00155D0B">
        <w:t xml:space="preserve"> of Older Americans Act Participants</w:t>
      </w:r>
      <w:r>
        <w:t xml:space="preserve">. </w:t>
      </w:r>
      <w:hyperlink r:id="rId34" w:history="1">
        <w:r w:rsidRPr="00155D0B">
          <w:rPr>
            <w:rStyle w:val="Hyperlink"/>
          </w:rPr>
          <w:t>http://www.agid.acl.gov</w:t>
        </w:r>
      </w:hyperlink>
      <w:r w:rsidRPr="00155D0B">
        <w:t>.</w:t>
      </w:r>
    </w:p>
  </w:footnote>
  <w:footnote w:id="86">
    <w:p w14:paraId="17A307E2" w14:textId="0508F06C" w:rsidR="00F7487B" w:rsidRDefault="00F7487B" w:rsidP="007802C4">
      <w:pPr>
        <w:pStyle w:val="FootnoteText"/>
        <w:ind w:left="180" w:hanging="180"/>
      </w:pPr>
      <w:r>
        <w:rPr>
          <w:rStyle w:val="FootnoteReference"/>
        </w:rPr>
        <w:footnoteRef/>
      </w:r>
      <w:r>
        <w:t xml:space="preserve"> </w:t>
      </w:r>
      <w:r w:rsidRPr="00773AAA">
        <w:t>Center on Aging Society</w:t>
      </w:r>
      <w:r>
        <w:t xml:space="preserve">. </w:t>
      </w:r>
      <w:r w:rsidRPr="00773AAA">
        <w:t>(2005)  How Do Family Caregivers Fare? A Cl</w:t>
      </w:r>
      <w:r>
        <w:t xml:space="preserve">oser Look at Their Experiences. </w:t>
      </w:r>
      <w:r w:rsidRPr="00773AAA">
        <w:t>(Data Profile, Number 3)</w:t>
      </w:r>
      <w:r>
        <w:t xml:space="preserve">. </w:t>
      </w:r>
      <w:r w:rsidRPr="00773AAA">
        <w:t>Washington, DC:  Georgetown University.</w:t>
      </w:r>
    </w:p>
  </w:footnote>
  <w:footnote w:id="87">
    <w:p w14:paraId="6472165B" w14:textId="07CDB598" w:rsidR="00F7487B" w:rsidRDefault="00F7487B" w:rsidP="007802C4">
      <w:pPr>
        <w:pStyle w:val="FootnoteText"/>
        <w:ind w:left="180" w:hanging="180"/>
      </w:pPr>
      <w:r>
        <w:rPr>
          <w:rStyle w:val="FootnoteReference"/>
        </w:rPr>
        <w:footnoteRef/>
      </w:r>
      <w:r>
        <w:t xml:space="preserve"> Research Report: </w:t>
      </w:r>
      <w:r w:rsidRPr="00EE2A50">
        <w:t>Caregiving in the U.S.</w:t>
      </w:r>
      <w:r>
        <w:t xml:space="preserve"> 2015- </w:t>
      </w:r>
      <w:r w:rsidRPr="00EE2A50">
        <w:t xml:space="preserve"> A Focused Look at </w:t>
      </w:r>
      <w:r>
        <w:t>Caregivers of Adults</w:t>
      </w:r>
      <w:r w:rsidRPr="00EE2A50">
        <w:t xml:space="preserve"> Age 50</w:t>
      </w:r>
      <w:r>
        <w:t xml:space="preserve">+. </w:t>
      </w:r>
      <w:r w:rsidRPr="00EE2A50">
        <w:t>National Alliance for Caregiving</w:t>
      </w:r>
      <w:r>
        <w:t xml:space="preserve"> and AARP Public Policy Institute</w:t>
      </w:r>
      <w:r w:rsidRPr="00EE2A50">
        <w:t xml:space="preserve">. </w:t>
      </w:r>
      <w:r>
        <w:t>June 2015</w:t>
      </w:r>
      <w:r w:rsidRPr="00EE2A50">
        <w:t>.</w:t>
      </w:r>
      <w:r w:rsidRPr="003755C1">
        <w:t xml:space="preserve"> </w:t>
      </w:r>
      <w:hyperlink r:id="rId35" w:history="1">
        <w:r w:rsidRPr="0042216B">
          <w:rPr>
            <w:rStyle w:val="Hyperlink"/>
          </w:rPr>
          <w:t>http://www.caregiving.org/wp-content/uploads/2015/05/2015_CaregivingintheUS_Care-Recipients-Over-50_WEB.pdf</w:t>
        </w:r>
      </w:hyperlink>
      <w:r>
        <w:t xml:space="preserve">. </w:t>
      </w:r>
    </w:p>
  </w:footnote>
  <w:footnote w:id="88">
    <w:p w14:paraId="07D0962D" w14:textId="42FC061F" w:rsidR="00F7487B" w:rsidRDefault="00F7487B" w:rsidP="007802C4">
      <w:pPr>
        <w:pStyle w:val="FootnoteText"/>
        <w:ind w:left="180" w:hanging="180"/>
      </w:pPr>
      <w:r>
        <w:rPr>
          <w:rStyle w:val="FootnoteReference"/>
        </w:rPr>
        <w:footnoteRef/>
      </w:r>
      <w:r>
        <w:t xml:space="preserve"> </w:t>
      </w:r>
      <w:r w:rsidRPr="00DF339E">
        <w:t>201</w:t>
      </w:r>
      <w:r>
        <w:t>8</w:t>
      </w:r>
      <w:r w:rsidRPr="00DF339E">
        <w:t xml:space="preserve"> National</w:t>
      </w:r>
      <w:r w:rsidRPr="004370C9">
        <w:t xml:space="preserve"> Survey of Older Americans Act participants.</w:t>
      </w:r>
      <w:r w:rsidRPr="001361A9">
        <w:rPr>
          <w:rStyle w:val="FootnoteTextChar"/>
        </w:rPr>
        <w:t xml:space="preserve"> </w:t>
      </w:r>
      <w:hyperlink r:id="rId36" w:history="1">
        <w:r w:rsidRPr="00155D0B">
          <w:rPr>
            <w:rStyle w:val="Hyperlink"/>
          </w:rPr>
          <w:t>http://www.agid.acl.gov</w:t>
        </w:r>
      </w:hyperlink>
      <w:r w:rsidRPr="00155D0B">
        <w:t>.</w:t>
      </w:r>
    </w:p>
  </w:footnote>
  <w:footnote w:id="89">
    <w:p w14:paraId="681DEC26" w14:textId="77777777" w:rsidR="00F7487B" w:rsidRDefault="00F7487B" w:rsidP="00D72CC5">
      <w:pPr>
        <w:pStyle w:val="FootnoteText"/>
        <w:ind w:left="180" w:hanging="180"/>
      </w:pPr>
      <w:r>
        <w:rPr>
          <w:rStyle w:val="FootnoteReference"/>
        </w:rPr>
        <w:footnoteRef/>
      </w:r>
      <w:r>
        <w:t xml:space="preserve"> </w:t>
      </w:r>
      <w:r w:rsidRPr="00514FC2">
        <w:t xml:space="preserve">Mittelman, M., Ferris, S., Shulman, E., Steinberg, G., Levin, B. (1996). A family intervention to delay nursing home placement of patients with </w:t>
      </w:r>
      <w:r>
        <w:t>A</w:t>
      </w:r>
      <w:r w:rsidRPr="00514FC2">
        <w:t xml:space="preserve">lzheimer's disease - A randomized controlled trial. </w:t>
      </w:r>
      <w:r w:rsidRPr="00514FC2">
        <w:rPr>
          <w:i/>
          <w:iCs/>
        </w:rPr>
        <w:t>The Journal of the American Association</w:t>
      </w:r>
      <w:r w:rsidRPr="00514FC2">
        <w:t>, 276(21), 1725-1731.</w:t>
      </w:r>
    </w:p>
  </w:footnote>
  <w:footnote w:id="90">
    <w:p w14:paraId="5EF969A9" w14:textId="5983B784" w:rsidR="00F7487B" w:rsidRPr="0090625D" w:rsidRDefault="00F7487B">
      <w:pPr>
        <w:pStyle w:val="FootnoteText"/>
        <w:rPr>
          <w:lang w:val="es-ES"/>
        </w:rPr>
      </w:pPr>
      <w:r>
        <w:rPr>
          <w:rStyle w:val="FootnoteReference"/>
        </w:rPr>
        <w:footnoteRef/>
      </w:r>
      <w:r>
        <w:t xml:space="preserve"> </w:t>
      </w:r>
      <w:r w:rsidRPr="00DF339E">
        <w:t>201</w:t>
      </w:r>
      <w:r>
        <w:t>8</w:t>
      </w:r>
      <w:r w:rsidRPr="00DF339E">
        <w:t xml:space="preserve"> National Survey of Older Americans Act Participants. </w:t>
      </w:r>
      <w:hyperlink r:id="rId37" w:history="1">
        <w:r w:rsidRPr="0090625D">
          <w:rPr>
            <w:rStyle w:val="Hyperlink"/>
            <w:lang w:val="es-ES"/>
          </w:rPr>
          <w:t>http://www.agid.acl.gov</w:t>
        </w:r>
      </w:hyperlink>
    </w:p>
  </w:footnote>
  <w:footnote w:id="91">
    <w:p w14:paraId="21575BE7" w14:textId="77777777" w:rsidR="00F7487B" w:rsidRPr="0090625D" w:rsidRDefault="00F7487B">
      <w:pPr>
        <w:pStyle w:val="FootnoteText"/>
        <w:rPr>
          <w:lang w:val="es-ES"/>
        </w:rPr>
      </w:pPr>
      <w:r w:rsidRPr="00DF339E">
        <w:rPr>
          <w:rStyle w:val="FootnoteReference"/>
        </w:rPr>
        <w:footnoteRef/>
      </w:r>
      <w:r w:rsidRPr="0090625D">
        <w:rPr>
          <w:lang w:val="es-ES"/>
        </w:rPr>
        <w:t xml:space="preserve"> </w:t>
      </w:r>
      <w:r w:rsidRPr="0090625D">
        <w:rPr>
          <w:i/>
          <w:lang w:val="es-ES"/>
        </w:rPr>
        <w:t>Ibid.</w:t>
      </w:r>
    </w:p>
  </w:footnote>
  <w:footnote w:id="92">
    <w:p w14:paraId="2F6D68C9" w14:textId="376FCA44" w:rsidR="00F7487B" w:rsidRPr="0090625D" w:rsidRDefault="00F7487B" w:rsidP="00D14E07">
      <w:pPr>
        <w:pStyle w:val="CommentText"/>
        <w:rPr>
          <w:lang w:val="es-ES"/>
        </w:rPr>
      </w:pPr>
      <w:r>
        <w:rPr>
          <w:rStyle w:val="FootnoteReference"/>
        </w:rPr>
        <w:footnoteRef/>
      </w:r>
      <w:r w:rsidRPr="0090625D">
        <w:rPr>
          <w:lang w:val="es-ES"/>
        </w:rPr>
        <w:t xml:space="preserve"> </w:t>
      </w:r>
      <w:hyperlink r:id="rId38" w:history="1">
        <w:r w:rsidRPr="0090625D">
          <w:rPr>
            <w:rStyle w:val="Hyperlink"/>
            <w:lang w:val="es-ES"/>
          </w:rPr>
          <w:t>https://aspe.hhs.gov/national-plan-address-alzheimers-disease-2015-update</w:t>
        </w:r>
      </w:hyperlink>
      <w:r w:rsidRPr="0090625D">
        <w:rPr>
          <w:rStyle w:val="Hyperlink"/>
          <w:lang w:val="es-ES"/>
        </w:rPr>
        <w:t>.</w:t>
      </w:r>
    </w:p>
    <w:p w14:paraId="1359C5E2" w14:textId="77777777" w:rsidR="00F7487B" w:rsidRPr="0090625D" w:rsidRDefault="00F7487B">
      <w:pPr>
        <w:pStyle w:val="FootnoteText"/>
        <w:rPr>
          <w:lang w:val="es-ES"/>
        </w:rPr>
      </w:pPr>
    </w:p>
  </w:footnote>
  <w:footnote w:id="93">
    <w:p w14:paraId="113BD2FE" w14:textId="0094A213" w:rsidR="00F7487B" w:rsidRDefault="00F7487B" w:rsidP="00EE2E69">
      <w:pPr>
        <w:pStyle w:val="FootnoteText"/>
        <w:ind w:left="270" w:hanging="270"/>
      </w:pPr>
      <w:r w:rsidRPr="008B41EF">
        <w:rPr>
          <w:rStyle w:val="FootnoteReference"/>
        </w:rPr>
        <w:footnoteRef/>
      </w:r>
      <w:r>
        <w:t xml:space="preserve"> </w:t>
      </w:r>
      <w:r w:rsidRPr="005B1F0A">
        <w:t>U.S. Cens</w:t>
      </w:r>
      <w:r>
        <w:t xml:space="preserve">us Bureau, Population Division, Annual Estimates of the Resident Population by Sex, Single Year of Age, Race Alone or in Combination, and Hispanic Origin for the United States: April 1, 2010 to July 1, 2017 </w:t>
      </w:r>
      <w:r w:rsidRPr="005B1F0A">
        <w:t>Released June 201</w:t>
      </w:r>
      <w:r>
        <w:t>8</w:t>
      </w:r>
      <w:r w:rsidRPr="005B1F0A">
        <w:t>, acc</w:t>
      </w:r>
      <w:r>
        <w:t>essed March 2019.</w:t>
      </w:r>
    </w:p>
  </w:footnote>
  <w:footnote w:id="94">
    <w:p w14:paraId="3F1A01B0" w14:textId="62636323" w:rsidR="00F7487B" w:rsidRDefault="00F7487B" w:rsidP="00EE2E69">
      <w:pPr>
        <w:pStyle w:val="FootnoteText"/>
        <w:ind w:left="270" w:hanging="270"/>
      </w:pPr>
      <w:r w:rsidRPr="008B41EF">
        <w:rPr>
          <w:rStyle w:val="FootnoteReference"/>
        </w:rPr>
        <w:footnoteRef/>
      </w:r>
      <w:r w:rsidRPr="0090625D">
        <w:rPr>
          <w:lang w:val="fr-FR"/>
        </w:rPr>
        <w:t xml:space="preserve"> U.S. Census Bureau, Population Division. </w:t>
      </w:r>
      <w:r w:rsidRPr="005C1339">
        <w:t>Annual Estimates of the Resident Population by Sex, Single Year of Age, Race, and Hispanic Origin for the United States: April 1, 2010 to July 1, 201</w:t>
      </w:r>
      <w:r>
        <w:t xml:space="preserve">7. Released June 2018. Accessed March 2019. </w:t>
      </w:r>
    </w:p>
  </w:footnote>
  <w:footnote w:id="95">
    <w:p w14:paraId="7A6B2AF5" w14:textId="77777777" w:rsidR="00F7487B" w:rsidRDefault="00F7487B" w:rsidP="00EE2E69">
      <w:pPr>
        <w:pStyle w:val="FootnoteText"/>
        <w:ind w:left="270" w:hanging="270"/>
      </w:pPr>
      <w:r>
        <w:rPr>
          <w:rStyle w:val="FootnoteReference"/>
        </w:rPr>
        <w:footnoteRef/>
      </w:r>
      <w:r>
        <w:t xml:space="preserve"> </w:t>
      </w:r>
      <w:r w:rsidRPr="00A227A6">
        <w:t>Administration on Aging, U.S. Population by Age: 65+ Minority Population Comparison using Census 2000 and Census 2010 (July 1, 2011).</w:t>
      </w:r>
    </w:p>
  </w:footnote>
  <w:footnote w:id="96">
    <w:p w14:paraId="7C5BEB6B" w14:textId="77777777" w:rsidR="00F7487B" w:rsidRDefault="00F7487B" w:rsidP="00EE2E69">
      <w:pPr>
        <w:pStyle w:val="FootnoteText"/>
        <w:ind w:left="270" w:hanging="270"/>
      </w:pPr>
      <w:r>
        <w:rPr>
          <w:rStyle w:val="FootnoteReference"/>
        </w:rPr>
        <w:footnoteRef/>
      </w:r>
      <w:r>
        <w:t xml:space="preserve"> </w:t>
      </w:r>
      <w:r w:rsidRPr="00A227A6">
        <w:t>National Council on Disability, “Understanding Disabilities in American Indian and Alaska Native Communities: Toolkit Guide” (2003).</w:t>
      </w:r>
    </w:p>
  </w:footnote>
  <w:footnote w:id="97">
    <w:p w14:paraId="6D634FCB" w14:textId="77777777" w:rsidR="00F7487B" w:rsidRDefault="00F7487B" w:rsidP="00EE2E69">
      <w:pPr>
        <w:pStyle w:val="FootnoteText"/>
        <w:ind w:left="270" w:hanging="270"/>
      </w:pPr>
      <w:r>
        <w:rPr>
          <w:rStyle w:val="FootnoteReference"/>
        </w:rPr>
        <w:footnoteRef/>
      </w:r>
      <w:r>
        <w:t xml:space="preserve"> </w:t>
      </w:r>
      <w:r w:rsidRPr="00A227A6">
        <w:t>Centers for Disease Control and Prevention, “CDC Health Disparities and Inequalities Report – United States” (2013).</w:t>
      </w:r>
    </w:p>
  </w:footnote>
  <w:footnote w:id="98">
    <w:p w14:paraId="4D597100" w14:textId="19DF1CAB" w:rsidR="00F7487B" w:rsidRDefault="00F7487B" w:rsidP="00EE2E69">
      <w:pPr>
        <w:pStyle w:val="FootnoteText"/>
        <w:ind w:left="270" w:hanging="270"/>
      </w:pPr>
      <w:r w:rsidRPr="00415F60">
        <w:rPr>
          <w:rStyle w:val="FootnoteReference"/>
        </w:rPr>
        <w:footnoteRef/>
      </w:r>
      <w:r w:rsidRPr="00415F60">
        <w:t xml:space="preserve"> </w:t>
      </w:r>
      <w:r>
        <w:t>ACL’s OAA Title VI</w:t>
      </w:r>
      <w:r w:rsidRPr="00D75E8B">
        <w:t xml:space="preserve"> Program </w:t>
      </w:r>
      <w:r>
        <w:t xml:space="preserve">Performance </w:t>
      </w:r>
      <w:r w:rsidRPr="00D75E8B">
        <w:t>Report</w:t>
      </w:r>
      <w:r>
        <w:t xml:space="preserve">, PY 2017. </w:t>
      </w:r>
      <w:r w:rsidRPr="00415F60">
        <w:t>Title VI of the Older Americans Act permits tribes to establish age of eligibility for services below age 60</w:t>
      </w:r>
      <w:r>
        <w:t xml:space="preserve">. Calculation based on eligible </w:t>
      </w:r>
      <w:r w:rsidRPr="00415F60">
        <w:t>population as reported in grantee applications</w:t>
      </w:r>
      <w:r>
        <w:t xml:space="preserve"> </w:t>
      </w:r>
    </w:p>
  </w:footnote>
  <w:footnote w:id="99">
    <w:p w14:paraId="72ABC8D5" w14:textId="1F5B95A1" w:rsidR="00F7487B" w:rsidRDefault="00F7487B" w:rsidP="00EE2E69">
      <w:pPr>
        <w:pStyle w:val="FootnoteText"/>
      </w:pPr>
      <w:r>
        <w:rPr>
          <w:rStyle w:val="FootnoteReference"/>
        </w:rPr>
        <w:footnoteRef/>
      </w:r>
      <w:r>
        <w:t xml:space="preserve"> ACL’s OAA Title VI</w:t>
      </w:r>
      <w:r w:rsidRPr="00D75E8B">
        <w:t xml:space="preserve"> Program </w:t>
      </w:r>
      <w:r>
        <w:t xml:space="preserve">Performance </w:t>
      </w:r>
      <w:r w:rsidRPr="00D75E8B">
        <w:t>Report</w:t>
      </w:r>
      <w:r>
        <w:t>, PY 2017</w:t>
      </w:r>
    </w:p>
  </w:footnote>
  <w:footnote w:id="100">
    <w:p w14:paraId="434491C8" w14:textId="77777777" w:rsidR="00F7487B" w:rsidRDefault="00F7487B" w:rsidP="00EE2E69">
      <w:pPr>
        <w:pStyle w:val="FootnoteText"/>
      </w:pPr>
      <w:r>
        <w:rPr>
          <w:rStyle w:val="FootnoteReference"/>
        </w:rPr>
        <w:footnoteRef/>
      </w:r>
      <w:r>
        <w:t xml:space="preserve"> Ibid.</w:t>
      </w:r>
    </w:p>
  </w:footnote>
  <w:footnote w:id="101">
    <w:p w14:paraId="38998FFB" w14:textId="77777777" w:rsidR="00F7487B" w:rsidRDefault="00F7487B" w:rsidP="00EE2E69">
      <w:pPr>
        <w:pStyle w:val="FootnoteText"/>
      </w:pPr>
      <w:r>
        <w:rPr>
          <w:rStyle w:val="FootnoteReference"/>
        </w:rPr>
        <w:footnoteRef/>
      </w:r>
      <w:r>
        <w:t xml:space="preserve"> Ibid.</w:t>
      </w:r>
    </w:p>
  </w:footnote>
  <w:footnote w:id="102">
    <w:p w14:paraId="7635605B" w14:textId="77777777" w:rsidR="00F7487B" w:rsidRDefault="00F7487B" w:rsidP="00EE2E69">
      <w:pPr>
        <w:pStyle w:val="FootnoteText"/>
      </w:pPr>
      <w:r>
        <w:rPr>
          <w:rStyle w:val="FootnoteReference"/>
        </w:rPr>
        <w:footnoteRef/>
      </w:r>
      <w:r>
        <w:t xml:space="preserve"> Ibid</w:t>
      </w:r>
    </w:p>
  </w:footnote>
  <w:footnote w:id="103">
    <w:p w14:paraId="43462BC3" w14:textId="77777777" w:rsidR="00F7487B" w:rsidRDefault="00F7487B">
      <w:pPr>
        <w:pStyle w:val="FootnoteText"/>
      </w:pPr>
      <w:r>
        <w:rPr>
          <w:rStyle w:val="FootnoteReference"/>
        </w:rPr>
        <w:footnoteRef/>
      </w:r>
      <w:r>
        <w:t xml:space="preserve"> Ibid.</w:t>
      </w:r>
    </w:p>
  </w:footnote>
  <w:footnote w:id="104">
    <w:p w14:paraId="46EB5EE1" w14:textId="56E44CDB" w:rsidR="00F7487B" w:rsidRPr="00BF55A9" w:rsidRDefault="00F7487B" w:rsidP="00C63CE8">
      <w:pPr>
        <w:pStyle w:val="FootnoteText"/>
        <w:ind w:left="180" w:hanging="180"/>
      </w:pPr>
      <w:r>
        <w:rPr>
          <w:rStyle w:val="FootnoteReference"/>
        </w:rPr>
        <w:footnoteRef/>
      </w:r>
      <w:r>
        <w:t xml:space="preserve"> </w:t>
      </w:r>
      <w:r w:rsidRPr="00BF55A9">
        <w:t>Beach SR, Schulz R, Castle NG, Rosen J</w:t>
      </w:r>
      <w:r>
        <w:t xml:space="preserve">. </w:t>
      </w:r>
      <w:r w:rsidRPr="00BF55A9">
        <w:t>Financial Exploitation and Psychological Mistreatment Among Older Adults: Differences Between African Americans and Non-African Americans in a Population-Based Survey</w:t>
      </w:r>
      <w:r>
        <w:t xml:space="preserve">. </w:t>
      </w:r>
      <w:r w:rsidRPr="00BF55A9">
        <w:t>Gerontologist 2010.</w:t>
      </w:r>
    </w:p>
    <w:p w14:paraId="4EA3A705" w14:textId="3EB56018" w:rsidR="00F7487B" w:rsidRDefault="00F7487B" w:rsidP="00C63CE8">
      <w:pPr>
        <w:pStyle w:val="FootnoteText"/>
        <w:ind w:left="180" w:hanging="180"/>
      </w:pPr>
      <w:r w:rsidRPr="00BF55A9">
        <w:t xml:space="preserve">  Acierno R, Hernandez MA, Amstadter AB, Resnick HS, Steve K, Muzzy W et al</w:t>
      </w:r>
      <w:r>
        <w:t xml:space="preserve">. </w:t>
      </w:r>
      <w:r w:rsidRPr="00BF55A9">
        <w:t>Prevalence and Correlates of Emotional, Physical, Sexual, and Financial Abuse and Potential Neglect in the United States: The National Elder Mistreatment Study</w:t>
      </w:r>
      <w:r>
        <w:t xml:space="preserve">. </w:t>
      </w:r>
      <w:r w:rsidRPr="00BF55A9">
        <w:t>American Journal of Public Health 2010; 100(2):292-297.</w:t>
      </w:r>
    </w:p>
  </w:footnote>
  <w:footnote w:id="105">
    <w:p w14:paraId="774B3704" w14:textId="77777777" w:rsidR="00F7487B" w:rsidRDefault="00F7487B" w:rsidP="00C63CE8">
      <w:pPr>
        <w:pStyle w:val="FootnoteText"/>
        <w:ind w:left="180" w:hanging="180"/>
      </w:pPr>
      <w:r>
        <w:rPr>
          <w:rStyle w:val="FootnoteReference"/>
        </w:rPr>
        <w:footnoteRef/>
      </w:r>
      <w:r>
        <w:t xml:space="preserve"> Teaster, Pamela, et al. </w:t>
      </w:r>
      <w:r>
        <w:rPr>
          <w:i/>
        </w:rPr>
        <w:t>The 2004 Survey of State Adult Protective Services: Abuse of Adults 60 Years of Age and Older</w:t>
      </w:r>
      <w:r>
        <w:t xml:space="preserve">. </w:t>
      </w:r>
      <w:hyperlink r:id="rId39" w:history="1">
        <w:r w:rsidRPr="00911602">
          <w:rPr>
            <w:rStyle w:val="Hyperlink"/>
          </w:rPr>
          <w:t>https://ncea.acl.gov/resources/docs/archive/2004-Survey-St-Audit-APS-Abuse-18plus-2007.pdf</w:t>
        </w:r>
      </w:hyperlink>
      <w:r>
        <w:t xml:space="preserve">. Accessed January 25, 2019. </w:t>
      </w:r>
    </w:p>
  </w:footnote>
  <w:footnote w:id="106">
    <w:p w14:paraId="1B8A8A3E" w14:textId="23C07B99" w:rsidR="00F7487B" w:rsidRDefault="00F7487B" w:rsidP="00C63CE8">
      <w:pPr>
        <w:pStyle w:val="FootnoteText"/>
        <w:ind w:left="180" w:hanging="180"/>
      </w:pPr>
      <w:r>
        <w:rPr>
          <w:rStyle w:val="FootnoteReference"/>
        </w:rPr>
        <w:footnoteRef/>
      </w:r>
      <w:r>
        <w:t xml:space="preserve"> </w:t>
      </w:r>
      <w:r w:rsidRPr="00BF55A9">
        <w:t>National Research Council</w:t>
      </w:r>
      <w:r>
        <w:t xml:space="preserve">. </w:t>
      </w:r>
      <w:r w:rsidRPr="00BF55A9">
        <w:t>Elder Mistreatment: Abuse, neglect and exploitation in an Aging America</w:t>
      </w:r>
      <w:r>
        <w:t xml:space="preserve">. </w:t>
      </w:r>
      <w:r w:rsidRPr="00BF55A9">
        <w:t>Washington, D.C.: The National Academies Press, 2003.</w:t>
      </w:r>
    </w:p>
  </w:footnote>
  <w:footnote w:id="107">
    <w:p w14:paraId="2CE634AE" w14:textId="38200436" w:rsidR="00F7487B" w:rsidRPr="00BF55A9" w:rsidRDefault="00F7487B" w:rsidP="00C63CE8">
      <w:pPr>
        <w:pStyle w:val="FootnoteText"/>
        <w:ind w:left="180" w:hanging="180"/>
      </w:pPr>
      <w:r w:rsidRPr="00BF55A9">
        <w:rPr>
          <w:rStyle w:val="FootnoteReference"/>
          <w:rFonts w:eastAsia="Calibri"/>
        </w:rPr>
        <w:footnoteRef/>
      </w:r>
      <w:r w:rsidRPr="00BF55A9">
        <w:t xml:space="preserve"> Lachs, M.S., Williams, C.S., O'Brien, S., Pillemer, K.A., &amp; Charlson, M.E</w:t>
      </w:r>
      <w:r>
        <w:t xml:space="preserve">. </w:t>
      </w:r>
      <w:r w:rsidRPr="00BF55A9">
        <w:t>(1998)</w:t>
      </w:r>
      <w:r>
        <w:t xml:space="preserve">. </w:t>
      </w:r>
      <w:r w:rsidRPr="00BF55A9">
        <w:t>“The Mortality of Elder Mistreatment.”  JAMA</w:t>
      </w:r>
      <w:r>
        <w:t xml:space="preserve">. </w:t>
      </w:r>
      <w:r w:rsidRPr="00BF55A9">
        <w:t>280: 428-432.</w:t>
      </w:r>
    </w:p>
  </w:footnote>
  <w:footnote w:id="108">
    <w:p w14:paraId="167FCDFB" w14:textId="2DE19289" w:rsidR="00F7487B" w:rsidRPr="00BF55A9" w:rsidRDefault="00F7487B" w:rsidP="00C63CE8">
      <w:pPr>
        <w:pStyle w:val="FootnoteText"/>
        <w:ind w:left="270" w:hanging="270"/>
      </w:pPr>
      <w:r w:rsidRPr="00BF55A9">
        <w:rPr>
          <w:rStyle w:val="FootnoteReference"/>
          <w:rFonts w:eastAsia="Calibri"/>
        </w:rPr>
        <w:footnoteRef/>
      </w:r>
      <w:r w:rsidRPr="00BF55A9">
        <w:t xml:space="preserve"> Bitondo Dyer C., Pavlik V</w:t>
      </w:r>
      <w:r>
        <w:t xml:space="preserve">. </w:t>
      </w:r>
      <w:r w:rsidRPr="00BF55A9">
        <w:t>N., Murphy K</w:t>
      </w:r>
      <w:r>
        <w:t xml:space="preserve">. </w:t>
      </w:r>
      <w:r w:rsidRPr="00BF55A9">
        <w:t>P., and Hyman D</w:t>
      </w:r>
      <w:r>
        <w:t xml:space="preserve">. </w:t>
      </w:r>
      <w:r w:rsidRPr="00BF55A9">
        <w:t>J</w:t>
      </w:r>
      <w:r>
        <w:t xml:space="preserve">. </w:t>
      </w:r>
      <w:r w:rsidRPr="00BF55A9">
        <w:t>(2000)</w:t>
      </w:r>
      <w:r>
        <w:t xml:space="preserve">. </w:t>
      </w:r>
      <w:r w:rsidRPr="00BF55A9">
        <w:t>“The high prevalence of depression and dementia in elder abuse or neglect.”  Journal of the American Geriatrics Society</w:t>
      </w:r>
      <w:r>
        <w:t xml:space="preserve">. </w:t>
      </w:r>
      <w:r w:rsidRPr="00BF55A9">
        <w:t>48:205-208.</w:t>
      </w:r>
    </w:p>
    <w:p w14:paraId="400DD6B2" w14:textId="66C6DA65" w:rsidR="00F7487B" w:rsidRPr="00BF55A9" w:rsidRDefault="00F7487B" w:rsidP="00C63CE8">
      <w:pPr>
        <w:pStyle w:val="FootnoteText"/>
        <w:ind w:left="270" w:hanging="270"/>
      </w:pPr>
      <w:r w:rsidRPr="00BF55A9">
        <w:t xml:space="preserve">  Burt, M</w:t>
      </w:r>
      <w:r>
        <w:t xml:space="preserve">. </w:t>
      </w:r>
      <w:r w:rsidRPr="00BF55A9">
        <w:t>and Katz, B</w:t>
      </w:r>
      <w:r>
        <w:t xml:space="preserve">. </w:t>
      </w:r>
      <w:r w:rsidRPr="00BF55A9">
        <w:t>“Rape, Robbery, and Burglary: Responses to Actual and Feared Criminal Victimization, with Special Focus on Women and the Elderly,” Victimology: An International Journal 10 (1985): 325-358.</w:t>
      </w:r>
    </w:p>
    <w:p w14:paraId="6DF25390" w14:textId="42B098B8" w:rsidR="00F7487B" w:rsidRPr="00BF55A9" w:rsidRDefault="00F7487B" w:rsidP="00C63CE8">
      <w:pPr>
        <w:pStyle w:val="FootnoteText"/>
        <w:ind w:left="270" w:hanging="270"/>
      </w:pPr>
      <w:r w:rsidRPr="00BF55A9">
        <w:t xml:space="preserve">  Mouton C</w:t>
      </w:r>
      <w:r>
        <w:t xml:space="preserve">. </w:t>
      </w:r>
      <w:r w:rsidRPr="00BF55A9">
        <w:t>P., Espino D</w:t>
      </w:r>
      <w:r>
        <w:t xml:space="preserve">. </w:t>
      </w:r>
      <w:r w:rsidRPr="00BF55A9">
        <w:t>V</w:t>
      </w:r>
      <w:r>
        <w:t>. (</w:t>
      </w:r>
      <w:r w:rsidRPr="00BF55A9">
        <w:t>1999)</w:t>
      </w:r>
      <w:r>
        <w:t xml:space="preserve">. </w:t>
      </w:r>
      <w:r w:rsidRPr="00BF55A9">
        <w:t>“Problem-orientated diagnosis: Health screening in older women.”  American Family Physician</w:t>
      </w:r>
      <w:r>
        <w:t xml:space="preserve">. </w:t>
      </w:r>
      <w:r w:rsidRPr="00BF55A9">
        <w:t>59: 1835.</w:t>
      </w:r>
    </w:p>
    <w:p w14:paraId="047CA08B" w14:textId="0BDF9374" w:rsidR="00F7487B" w:rsidRPr="00BF55A9" w:rsidRDefault="00F7487B" w:rsidP="00C63CE8">
      <w:pPr>
        <w:pStyle w:val="FootnoteText"/>
        <w:ind w:left="270" w:hanging="270"/>
      </w:pPr>
      <w:r w:rsidRPr="00BF55A9">
        <w:t xml:space="preserve">  Fisher, B.S., and Regan, S.L</w:t>
      </w:r>
      <w:r>
        <w:t xml:space="preserve">. </w:t>
      </w:r>
      <w:r w:rsidRPr="00BF55A9">
        <w:t>(2006)</w:t>
      </w:r>
      <w:r>
        <w:t>. “</w:t>
      </w:r>
      <w:r w:rsidRPr="00BF55A9">
        <w:t>The Extent and Frequency of Abuse in the Lives of Older Women and Their Relationship With Health Outcomes.”  The Gerontologist, 46: 200-209.</w:t>
      </w:r>
    </w:p>
    <w:p w14:paraId="3C27B742" w14:textId="554B7D97" w:rsidR="00F7487B" w:rsidRPr="00BF55A9" w:rsidRDefault="00F7487B" w:rsidP="00C63CE8">
      <w:pPr>
        <w:pStyle w:val="FootnoteText"/>
        <w:ind w:left="270" w:hanging="270"/>
      </w:pPr>
      <w:r w:rsidRPr="00BF55A9">
        <w:t xml:space="preserve">  Coker, A., Davis, K., Arias, I</w:t>
      </w:r>
      <w:r>
        <w:t xml:space="preserve">. </w:t>
      </w:r>
      <w:r w:rsidRPr="00BF55A9">
        <w:t>et al</w:t>
      </w:r>
      <w:r>
        <w:t xml:space="preserve">. </w:t>
      </w:r>
      <w:r w:rsidRPr="00BF55A9">
        <w:t>(November 2002)</w:t>
      </w:r>
      <w:r>
        <w:t xml:space="preserve">. </w:t>
      </w:r>
      <w:r w:rsidRPr="00BF55A9">
        <w:t>“Physical and Mental Health Effects of Intimate Partner Violence for Men and Women.”  American Journal of Preventive Medicine</w:t>
      </w:r>
      <w:r>
        <w:t xml:space="preserve">. </w:t>
      </w:r>
      <w:r w:rsidRPr="00BF55A9">
        <w:t>Vol</w:t>
      </w:r>
      <w:r>
        <w:t xml:space="preserve">. </w:t>
      </w:r>
      <w:r w:rsidRPr="00BF55A9">
        <w:t>23 No</w:t>
      </w:r>
      <w:r>
        <w:t xml:space="preserve">. </w:t>
      </w:r>
      <w:r w:rsidRPr="00BF55A9">
        <w:t>4: 260-268.</w:t>
      </w:r>
    </w:p>
    <w:p w14:paraId="5AAE32BF" w14:textId="239F7C83" w:rsidR="00F7487B" w:rsidRPr="00BF55A9" w:rsidRDefault="00F7487B" w:rsidP="00C63CE8">
      <w:pPr>
        <w:pStyle w:val="FootnoteText"/>
        <w:ind w:left="270" w:hanging="270"/>
      </w:pPr>
      <w:r w:rsidRPr="00BF55A9">
        <w:t xml:space="preserve">  Stein, M</w:t>
      </w:r>
      <w:r>
        <w:t xml:space="preserve">. </w:t>
      </w:r>
      <w:r w:rsidRPr="00BF55A9">
        <w:t>&amp; Barrett-Connor, E</w:t>
      </w:r>
      <w:r>
        <w:t xml:space="preserve">. </w:t>
      </w:r>
      <w:r w:rsidRPr="00BF55A9">
        <w:t>(2000)</w:t>
      </w:r>
      <w:r>
        <w:t>. “</w:t>
      </w:r>
      <w:r w:rsidRPr="00BF55A9">
        <w:t>Sexual Assault and Physical Health: Findings from a Population-Based Study of Older Adults.”  Psychosomatic Medicine</w:t>
      </w:r>
      <w:r>
        <w:t xml:space="preserve">. </w:t>
      </w:r>
      <w:r w:rsidRPr="00BF55A9">
        <w:t>Vol</w:t>
      </w:r>
      <w:r>
        <w:t xml:space="preserve">. </w:t>
      </w:r>
      <w:r w:rsidRPr="00BF55A9">
        <w:t>62: 838-843.</w:t>
      </w:r>
    </w:p>
  </w:footnote>
  <w:footnote w:id="109">
    <w:p w14:paraId="67DDA612" w14:textId="77777777" w:rsidR="00F7487B" w:rsidRPr="00BF55A9" w:rsidRDefault="00F7487B" w:rsidP="00C63CE8">
      <w:pPr>
        <w:pStyle w:val="FootnoteText"/>
        <w:ind w:left="270" w:hanging="270"/>
      </w:pPr>
      <w:r w:rsidRPr="00BF55A9">
        <w:rPr>
          <w:rStyle w:val="FootnoteReference"/>
          <w:rFonts w:eastAsia="Calibri"/>
        </w:rPr>
        <w:footnoteRef/>
      </w:r>
      <w:r w:rsidRPr="00BF55A9">
        <w:t xml:space="preserve"> </w:t>
      </w:r>
      <w:r w:rsidRPr="00166E27">
        <w:t>Fulmer, T., Rodgers, R. F., &amp; Pelger, A. (2013). Verbal mistreatment of the elderly. Journal of Elder Abuse &amp; Neglect, 26(4), 351–364; Mouton, C. P., Rodabough, R. J., Rovi, S. L. D., Robert, G., Brzyski, R. J., &amp; Katerndahl, D. A. (2010). Psychosocial effects of physical and mental abuse in post-menopausal women. Annals of Family Medicine, 8, 206–213. doi: 10.1370/afm.1095</w:t>
      </w:r>
    </w:p>
    <w:p w14:paraId="3D38F4D4" w14:textId="00B4525F" w:rsidR="00F7487B" w:rsidRPr="00BF55A9" w:rsidRDefault="00F7487B" w:rsidP="00C63CE8">
      <w:pPr>
        <w:pStyle w:val="FootnoteText"/>
        <w:ind w:left="270" w:hanging="270"/>
      </w:pPr>
      <w:r w:rsidRPr="00BF55A9">
        <w:t xml:space="preserve">  Comijs, H.C., Penninx, B.W.J.H., Knipscheer, K.P.M., &amp; van Tilburg, W</w:t>
      </w:r>
      <w:r>
        <w:t xml:space="preserve">. </w:t>
      </w:r>
      <w:r w:rsidRPr="00BF55A9">
        <w:t>(1999)</w:t>
      </w:r>
      <w:r>
        <w:t>. Psychological</w:t>
      </w:r>
      <w:r w:rsidRPr="00BF55A9">
        <w:t xml:space="preserve"> distress in victims of elder mistreatment: The effects of social support and coping</w:t>
      </w:r>
      <w:r>
        <w:t xml:space="preserve">. </w:t>
      </w:r>
      <w:r w:rsidRPr="00BF55A9">
        <w:t>Journal of Gerontology, 54B (4), P240-P245.</w:t>
      </w:r>
    </w:p>
  </w:footnote>
  <w:footnote w:id="110">
    <w:p w14:paraId="4D153F42" w14:textId="5D655792" w:rsidR="00F7487B" w:rsidRPr="00BF55A9" w:rsidRDefault="00F7487B" w:rsidP="00C63CE8">
      <w:pPr>
        <w:pStyle w:val="FootnoteText"/>
        <w:ind w:left="270" w:hanging="270"/>
      </w:pPr>
      <w:r w:rsidRPr="00BF55A9">
        <w:rPr>
          <w:rStyle w:val="FootnoteReference"/>
          <w:rFonts w:eastAsia="Calibri"/>
        </w:rPr>
        <w:footnoteRef/>
      </w:r>
      <w:r w:rsidRPr="00BF55A9">
        <w:t xml:space="preserve"> Stein, M</w:t>
      </w:r>
      <w:r>
        <w:t xml:space="preserve">. </w:t>
      </w:r>
      <w:r w:rsidRPr="00BF55A9">
        <w:t>&amp; Barrett-Connor, E</w:t>
      </w:r>
      <w:r>
        <w:t xml:space="preserve">. </w:t>
      </w:r>
      <w:r w:rsidRPr="00BF55A9">
        <w:t>(2000)</w:t>
      </w:r>
      <w:r>
        <w:t>. “</w:t>
      </w:r>
      <w:r w:rsidRPr="00BF55A9">
        <w:t>Sexual Assault and Physical Health: Findings From a Population-Based Study of Older Adults.”  Psychosomatic Medicine</w:t>
      </w:r>
      <w:r>
        <w:t xml:space="preserve">. </w:t>
      </w:r>
      <w:r w:rsidRPr="00BF55A9">
        <w:t>Vol</w:t>
      </w:r>
      <w:r>
        <w:t xml:space="preserve">. </w:t>
      </w:r>
      <w:r w:rsidRPr="00BF55A9">
        <w:t>62; p 838-p843.</w:t>
      </w:r>
    </w:p>
  </w:footnote>
  <w:footnote w:id="111">
    <w:p w14:paraId="6E11CA18" w14:textId="77777777" w:rsidR="00F7487B" w:rsidRDefault="00F7487B" w:rsidP="000B38B2">
      <w:pPr>
        <w:pStyle w:val="EndnoteText"/>
      </w:pPr>
      <w:r>
        <w:rPr>
          <w:rStyle w:val="FootnoteReference"/>
        </w:rPr>
        <w:footnoteRef/>
      </w:r>
      <w:r>
        <w:t xml:space="preserve"> Older Americans Act, Section 307(a)(11)(e), 42 United States Code Section 3027(a)(11)(e).</w:t>
      </w:r>
    </w:p>
    <w:p w14:paraId="3B82FCCB" w14:textId="77777777" w:rsidR="00F7487B" w:rsidRDefault="00F7487B" w:rsidP="000B38B2">
      <w:pPr>
        <w:pStyle w:val="FootnoteText"/>
      </w:pPr>
    </w:p>
  </w:footnote>
  <w:footnote w:id="112">
    <w:p w14:paraId="371BB0C3" w14:textId="74161AA1" w:rsidR="00F7487B" w:rsidRDefault="00F7487B" w:rsidP="00C63CE8">
      <w:pPr>
        <w:pStyle w:val="FootnoteText"/>
        <w:ind w:left="270" w:hanging="270"/>
      </w:pPr>
      <w:r>
        <w:rPr>
          <w:rStyle w:val="FootnoteReference"/>
        </w:rPr>
        <w:footnoteRef/>
      </w:r>
      <w:r>
        <w:t xml:space="preserve"> </w:t>
      </w:r>
      <w:r w:rsidRPr="006A2C3A">
        <w:t>This amount reflects Title VII-2 designated as Ombudsman Program Activity funds</w:t>
      </w:r>
      <w:r>
        <w:t xml:space="preserve">.  </w:t>
      </w:r>
      <w:r w:rsidRPr="006A2C3A">
        <w:t xml:space="preserve">States also utilize other </w:t>
      </w:r>
      <w:r w:rsidRPr="00483969">
        <w:t>Older Americans Act and other funding sources to operate the Ombudsman program</w:t>
      </w:r>
      <w:r w:rsidRPr="008249ED">
        <w:t>.</w:t>
      </w:r>
    </w:p>
  </w:footnote>
  <w:footnote w:id="113">
    <w:p w14:paraId="11E8B877" w14:textId="77777777" w:rsidR="00F7487B" w:rsidRDefault="00F7487B" w:rsidP="00C63CE8">
      <w:pPr>
        <w:pStyle w:val="FootnoteText"/>
        <w:ind w:left="180" w:hanging="180"/>
      </w:pPr>
      <w:r>
        <w:rPr>
          <w:rStyle w:val="FootnoteReference"/>
        </w:rPr>
        <w:footnoteRef/>
      </w:r>
      <w:r>
        <w:t xml:space="preserve"> FFY 2017 National Ombudsman Reporting System (NORS) is the source for this and other data in this section. States report NORS data annually to ACL.</w:t>
      </w:r>
    </w:p>
  </w:footnote>
  <w:footnote w:id="114">
    <w:p w14:paraId="27F96774" w14:textId="77777777" w:rsidR="00F7487B" w:rsidRDefault="00F7487B" w:rsidP="00C63CE8">
      <w:pPr>
        <w:pStyle w:val="FootnoteText"/>
        <w:ind w:left="180" w:hanging="180"/>
      </w:pPr>
      <w:r>
        <w:rPr>
          <w:rStyle w:val="FootnoteReference"/>
        </w:rPr>
        <w:footnoteRef/>
      </w:r>
      <w:r>
        <w:t xml:space="preserve"> In FY 2017, ombudsmen opened 131,727 new cases (a case contains one or more complaints originating from the same person(s)), and completed resolution on 128,091 closed cases, containing, 201,460 complaints.</w:t>
      </w:r>
    </w:p>
  </w:footnote>
  <w:footnote w:id="115">
    <w:p w14:paraId="260285CA" w14:textId="0C5C036C" w:rsidR="00F7487B" w:rsidRDefault="00F7487B" w:rsidP="00C63CE8">
      <w:pPr>
        <w:pStyle w:val="FootnoteText"/>
        <w:ind w:left="270" w:hanging="270"/>
      </w:pPr>
      <w:r>
        <w:rPr>
          <w:rStyle w:val="FootnoteReference"/>
        </w:rPr>
        <w:footnoteRef/>
      </w:r>
      <w:r>
        <w:t xml:space="preserve"> </w:t>
      </w:r>
      <w:r w:rsidRPr="006B5B7D">
        <w:t>The Independent Sector places the value of the volunteer time at $24.69 per hour placing the value of 591,363 hours at $14,600,752  https://independentsector.org/value-of-volunteer-time-2018/ Accessed January 9, 2019</w:t>
      </w:r>
    </w:p>
  </w:footnote>
  <w:footnote w:id="116">
    <w:p w14:paraId="1D254FF2" w14:textId="40FBFD75" w:rsidR="00F7487B" w:rsidRPr="00C63CE8" w:rsidRDefault="00F7487B" w:rsidP="00C63CE8">
      <w:pPr>
        <w:ind w:left="180" w:hanging="180"/>
        <w:rPr>
          <w:sz w:val="20"/>
          <w:szCs w:val="20"/>
        </w:rPr>
      </w:pPr>
      <w:r w:rsidRPr="00C63CE8">
        <w:rPr>
          <w:rStyle w:val="FootnoteReference"/>
          <w:sz w:val="20"/>
          <w:szCs w:val="20"/>
        </w:rPr>
        <w:footnoteRef/>
      </w:r>
      <w:r w:rsidRPr="00C63CE8">
        <w:rPr>
          <w:sz w:val="20"/>
          <w:szCs w:val="20"/>
        </w:rPr>
        <w:t xml:space="preserve"> Key Elements of a NWD System of Access to LTSS for All Populations and Payers (</w:t>
      </w:r>
      <w:hyperlink r:id="rId40" w:history="1">
        <w:r w:rsidRPr="00C63CE8">
          <w:rPr>
            <w:rStyle w:val="Hyperlink"/>
            <w:sz w:val="20"/>
            <w:szCs w:val="20"/>
          </w:rPr>
          <w:t>https://nwd.acl.gov/docs/NWD-National-Elements.pdf</w:t>
        </w:r>
      </w:hyperlink>
      <w:r w:rsidRPr="00C63CE8">
        <w:rPr>
          <w:sz w:val="20"/>
          <w:szCs w:val="20"/>
        </w:rPr>
        <w:t xml:space="preserve">), Aging and Disability Resource Centers as defined in the Older Americans Act 2006 </w:t>
      </w:r>
    </w:p>
  </w:footnote>
  <w:footnote w:id="117">
    <w:p w14:paraId="3B78B6AE" w14:textId="77777777" w:rsidR="00F7487B" w:rsidRDefault="00F7487B" w:rsidP="00A068F7">
      <w:pPr>
        <w:pStyle w:val="FootnoteText"/>
      </w:pPr>
      <w:r>
        <w:rPr>
          <w:rStyle w:val="FootnoteReference"/>
        </w:rPr>
        <w:footnoteRef/>
      </w:r>
      <w:r>
        <w:t xml:space="preserve"> </w:t>
      </w:r>
      <w:hyperlink r:id="rId41" w:history="1">
        <w:r w:rsidRPr="000B27D6">
          <w:rPr>
            <w:rStyle w:val="Hyperlink"/>
          </w:rPr>
          <w:t>https://fas.org/sgp/crs/misc/IF10343.pdf</w:t>
        </w:r>
      </w:hyperlink>
      <w:r>
        <w:t xml:space="preserve"> </w:t>
      </w:r>
    </w:p>
  </w:footnote>
  <w:footnote w:id="118">
    <w:p w14:paraId="0AF5E31D" w14:textId="5EC1D302" w:rsidR="00F7487B" w:rsidRDefault="00F7487B">
      <w:pPr>
        <w:pStyle w:val="FootnoteText"/>
      </w:pPr>
      <w:r>
        <w:rPr>
          <w:rStyle w:val="FootnoteReference"/>
        </w:rPr>
        <w:footnoteRef/>
      </w:r>
      <w:r>
        <w:t xml:space="preserve"> </w:t>
      </w:r>
      <w:r w:rsidRPr="000B69A3">
        <w:t>Kover, E. (2014). Testimony before the U.S. Senate Special Committee on Aging, January 15,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CAAE" w14:textId="77777777" w:rsidR="00F7487B" w:rsidRPr="00933C9B" w:rsidRDefault="00F7487B" w:rsidP="00933C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20669FE"/>
    <w:lvl w:ilvl="0">
      <w:start w:val="1"/>
      <w:numFmt w:val="lowerLetter"/>
      <w:pStyle w:val="ListBullet"/>
      <w:lvlText w:val="%1."/>
      <w:lvlJc w:val="left"/>
      <w:pPr>
        <w:ind w:left="720" w:hanging="360"/>
      </w:pPr>
    </w:lvl>
  </w:abstractNum>
  <w:abstractNum w:abstractNumId="1" w15:restartNumberingAfterBreak="0">
    <w:nsid w:val="FFFFFF83"/>
    <w:multiLevelType w:val="singleLevel"/>
    <w:tmpl w:val="2AEAB9D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24D67E72"/>
    <w:lvl w:ilvl="0">
      <w:start w:val="1"/>
      <w:numFmt w:val="bullet"/>
      <w:pStyle w:val="ListBullet3"/>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name w:val="WW8Num1"/>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3A572E1"/>
    <w:multiLevelType w:val="hybridMultilevel"/>
    <w:tmpl w:val="DC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A695D"/>
    <w:multiLevelType w:val="hybridMultilevel"/>
    <w:tmpl w:val="2C40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F3166"/>
    <w:multiLevelType w:val="hybridMultilevel"/>
    <w:tmpl w:val="C974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E3B4C"/>
    <w:multiLevelType w:val="hybridMultilevel"/>
    <w:tmpl w:val="22EAE9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E37DC"/>
    <w:multiLevelType w:val="hybridMultilevel"/>
    <w:tmpl w:val="FAF8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909F6"/>
    <w:multiLevelType w:val="hybridMultilevel"/>
    <w:tmpl w:val="6982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80413"/>
    <w:multiLevelType w:val="hybridMultilevel"/>
    <w:tmpl w:val="C570D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C7346"/>
    <w:multiLevelType w:val="hybridMultilevel"/>
    <w:tmpl w:val="4C0013E8"/>
    <w:lvl w:ilvl="0" w:tplc="F74E3734">
      <w:start w:val="1"/>
      <w:numFmt w:val="decimal"/>
      <w:pStyle w:val="NumberTable"/>
      <w:lvlText w:val="%1)"/>
      <w:lvlJc w:val="left"/>
      <w:pPr>
        <w:tabs>
          <w:tab w:val="num" w:pos="216"/>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802007"/>
    <w:multiLevelType w:val="hybridMultilevel"/>
    <w:tmpl w:val="DB3AD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BD26D0"/>
    <w:multiLevelType w:val="hybridMultilevel"/>
    <w:tmpl w:val="79EE3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CDB38B0"/>
    <w:multiLevelType w:val="hybridMultilevel"/>
    <w:tmpl w:val="1C3A3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6B1E08"/>
    <w:multiLevelType w:val="hybridMultilevel"/>
    <w:tmpl w:val="A8DA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A2AD1"/>
    <w:multiLevelType w:val="hybridMultilevel"/>
    <w:tmpl w:val="B74A01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AE3D70"/>
    <w:multiLevelType w:val="hybridMultilevel"/>
    <w:tmpl w:val="3D50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3025D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2A914728"/>
    <w:multiLevelType w:val="hybridMultilevel"/>
    <w:tmpl w:val="F7A03A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62215D"/>
    <w:multiLevelType w:val="hybridMultilevel"/>
    <w:tmpl w:val="25245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C02B7D"/>
    <w:multiLevelType w:val="hybridMultilevel"/>
    <w:tmpl w:val="F6C69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333732"/>
    <w:multiLevelType w:val="hybridMultilevel"/>
    <w:tmpl w:val="71E2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110690"/>
    <w:multiLevelType w:val="hybridMultilevel"/>
    <w:tmpl w:val="4102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752B8A"/>
    <w:multiLevelType w:val="hybridMultilevel"/>
    <w:tmpl w:val="B1EE9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E30F7"/>
    <w:multiLevelType w:val="hybridMultilevel"/>
    <w:tmpl w:val="71F0A3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5FA3EE6"/>
    <w:multiLevelType w:val="hybridMultilevel"/>
    <w:tmpl w:val="5136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A11F55"/>
    <w:multiLevelType w:val="hybridMultilevel"/>
    <w:tmpl w:val="E1AAD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86728D"/>
    <w:multiLevelType w:val="hybridMultilevel"/>
    <w:tmpl w:val="F1387B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226307F"/>
    <w:multiLevelType w:val="hybridMultilevel"/>
    <w:tmpl w:val="A040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7B7FA7"/>
    <w:multiLevelType w:val="hybridMultilevel"/>
    <w:tmpl w:val="E38C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AC50FE"/>
    <w:multiLevelType w:val="hybridMultilevel"/>
    <w:tmpl w:val="C71C06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4246FB"/>
    <w:multiLevelType w:val="hybridMultilevel"/>
    <w:tmpl w:val="C0AAB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8D4544"/>
    <w:multiLevelType w:val="hybridMultilevel"/>
    <w:tmpl w:val="0430F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C21496"/>
    <w:multiLevelType w:val="hybridMultilevel"/>
    <w:tmpl w:val="40E2A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7D930E3"/>
    <w:multiLevelType w:val="hybridMultilevel"/>
    <w:tmpl w:val="511AC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1FC1989"/>
    <w:multiLevelType w:val="hybridMultilevel"/>
    <w:tmpl w:val="90E2AA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24039D"/>
    <w:multiLevelType w:val="hybridMultilevel"/>
    <w:tmpl w:val="7560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57277D"/>
    <w:multiLevelType w:val="hybridMultilevel"/>
    <w:tmpl w:val="201C2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DD247B1"/>
    <w:multiLevelType w:val="hybridMultilevel"/>
    <w:tmpl w:val="17F68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8"/>
  </w:num>
  <w:num w:numId="5">
    <w:abstractNumId w:val="11"/>
  </w:num>
  <w:num w:numId="6">
    <w:abstractNumId w:val="15"/>
  </w:num>
  <w:num w:numId="7">
    <w:abstractNumId w:val="5"/>
  </w:num>
  <w:num w:numId="8">
    <w:abstractNumId w:val="27"/>
  </w:num>
  <w:num w:numId="9">
    <w:abstractNumId w:val="22"/>
  </w:num>
  <w:num w:numId="10">
    <w:abstractNumId w:val="9"/>
  </w:num>
  <w:num w:numId="11">
    <w:abstractNumId w:val="17"/>
  </w:num>
  <w:num w:numId="12">
    <w:abstractNumId w:val="8"/>
  </w:num>
  <w:num w:numId="13">
    <w:abstractNumId w:val="30"/>
  </w:num>
  <w:num w:numId="14">
    <w:abstractNumId w:val="21"/>
  </w:num>
  <w:num w:numId="15">
    <w:abstractNumId w:val="25"/>
  </w:num>
  <w:num w:numId="16">
    <w:abstractNumId w:val="38"/>
  </w:num>
  <w:num w:numId="17">
    <w:abstractNumId w:val="34"/>
  </w:num>
  <w:num w:numId="18">
    <w:abstractNumId w:val="4"/>
  </w:num>
  <w:num w:numId="19">
    <w:abstractNumId w:val="29"/>
  </w:num>
  <w:num w:numId="20">
    <w:abstractNumId w:val="6"/>
  </w:num>
  <w:num w:numId="21">
    <w:abstractNumId w:val="14"/>
  </w:num>
  <w:num w:numId="22">
    <w:abstractNumId w:val="37"/>
  </w:num>
  <w:num w:numId="23">
    <w:abstractNumId w:val="36"/>
  </w:num>
  <w:num w:numId="24">
    <w:abstractNumId w:val="31"/>
  </w:num>
  <w:num w:numId="25">
    <w:abstractNumId w:val="7"/>
  </w:num>
  <w:num w:numId="26">
    <w:abstractNumId w:val="26"/>
  </w:num>
  <w:num w:numId="27">
    <w:abstractNumId w:val="23"/>
  </w:num>
  <w:num w:numId="28">
    <w:abstractNumId w:val="28"/>
  </w:num>
  <w:num w:numId="29">
    <w:abstractNumId w:val="33"/>
  </w:num>
  <w:num w:numId="30">
    <w:abstractNumId w:val="39"/>
  </w:num>
  <w:num w:numId="31">
    <w:abstractNumId w:val="20"/>
  </w:num>
  <w:num w:numId="32">
    <w:abstractNumId w:val="24"/>
  </w:num>
  <w:num w:numId="33">
    <w:abstractNumId w:val="12"/>
  </w:num>
  <w:num w:numId="34">
    <w:abstractNumId w:val="10"/>
  </w:num>
  <w:num w:numId="35">
    <w:abstractNumId w:val="32"/>
  </w:num>
  <w:num w:numId="36">
    <w:abstractNumId w:val="16"/>
  </w:num>
  <w:num w:numId="37">
    <w:abstractNumId w:val="19"/>
  </w:num>
  <w:num w:numId="38">
    <w:abstractNumId w:val="35"/>
  </w:num>
  <w:num w:numId="39">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n-US" w:vendorID="64" w:dllVersion="131078" w:nlCheck="1" w:checkStyle="1"/>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E7"/>
    <w:rsid w:val="00000216"/>
    <w:rsid w:val="000003CA"/>
    <w:rsid w:val="00001663"/>
    <w:rsid w:val="00002098"/>
    <w:rsid w:val="00002F5C"/>
    <w:rsid w:val="00003495"/>
    <w:rsid w:val="000035BC"/>
    <w:rsid w:val="00006334"/>
    <w:rsid w:val="00006930"/>
    <w:rsid w:val="00007259"/>
    <w:rsid w:val="00010ADB"/>
    <w:rsid w:val="00010CA5"/>
    <w:rsid w:val="00011BE2"/>
    <w:rsid w:val="0001315B"/>
    <w:rsid w:val="00013AB5"/>
    <w:rsid w:val="000141F1"/>
    <w:rsid w:val="000144FC"/>
    <w:rsid w:val="0001487F"/>
    <w:rsid w:val="00014887"/>
    <w:rsid w:val="0001606D"/>
    <w:rsid w:val="000163FF"/>
    <w:rsid w:val="00016B09"/>
    <w:rsid w:val="00016EC5"/>
    <w:rsid w:val="0001743F"/>
    <w:rsid w:val="0001752C"/>
    <w:rsid w:val="00017E03"/>
    <w:rsid w:val="00017FF3"/>
    <w:rsid w:val="00022566"/>
    <w:rsid w:val="000225DE"/>
    <w:rsid w:val="00022F0A"/>
    <w:rsid w:val="000238C9"/>
    <w:rsid w:val="00023DE1"/>
    <w:rsid w:val="00024662"/>
    <w:rsid w:val="0002617C"/>
    <w:rsid w:val="0002634E"/>
    <w:rsid w:val="00026949"/>
    <w:rsid w:val="00026D81"/>
    <w:rsid w:val="000275AE"/>
    <w:rsid w:val="00027CE6"/>
    <w:rsid w:val="00030387"/>
    <w:rsid w:val="00030934"/>
    <w:rsid w:val="000318AE"/>
    <w:rsid w:val="00032421"/>
    <w:rsid w:val="00033464"/>
    <w:rsid w:val="00034166"/>
    <w:rsid w:val="00034341"/>
    <w:rsid w:val="00034820"/>
    <w:rsid w:val="00035415"/>
    <w:rsid w:val="00035ADA"/>
    <w:rsid w:val="000362A4"/>
    <w:rsid w:val="0004072E"/>
    <w:rsid w:val="00041BA0"/>
    <w:rsid w:val="000422FC"/>
    <w:rsid w:val="00043F32"/>
    <w:rsid w:val="00043F44"/>
    <w:rsid w:val="00044269"/>
    <w:rsid w:val="00044305"/>
    <w:rsid w:val="0004459C"/>
    <w:rsid w:val="000468FF"/>
    <w:rsid w:val="00047BFD"/>
    <w:rsid w:val="00050768"/>
    <w:rsid w:val="00051B22"/>
    <w:rsid w:val="00052A93"/>
    <w:rsid w:val="00052AB7"/>
    <w:rsid w:val="00055A42"/>
    <w:rsid w:val="00056329"/>
    <w:rsid w:val="00056D99"/>
    <w:rsid w:val="0006197A"/>
    <w:rsid w:val="00061F4B"/>
    <w:rsid w:val="00062C53"/>
    <w:rsid w:val="00063C42"/>
    <w:rsid w:val="00065776"/>
    <w:rsid w:val="00066763"/>
    <w:rsid w:val="000701DB"/>
    <w:rsid w:val="00070343"/>
    <w:rsid w:val="00071003"/>
    <w:rsid w:val="00073463"/>
    <w:rsid w:val="00073EF9"/>
    <w:rsid w:val="0007460A"/>
    <w:rsid w:val="000760C8"/>
    <w:rsid w:val="000807DC"/>
    <w:rsid w:val="000816BA"/>
    <w:rsid w:val="000825F3"/>
    <w:rsid w:val="00083CB6"/>
    <w:rsid w:val="0008401C"/>
    <w:rsid w:val="0008456C"/>
    <w:rsid w:val="000855BF"/>
    <w:rsid w:val="00085D3C"/>
    <w:rsid w:val="00086B4A"/>
    <w:rsid w:val="00090427"/>
    <w:rsid w:val="000904D5"/>
    <w:rsid w:val="000910F8"/>
    <w:rsid w:val="00091816"/>
    <w:rsid w:val="000926C4"/>
    <w:rsid w:val="0009336D"/>
    <w:rsid w:val="00093575"/>
    <w:rsid w:val="00093937"/>
    <w:rsid w:val="00094CBB"/>
    <w:rsid w:val="00096006"/>
    <w:rsid w:val="00097A5A"/>
    <w:rsid w:val="00097EA3"/>
    <w:rsid w:val="000A0E4E"/>
    <w:rsid w:val="000A1E79"/>
    <w:rsid w:val="000A21E2"/>
    <w:rsid w:val="000A2F47"/>
    <w:rsid w:val="000A403A"/>
    <w:rsid w:val="000A64BC"/>
    <w:rsid w:val="000A6639"/>
    <w:rsid w:val="000A6766"/>
    <w:rsid w:val="000B0237"/>
    <w:rsid w:val="000B0EB1"/>
    <w:rsid w:val="000B20D5"/>
    <w:rsid w:val="000B2724"/>
    <w:rsid w:val="000B38B2"/>
    <w:rsid w:val="000B3AA7"/>
    <w:rsid w:val="000B402A"/>
    <w:rsid w:val="000B47B1"/>
    <w:rsid w:val="000B5087"/>
    <w:rsid w:val="000B69A3"/>
    <w:rsid w:val="000B728B"/>
    <w:rsid w:val="000B76B6"/>
    <w:rsid w:val="000B7B92"/>
    <w:rsid w:val="000C00E5"/>
    <w:rsid w:val="000C17E0"/>
    <w:rsid w:val="000C2425"/>
    <w:rsid w:val="000C24A7"/>
    <w:rsid w:val="000C2CCF"/>
    <w:rsid w:val="000C3EFA"/>
    <w:rsid w:val="000C42E5"/>
    <w:rsid w:val="000C547C"/>
    <w:rsid w:val="000C5D82"/>
    <w:rsid w:val="000C5FE0"/>
    <w:rsid w:val="000C631E"/>
    <w:rsid w:val="000C6A45"/>
    <w:rsid w:val="000D0EDB"/>
    <w:rsid w:val="000D121F"/>
    <w:rsid w:val="000D23EF"/>
    <w:rsid w:val="000D3C6C"/>
    <w:rsid w:val="000D3D91"/>
    <w:rsid w:val="000D5A12"/>
    <w:rsid w:val="000D652E"/>
    <w:rsid w:val="000D6579"/>
    <w:rsid w:val="000D71E9"/>
    <w:rsid w:val="000D7A0B"/>
    <w:rsid w:val="000E03E2"/>
    <w:rsid w:val="000E0C66"/>
    <w:rsid w:val="000E1831"/>
    <w:rsid w:val="000E1ACE"/>
    <w:rsid w:val="000E1C67"/>
    <w:rsid w:val="000E2668"/>
    <w:rsid w:val="000E2982"/>
    <w:rsid w:val="000E3308"/>
    <w:rsid w:val="000E3FAE"/>
    <w:rsid w:val="000E5BAB"/>
    <w:rsid w:val="000F2129"/>
    <w:rsid w:val="000F235A"/>
    <w:rsid w:val="000F431F"/>
    <w:rsid w:val="000F5A06"/>
    <w:rsid w:val="000F6359"/>
    <w:rsid w:val="000F6679"/>
    <w:rsid w:val="000F7301"/>
    <w:rsid w:val="000F7881"/>
    <w:rsid w:val="000F793D"/>
    <w:rsid w:val="000F79B6"/>
    <w:rsid w:val="001011D6"/>
    <w:rsid w:val="0010126A"/>
    <w:rsid w:val="00101989"/>
    <w:rsid w:val="001025B0"/>
    <w:rsid w:val="001033AE"/>
    <w:rsid w:val="001064E5"/>
    <w:rsid w:val="00111FC7"/>
    <w:rsid w:val="001122CD"/>
    <w:rsid w:val="00113249"/>
    <w:rsid w:val="0011337E"/>
    <w:rsid w:val="00114974"/>
    <w:rsid w:val="00114A4B"/>
    <w:rsid w:val="00116969"/>
    <w:rsid w:val="00117026"/>
    <w:rsid w:val="0011772C"/>
    <w:rsid w:val="001211E2"/>
    <w:rsid w:val="00122A24"/>
    <w:rsid w:val="001235B2"/>
    <w:rsid w:val="00123E98"/>
    <w:rsid w:val="00124E8B"/>
    <w:rsid w:val="00126487"/>
    <w:rsid w:val="001268E9"/>
    <w:rsid w:val="001271EA"/>
    <w:rsid w:val="00127BC0"/>
    <w:rsid w:val="00127DCF"/>
    <w:rsid w:val="001306AA"/>
    <w:rsid w:val="00131936"/>
    <w:rsid w:val="0013227D"/>
    <w:rsid w:val="0013273B"/>
    <w:rsid w:val="00133B5E"/>
    <w:rsid w:val="0013428D"/>
    <w:rsid w:val="0013582A"/>
    <w:rsid w:val="00135D15"/>
    <w:rsid w:val="001361A9"/>
    <w:rsid w:val="00136E4A"/>
    <w:rsid w:val="00137CD4"/>
    <w:rsid w:val="0014028B"/>
    <w:rsid w:val="00141DC2"/>
    <w:rsid w:val="00142939"/>
    <w:rsid w:val="00143347"/>
    <w:rsid w:val="00144D47"/>
    <w:rsid w:val="00145239"/>
    <w:rsid w:val="001473AB"/>
    <w:rsid w:val="001503F3"/>
    <w:rsid w:val="00150425"/>
    <w:rsid w:val="00150DF7"/>
    <w:rsid w:val="001522EF"/>
    <w:rsid w:val="00154466"/>
    <w:rsid w:val="00155744"/>
    <w:rsid w:val="00155D0B"/>
    <w:rsid w:val="00156968"/>
    <w:rsid w:val="00157D52"/>
    <w:rsid w:val="00157F83"/>
    <w:rsid w:val="0016013D"/>
    <w:rsid w:val="00161112"/>
    <w:rsid w:val="00161E3A"/>
    <w:rsid w:val="001635D6"/>
    <w:rsid w:val="00163642"/>
    <w:rsid w:val="00163AAA"/>
    <w:rsid w:val="00163CBA"/>
    <w:rsid w:val="001662BB"/>
    <w:rsid w:val="001662F8"/>
    <w:rsid w:val="00167E9E"/>
    <w:rsid w:val="00170375"/>
    <w:rsid w:val="00170904"/>
    <w:rsid w:val="00171F00"/>
    <w:rsid w:val="00172CFA"/>
    <w:rsid w:val="0017349F"/>
    <w:rsid w:val="0017350B"/>
    <w:rsid w:val="001736FA"/>
    <w:rsid w:val="00176149"/>
    <w:rsid w:val="001765EB"/>
    <w:rsid w:val="00176E54"/>
    <w:rsid w:val="001776DA"/>
    <w:rsid w:val="00177E48"/>
    <w:rsid w:val="00180F2D"/>
    <w:rsid w:val="001812B6"/>
    <w:rsid w:val="001818BA"/>
    <w:rsid w:val="00181D1E"/>
    <w:rsid w:val="001822C7"/>
    <w:rsid w:val="001837D1"/>
    <w:rsid w:val="001837D4"/>
    <w:rsid w:val="00185723"/>
    <w:rsid w:val="00185A02"/>
    <w:rsid w:val="00185F7F"/>
    <w:rsid w:val="001860D1"/>
    <w:rsid w:val="00186F08"/>
    <w:rsid w:val="00187368"/>
    <w:rsid w:val="00190149"/>
    <w:rsid w:val="00190D79"/>
    <w:rsid w:val="001934B8"/>
    <w:rsid w:val="00193947"/>
    <w:rsid w:val="00194F83"/>
    <w:rsid w:val="0019531D"/>
    <w:rsid w:val="00195DB7"/>
    <w:rsid w:val="00195DCF"/>
    <w:rsid w:val="00197212"/>
    <w:rsid w:val="001A0234"/>
    <w:rsid w:val="001A27A0"/>
    <w:rsid w:val="001A3AD5"/>
    <w:rsid w:val="001A44FC"/>
    <w:rsid w:val="001A5009"/>
    <w:rsid w:val="001A5CCF"/>
    <w:rsid w:val="001B00DA"/>
    <w:rsid w:val="001B112C"/>
    <w:rsid w:val="001B2DC3"/>
    <w:rsid w:val="001B4FF3"/>
    <w:rsid w:val="001B6114"/>
    <w:rsid w:val="001B6811"/>
    <w:rsid w:val="001B6FD1"/>
    <w:rsid w:val="001B7B7E"/>
    <w:rsid w:val="001C0216"/>
    <w:rsid w:val="001C03D2"/>
    <w:rsid w:val="001C06AC"/>
    <w:rsid w:val="001C0CA6"/>
    <w:rsid w:val="001C1FA4"/>
    <w:rsid w:val="001C2A20"/>
    <w:rsid w:val="001C3629"/>
    <w:rsid w:val="001C4550"/>
    <w:rsid w:val="001C4932"/>
    <w:rsid w:val="001C613B"/>
    <w:rsid w:val="001C7F79"/>
    <w:rsid w:val="001D120F"/>
    <w:rsid w:val="001D33CB"/>
    <w:rsid w:val="001D38BA"/>
    <w:rsid w:val="001D3CBD"/>
    <w:rsid w:val="001D42D0"/>
    <w:rsid w:val="001D47A8"/>
    <w:rsid w:val="001D5848"/>
    <w:rsid w:val="001D636A"/>
    <w:rsid w:val="001D7A89"/>
    <w:rsid w:val="001E0B0B"/>
    <w:rsid w:val="001E1E7E"/>
    <w:rsid w:val="001E200C"/>
    <w:rsid w:val="001E44FB"/>
    <w:rsid w:val="001E5068"/>
    <w:rsid w:val="001E5594"/>
    <w:rsid w:val="001E7737"/>
    <w:rsid w:val="001F2AA0"/>
    <w:rsid w:val="001F2D58"/>
    <w:rsid w:val="001F370A"/>
    <w:rsid w:val="001F391C"/>
    <w:rsid w:val="001F3B55"/>
    <w:rsid w:val="001F5FC4"/>
    <w:rsid w:val="001F74BC"/>
    <w:rsid w:val="001F792B"/>
    <w:rsid w:val="001F7F0B"/>
    <w:rsid w:val="002015DA"/>
    <w:rsid w:val="00204310"/>
    <w:rsid w:val="00205192"/>
    <w:rsid w:val="00206976"/>
    <w:rsid w:val="00206E84"/>
    <w:rsid w:val="00210B84"/>
    <w:rsid w:val="00211E55"/>
    <w:rsid w:val="00214397"/>
    <w:rsid w:val="002144F3"/>
    <w:rsid w:val="0021491E"/>
    <w:rsid w:val="00216AA0"/>
    <w:rsid w:val="00217756"/>
    <w:rsid w:val="0021795A"/>
    <w:rsid w:val="0022079F"/>
    <w:rsid w:val="002232AF"/>
    <w:rsid w:val="0022358D"/>
    <w:rsid w:val="002246DB"/>
    <w:rsid w:val="002246ED"/>
    <w:rsid w:val="00224868"/>
    <w:rsid w:val="00226FE3"/>
    <w:rsid w:val="002271BB"/>
    <w:rsid w:val="002305BD"/>
    <w:rsid w:val="00230E90"/>
    <w:rsid w:val="002320E8"/>
    <w:rsid w:val="00232308"/>
    <w:rsid w:val="00232AB9"/>
    <w:rsid w:val="00233B16"/>
    <w:rsid w:val="00234466"/>
    <w:rsid w:val="002347A3"/>
    <w:rsid w:val="00237769"/>
    <w:rsid w:val="002377AF"/>
    <w:rsid w:val="002417B3"/>
    <w:rsid w:val="0024200A"/>
    <w:rsid w:val="00245223"/>
    <w:rsid w:val="0024663A"/>
    <w:rsid w:val="00246875"/>
    <w:rsid w:val="0024723D"/>
    <w:rsid w:val="00250090"/>
    <w:rsid w:val="00250438"/>
    <w:rsid w:val="00250639"/>
    <w:rsid w:val="002512E2"/>
    <w:rsid w:val="00252846"/>
    <w:rsid w:val="0025437B"/>
    <w:rsid w:val="00254AA0"/>
    <w:rsid w:val="00254EEB"/>
    <w:rsid w:val="002553DF"/>
    <w:rsid w:val="002573F3"/>
    <w:rsid w:val="00257F49"/>
    <w:rsid w:val="00260256"/>
    <w:rsid w:val="00260CBA"/>
    <w:rsid w:val="00262053"/>
    <w:rsid w:val="00262440"/>
    <w:rsid w:val="0026470D"/>
    <w:rsid w:val="00264CEE"/>
    <w:rsid w:val="00266585"/>
    <w:rsid w:val="00267FA2"/>
    <w:rsid w:val="00271C29"/>
    <w:rsid w:val="002758CD"/>
    <w:rsid w:val="00276616"/>
    <w:rsid w:val="002769F0"/>
    <w:rsid w:val="002775E5"/>
    <w:rsid w:val="002778A5"/>
    <w:rsid w:val="00277B7C"/>
    <w:rsid w:val="00277D59"/>
    <w:rsid w:val="002803CB"/>
    <w:rsid w:val="00280B1D"/>
    <w:rsid w:val="00280ECA"/>
    <w:rsid w:val="00282BDD"/>
    <w:rsid w:val="002834FD"/>
    <w:rsid w:val="002838C2"/>
    <w:rsid w:val="00284133"/>
    <w:rsid w:val="00284647"/>
    <w:rsid w:val="00285436"/>
    <w:rsid w:val="00285AB5"/>
    <w:rsid w:val="002863A7"/>
    <w:rsid w:val="002864BC"/>
    <w:rsid w:val="00286BE0"/>
    <w:rsid w:val="00290BB0"/>
    <w:rsid w:val="00290F7D"/>
    <w:rsid w:val="00291F29"/>
    <w:rsid w:val="00292C95"/>
    <w:rsid w:val="00294804"/>
    <w:rsid w:val="00294CC1"/>
    <w:rsid w:val="002950A0"/>
    <w:rsid w:val="002956B9"/>
    <w:rsid w:val="0029612B"/>
    <w:rsid w:val="00296424"/>
    <w:rsid w:val="00297BF6"/>
    <w:rsid w:val="002A0841"/>
    <w:rsid w:val="002A08E2"/>
    <w:rsid w:val="002A18E6"/>
    <w:rsid w:val="002A1BB0"/>
    <w:rsid w:val="002A21B3"/>
    <w:rsid w:val="002A21DD"/>
    <w:rsid w:val="002A3F38"/>
    <w:rsid w:val="002A448F"/>
    <w:rsid w:val="002A4564"/>
    <w:rsid w:val="002A4FAB"/>
    <w:rsid w:val="002A597E"/>
    <w:rsid w:val="002A7252"/>
    <w:rsid w:val="002A79C5"/>
    <w:rsid w:val="002B131F"/>
    <w:rsid w:val="002B1C8B"/>
    <w:rsid w:val="002B1D5A"/>
    <w:rsid w:val="002B3950"/>
    <w:rsid w:val="002B464E"/>
    <w:rsid w:val="002B5F83"/>
    <w:rsid w:val="002B6523"/>
    <w:rsid w:val="002B67DD"/>
    <w:rsid w:val="002B694F"/>
    <w:rsid w:val="002B6ECB"/>
    <w:rsid w:val="002B7D11"/>
    <w:rsid w:val="002C0875"/>
    <w:rsid w:val="002C090E"/>
    <w:rsid w:val="002C22D7"/>
    <w:rsid w:val="002C2393"/>
    <w:rsid w:val="002C2AED"/>
    <w:rsid w:val="002C5799"/>
    <w:rsid w:val="002C6960"/>
    <w:rsid w:val="002C6C2D"/>
    <w:rsid w:val="002C7426"/>
    <w:rsid w:val="002C77C8"/>
    <w:rsid w:val="002D0204"/>
    <w:rsid w:val="002D0BD1"/>
    <w:rsid w:val="002D259F"/>
    <w:rsid w:val="002D28F2"/>
    <w:rsid w:val="002D29A6"/>
    <w:rsid w:val="002D3443"/>
    <w:rsid w:val="002D3B4A"/>
    <w:rsid w:val="002D3E22"/>
    <w:rsid w:val="002D4459"/>
    <w:rsid w:val="002D48FA"/>
    <w:rsid w:val="002D495B"/>
    <w:rsid w:val="002D70CC"/>
    <w:rsid w:val="002E0BCD"/>
    <w:rsid w:val="002E119D"/>
    <w:rsid w:val="002E13BE"/>
    <w:rsid w:val="002E16FC"/>
    <w:rsid w:val="002E1726"/>
    <w:rsid w:val="002E1EAF"/>
    <w:rsid w:val="002E2696"/>
    <w:rsid w:val="002E5F48"/>
    <w:rsid w:val="002E6016"/>
    <w:rsid w:val="002E7855"/>
    <w:rsid w:val="002E787F"/>
    <w:rsid w:val="002E7E01"/>
    <w:rsid w:val="002F03EE"/>
    <w:rsid w:val="002F0612"/>
    <w:rsid w:val="002F178D"/>
    <w:rsid w:val="002F1EF8"/>
    <w:rsid w:val="002F2AAF"/>
    <w:rsid w:val="002F2D57"/>
    <w:rsid w:val="002F32D8"/>
    <w:rsid w:val="002F423E"/>
    <w:rsid w:val="002F609F"/>
    <w:rsid w:val="002F6B79"/>
    <w:rsid w:val="002F7AFB"/>
    <w:rsid w:val="00300F84"/>
    <w:rsid w:val="0030381E"/>
    <w:rsid w:val="0030449A"/>
    <w:rsid w:val="0030641D"/>
    <w:rsid w:val="00307727"/>
    <w:rsid w:val="00312026"/>
    <w:rsid w:val="00312083"/>
    <w:rsid w:val="003132C7"/>
    <w:rsid w:val="00313379"/>
    <w:rsid w:val="0031424B"/>
    <w:rsid w:val="00315249"/>
    <w:rsid w:val="0031690F"/>
    <w:rsid w:val="00317577"/>
    <w:rsid w:val="00317595"/>
    <w:rsid w:val="003175C2"/>
    <w:rsid w:val="0031784D"/>
    <w:rsid w:val="003179D6"/>
    <w:rsid w:val="00317CB0"/>
    <w:rsid w:val="00317D11"/>
    <w:rsid w:val="003210DA"/>
    <w:rsid w:val="00321725"/>
    <w:rsid w:val="00321E26"/>
    <w:rsid w:val="003223BB"/>
    <w:rsid w:val="00322BB5"/>
    <w:rsid w:val="0032520B"/>
    <w:rsid w:val="003256DB"/>
    <w:rsid w:val="00327DB1"/>
    <w:rsid w:val="003303E8"/>
    <w:rsid w:val="00330551"/>
    <w:rsid w:val="00330EE8"/>
    <w:rsid w:val="00331FF0"/>
    <w:rsid w:val="00332A24"/>
    <w:rsid w:val="00333B3A"/>
    <w:rsid w:val="0033401B"/>
    <w:rsid w:val="00335DE8"/>
    <w:rsid w:val="00335F97"/>
    <w:rsid w:val="00337432"/>
    <w:rsid w:val="00340B77"/>
    <w:rsid w:val="0034127A"/>
    <w:rsid w:val="00341382"/>
    <w:rsid w:val="003417F0"/>
    <w:rsid w:val="003422D0"/>
    <w:rsid w:val="00342B59"/>
    <w:rsid w:val="00346482"/>
    <w:rsid w:val="00346836"/>
    <w:rsid w:val="00346BAF"/>
    <w:rsid w:val="00346D42"/>
    <w:rsid w:val="003474B4"/>
    <w:rsid w:val="00347A30"/>
    <w:rsid w:val="003508A1"/>
    <w:rsid w:val="0035111A"/>
    <w:rsid w:val="0035270C"/>
    <w:rsid w:val="00352C4C"/>
    <w:rsid w:val="00352E01"/>
    <w:rsid w:val="00353358"/>
    <w:rsid w:val="003545B9"/>
    <w:rsid w:val="003568AA"/>
    <w:rsid w:val="003612C1"/>
    <w:rsid w:val="003615E7"/>
    <w:rsid w:val="00362048"/>
    <w:rsid w:val="00363178"/>
    <w:rsid w:val="00363B7D"/>
    <w:rsid w:val="00363DAA"/>
    <w:rsid w:val="00365513"/>
    <w:rsid w:val="00365EE4"/>
    <w:rsid w:val="00365EE8"/>
    <w:rsid w:val="003710C8"/>
    <w:rsid w:val="0037169E"/>
    <w:rsid w:val="003716D6"/>
    <w:rsid w:val="00374067"/>
    <w:rsid w:val="00374171"/>
    <w:rsid w:val="003749C1"/>
    <w:rsid w:val="003755C1"/>
    <w:rsid w:val="00375717"/>
    <w:rsid w:val="00375C73"/>
    <w:rsid w:val="0038012E"/>
    <w:rsid w:val="00380DE7"/>
    <w:rsid w:val="00380FC2"/>
    <w:rsid w:val="003815D8"/>
    <w:rsid w:val="0038281E"/>
    <w:rsid w:val="00382B2C"/>
    <w:rsid w:val="00383BD6"/>
    <w:rsid w:val="0038413F"/>
    <w:rsid w:val="0038427A"/>
    <w:rsid w:val="003848DC"/>
    <w:rsid w:val="00385985"/>
    <w:rsid w:val="003861F0"/>
    <w:rsid w:val="00386224"/>
    <w:rsid w:val="00386CAB"/>
    <w:rsid w:val="00387F37"/>
    <w:rsid w:val="0039374E"/>
    <w:rsid w:val="0039409E"/>
    <w:rsid w:val="00394CEF"/>
    <w:rsid w:val="003A1CBC"/>
    <w:rsid w:val="003A28E3"/>
    <w:rsid w:val="003A3578"/>
    <w:rsid w:val="003A366B"/>
    <w:rsid w:val="003A5333"/>
    <w:rsid w:val="003A566B"/>
    <w:rsid w:val="003A59E1"/>
    <w:rsid w:val="003A5AC5"/>
    <w:rsid w:val="003A67B5"/>
    <w:rsid w:val="003A6AE1"/>
    <w:rsid w:val="003B25D9"/>
    <w:rsid w:val="003B45F7"/>
    <w:rsid w:val="003B586D"/>
    <w:rsid w:val="003C07A4"/>
    <w:rsid w:val="003C094B"/>
    <w:rsid w:val="003C0CC2"/>
    <w:rsid w:val="003C1236"/>
    <w:rsid w:val="003C2338"/>
    <w:rsid w:val="003C3E05"/>
    <w:rsid w:val="003C4EB3"/>
    <w:rsid w:val="003C75CF"/>
    <w:rsid w:val="003C79D5"/>
    <w:rsid w:val="003D1AF5"/>
    <w:rsid w:val="003D1F5B"/>
    <w:rsid w:val="003D2098"/>
    <w:rsid w:val="003D337F"/>
    <w:rsid w:val="003D3C97"/>
    <w:rsid w:val="003D4B66"/>
    <w:rsid w:val="003D5174"/>
    <w:rsid w:val="003D57C7"/>
    <w:rsid w:val="003D6846"/>
    <w:rsid w:val="003D704F"/>
    <w:rsid w:val="003E0DD4"/>
    <w:rsid w:val="003E1406"/>
    <w:rsid w:val="003E152C"/>
    <w:rsid w:val="003E3458"/>
    <w:rsid w:val="003E3795"/>
    <w:rsid w:val="003E5AD0"/>
    <w:rsid w:val="003E5F42"/>
    <w:rsid w:val="003E613B"/>
    <w:rsid w:val="003F0E42"/>
    <w:rsid w:val="003F1455"/>
    <w:rsid w:val="003F15CA"/>
    <w:rsid w:val="003F3AAE"/>
    <w:rsid w:val="003F3BD7"/>
    <w:rsid w:val="003F4133"/>
    <w:rsid w:val="003F4579"/>
    <w:rsid w:val="003F4E46"/>
    <w:rsid w:val="003F5C58"/>
    <w:rsid w:val="003F5C9A"/>
    <w:rsid w:val="003F7643"/>
    <w:rsid w:val="003F7B45"/>
    <w:rsid w:val="003F7ED2"/>
    <w:rsid w:val="00400C63"/>
    <w:rsid w:val="004019D0"/>
    <w:rsid w:val="00401DB2"/>
    <w:rsid w:val="00401ECC"/>
    <w:rsid w:val="00402516"/>
    <w:rsid w:val="0040288C"/>
    <w:rsid w:val="00403616"/>
    <w:rsid w:val="004036A7"/>
    <w:rsid w:val="00403DAE"/>
    <w:rsid w:val="00405D77"/>
    <w:rsid w:val="00406F56"/>
    <w:rsid w:val="00407DB2"/>
    <w:rsid w:val="004112D9"/>
    <w:rsid w:val="0041240E"/>
    <w:rsid w:val="00414A43"/>
    <w:rsid w:val="004151EB"/>
    <w:rsid w:val="00415F60"/>
    <w:rsid w:val="00420970"/>
    <w:rsid w:val="00421EB5"/>
    <w:rsid w:val="00422EF0"/>
    <w:rsid w:val="00423193"/>
    <w:rsid w:val="00423658"/>
    <w:rsid w:val="00423CFB"/>
    <w:rsid w:val="00423D0D"/>
    <w:rsid w:val="004246AF"/>
    <w:rsid w:val="00425F42"/>
    <w:rsid w:val="00427382"/>
    <w:rsid w:val="0042742C"/>
    <w:rsid w:val="00427B10"/>
    <w:rsid w:val="0043193E"/>
    <w:rsid w:val="00432744"/>
    <w:rsid w:val="00432B8D"/>
    <w:rsid w:val="004331F0"/>
    <w:rsid w:val="0043466C"/>
    <w:rsid w:val="00437049"/>
    <w:rsid w:val="004370C9"/>
    <w:rsid w:val="00437274"/>
    <w:rsid w:val="004439F9"/>
    <w:rsid w:val="00444B6B"/>
    <w:rsid w:val="00445498"/>
    <w:rsid w:val="00445D2A"/>
    <w:rsid w:val="004468C5"/>
    <w:rsid w:val="00447A9B"/>
    <w:rsid w:val="004502D8"/>
    <w:rsid w:val="00450FAC"/>
    <w:rsid w:val="00451837"/>
    <w:rsid w:val="004551C6"/>
    <w:rsid w:val="00455309"/>
    <w:rsid w:val="00455736"/>
    <w:rsid w:val="00455B39"/>
    <w:rsid w:val="004562A6"/>
    <w:rsid w:val="00457AB4"/>
    <w:rsid w:val="0046031C"/>
    <w:rsid w:val="00460974"/>
    <w:rsid w:val="0046102D"/>
    <w:rsid w:val="00463081"/>
    <w:rsid w:val="00463D8F"/>
    <w:rsid w:val="00463E57"/>
    <w:rsid w:val="00465068"/>
    <w:rsid w:val="00465652"/>
    <w:rsid w:val="00466D93"/>
    <w:rsid w:val="00466E8C"/>
    <w:rsid w:val="00466EC0"/>
    <w:rsid w:val="004706E1"/>
    <w:rsid w:val="0047073D"/>
    <w:rsid w:val="004716F9"/>
    <w:rsid w:val="00471A61"/>
    <w:rsid w:val="00474A83"/>
    <w:rsid w:val="00474C49"/>
    <w:rsid w:val="0047642E"/>
    <w:rsid w:val="0047737D"/>
    <w:rsid w:val="0047793D"/>
    <w:rsid w:val="00477C3F"/>
    <w:rsid w:val="0048073A"/>
    <w:rsid w:val="00483969"/>
    <w:rsid w:val="00483F1F"/>
    <w:rsid w:val="00484011"/>
    <w:rsid w:val="0048406A"/>
    <w:rsid w:val="0048413D"/>
    <w:rsid w:val="00484D33"/>
    <w:rsid w:val="00485FED"/>
    <w:rsid w:val="004869B2"/>
    <w:rsid w:val="004874A4"/>
    <w:rsid w:val="00487731"/>
    <w:rsid w:val="004878FA"/>
    <w:rsid w:val="00487CB1"/>
    <w:rsid w:val="00491239"/>
    <w:rsid w:val="0049154E"/>
    <w:rsid w:val="00492687"/>
    <w:rsid w:val="00492AC6"/>
    <w:rsid w:val="00492E42"/>
    <w:rsid w:val="00492E76"/>
    <w:rsid w:val="004938F7"/>
    <w:rsid w:val="004944BF"/>
    <w:rsid w:val="00494558"/>
    <w:rsid w:val="00495E30"/>
    <w:rsid w:val="00496BC4"/>
    <w:rsid w:val="004A15B0"/>
    <w:rsid w:val="004A19FF"/>
    <w:rsid w:val="004A1A86"/>
    <w:rsid w:val="004A1B0F"/>
    <w:rsid w:val="004A1F14"/>
    <w:rsid w:val="004A39A0"/>
    <w:rsid w:val="004A57FC"/>
    <w:rsid w:val="004A63CE"/>
    <w:rsid w:val="004A6A5A"/>
    <w:rsid w:val="004A7902"/>
    <w:rsid w:val="004B0290"/>
    <w:rsid w:val="004B1207"/>
    <w:rsid w:val="004B1A60"/>
    <w:rsid w:val="004B2C83"/>
    <w:rsid w:val="004B419A"/>
    <w:rsid w:val="004B4F6C"/>
    <w:rsid w:val="004B77C1"/>
    <w:rsid w:val="004B78CD"/>
    <w:rsid w:val="004B7D64"/>
    <w:rsid w:val="004C1BD7"/>
    <w:rsid w:val="004C3D52"/>
    <w:rsid w:val="004C4286"/>
    <w:rsid w:val="004C44C1"/>
    <w:rsid w:val="004C67C3"/>
    <w:rsid w:val="004C6F4D"/>
    <w:rsid w:val="004C723C"/>
    <w:rsid w:val="004C7B04"/>
    <w:rsid w:val="004D07DA"/>
    <w:rsid w:val="004D0A6A"/>
    <w:rsid w:val="004D20D6"/>
    <w:rsid w:val="004D2F84"/>
    <w:rsid w:val="004D5D2D"/>
    <w:rsid w:val="004E06FE"/>
    <w:rsid w:val="004E18E8"/>
    <w:rsid w:val="004E3A35"/>
    <w:rsid w:val="004E52E4"/>
    <w:rsid w:val="004E5A46"/>
    <w:rsid w:val="004E5A90"/>
    <w:rsid w:val="004E5E3E"/>
    <w:rsid w:val="004E6BFC"/>
    <w:rsid w:val="004F0670"/>
    <w:rsid w:val="004F1402"/>
    <w:rsid w:val="004F32F4"/>
    <w:rsid w:val="005005CE"/>
    <w:rsid w:val="00500A53"/>
    <w:rsid w:val="00500E67"/>
    <w:rsid w:val="00501DF9"/>
    <w:rsid w:val="00501F46"/>
    <w:rsid w:val="0050255C"/>
    <w:rsid w:val="00503610"/>
    <w:rsid w:val="00503D9D"/>
    <w:rsid w:val="0050400B"/>
    <w:rsid w:val="00504046"/>
    <w:rsid w:val="00505D2C"/>
    <w:rsid w:val="00505D90"/>
    <w:rsid w:val="00506632"/>
    <w:rsid w:val="005074B7"/>
    <w:rsid w:val="00507697"/>
    <w:rsid w:val="00507B16"/>
    <w:rsid w:val="00507CDF"/>
    <w:rsid w:val="00511552"/>
    <w:rsid w:val="00512773"/>
    <w:rsid w:val="005128B2"/>
    <w:rsid w:val="00512CDB"/>
    <w:rsid w:val="0051398E"/>
    <w:rsid w:val="00514FC2"/>
    <w:rsid w:val="005150FB"/>
    <w:rsid w:val="005153C1"/>
    <w:rsid w:val="005154C4"/>
    <w:rsid w:val="0051553E"/>
    <w:rsid w:val="00520751"/>
    <w:rsid w:val="00520DDB"/>
    <w:rsid w:val="00523313"/>
    <w:rsid w:val="005254B6"/>
    <w:rsid w:val="005255EF"/>
    <w:rsid w:val="00526576"/>
    <w:rsid w:val="00526710"/>
    <w:rsid w:val="005303FD"/>
    <w:rsid w:val="005305EB"/>
    <w:rsid w:val="0053167D"/>
    <w:rsid w:val="005321F2"/>
    <w:rsid w:val="00533699"/>
    <w:rsid w:val="0053374A"/>
    <w:rsid w:val="00533B69"/>
    <w:rsid w:val="00533D54"/>
    <w:rsid w:val="005345D2"/>
    <w:rsid w:val="00534600"/>
    <w:rsid w:val="00535454"/>
    <w:rsid w:val="005359BA"/>
    <w:rsid w:val="00535B95"/>
    <w:rsid w:val="00535F6E"/>
    <w:rsid w:val="0053777B"/>
    <w:rsid w:val="00540296"/>
    <w:rsid w:val="00540544"/>
    <w:rsid w:val="00541BED"/>
    <w:rsid w:val="00541EEC"/>
    <w:rsid w:val="00543882"/>
    <w:rsid w:val="00544787"/>
    <w:rsid w:val="00546AF2"/>
    <w:rsid w:val="005475CC"/>
    <w:rsid w:val="00547F1A"/>
    <w:rsid w:val="00551211"/>
    <w:rsid w:val="0055277A"/>
    <w:rsid w:val="005529A3"/>
    <w:rsid w:val="00552B3B"/>
    <w:rsid w:val="00552CBE"/>
    <w:rsid w:val="00552F9A"/>
    <w:rsid w:val="00552FC7"/>
    <w:rsid w:val="00554F5A"/>
    <w:rsid w:val="00554F75"/>
    <w:rsid w:val="0055675A"/>
    <w:rsid w:val="005577DA"/>
    <w:rsid w:val="00562296"/>
    <w:rsid w:val="00563174"/>
    <w:rsid w:val="005647A6"/>
    <w:rsid w:val="005648DB"/>
    <w:rsid w:val="005649FA"/>
    <w:rsid w:val="0056679B"/>
    <w:rsid w:val="00567554"/>
    <w:rsid w:val="005814A8"/>
    <w:rsid w:val="00583508"/>
    <w:rsid w:val="00585344"/>
    <w:rsid w:val="0058660E"/>
    <w:rsid w:val="00586E6B"/>
    <w:rsid w:val="0058721E"/>
    <w:rsid w:val="0059009D"/>
    <w:rsid w:val="005910F0"/>
    <w:rsid w:val="0059205B"/>
    <w:rsid w:val="00592C11"/>
    <w:rsid w:val="00592F88"/>
    <w:rsid w:val="00593BBA"/>
    <w:rsid w:val="00594F26"/>
    <w:rsid w:val="005958DE"/>
    <w:rsid w:val="00595E01"/>
    <w:rsid w:val="00596330"/>
    <w:rsid w:val="00597608"/>
    <w:rsid w:val="00597DEE"/>
    <w:rsid w:val="005A2ABB"/>
    <w:rsid w:val="005A2D72"/>
    <w:rsid w:val="005A2FA3"/>
    <w:rsid w:val="005A4988"/>
    <w:rsid w:val="005A4E0D"/>
    <w:rsid w:val="005A4F41"/>
    <w:rsid w:val="005A609E"/>
    <w:rsid w:val="005A659E"/>
    <w:rsid w:val="005A6C79"/>
    <w:rsid w:val="005B1150"/>
    <w:rsid w:val="005B1F0A"/>
    <w:rsid w:val="005B337E"/>
    <w:rsid w:val="005B43A3"/>
    <w:rsid w:val="005B49F1"/>
    <w:rsid w:val="005B4C55"/>
    <w:rsid w:val="005B58D4"/>
    <w:rsid w:val="005B5E88"/>
    <w:rsid w:val="005B6949"/>
    <w:rsid w:val="005C1339"/>
    <w:rsid w:val="005C1AC1"/>
    <w:rsid w:val="005C2171"/>
    <w:rsid w:val="005C218C"/>
    <w:rsid w:val="005C24C9"/>
    <w:rsid w:val="005C435E"/>
    <w:rsid w:val="005C482A"/>
    <w:rsid w:val="005C664B"/>
    <w:rsid w:val="005C7338"/>
    <w:rsid w:val="005D195F"/>
    <w:rsid w:val="005D22B1"/>
    <w:rsid w:val="005D2669"/>
    <w:rsid w:val="005D352A"/>
    <w:rsid w:val="005D4F3B"/>
    <w:rsid w:val="005D5508"/>
    <w:rsid w:val="005D62DC"/>
    <w:rsid w:val="005D691B"/>
    <w:rsid w:val="005D6FF8"/>
    <w:rsid w:val="005D79E9"/>
    <w:rsid w:val="005E2992"/>
    <w:rsid w:val="005E2D65"/>
    <w:rsid w:val="005E3026"/>
    <w:rsid w:val="005E4750"/>
    <w:rsid w:val="005E5F4D"/>
    <w:rsid w:val="005F0531"/>
    <w:rsid w:val="005F084C"/>
    <w:rsid w:val="005F2212"/>
    <w:rsid w:val="005F3431"/>
    <w:rsid w:val="005F423E"/>
    <w:rsid w:val="005F4465"/>
    <w:rsid w:val="005F4932"/>
    <w:rsid w:val="005F5BCC"/>
    <w:rsid w:val="005F5BF5"/>
    <w:rsid w:val="005F5E78"/>
    <w:rsid w:val="005F68B5"/>
    <w:rsid w:val="005F73A6"/>
    <w:rsid w:val="005F7FF8"/>
    <w:rsid w:val="0060183E"/>
    <w:rsid w:val="00601BD5"/>
    <w:rsid w:val="00601BF5"/>
    <w:rsid w:val="00602CBF"/>
    <w:rsid w:val="00604E09"/>
    <w:rsid w:val="0060585F"/>
    <w:rsid w:val="006065D1"/>
    <w:rsid w:val="00607227"/>
    <w:rsid w:val="00607BE0"/>
    <w:rsid w:val="00607CC8"/>
    <w:rsid w:val="00612B6E"/>
    <w:rsid w:val="00612D16"/>
    <w:rsid w:val="00614CE3"/>
    <w:rsid w:val="00617E74"/>
    <w:rsid w:val="00620922"/>
    <w:rsid w:val="0062210B"/>
    <w:rsid w:val="00623062"/>
    <w:rsid w:val="00623A2F"/>
    <w:rsid w:val="00623B2C"/>
    <w:rsid w:val="0062561D"/>
    <w:rsid w:val="00625E5D"/>
    <w:rsid w:val="00626AE5"/>
    <w:rsid w:val="00630811"/>
    <w:rsid w:val="00631167"/>
    <w:rsid w:val="006316CC"/>
    <w:rsid w:val="00632CC9"/>
    <w:rsid w:val="00633A25"/>
    <w:rsid w:val="00633F18"/>
    <w:rsid w:val="00633F52"/>
    <w:rsid w:val="00634FD6"/>
    <w:rsid w:val="0063507F"/>
    <w:rsid w:val="006367F7"/>
    <w:rsid w:val="00637632"/>
    <w:rsid w:val="006403D4"/>
    <w:rsid w:val="0064063C"/>
    <w:rsid w:val="00640ED9"/>
    <w:rsid w:val="00641458"/>
    <w:rsid w:val="0064192B"/>
    <w:rsid w:val="00644656"/>
    <w:rsid w:val="006448A2"/>
    <w:rsid w:val="00644A4C"/>
    <w:rsid w:val="0064616B"/>
    <w:rsid w:val="006462CA"/>
    <w:rsid w:val="006477D1"/>
    <w:rsid w:val="00647DE0"/>
    <w:rsid w:val="006506D8"/>
    <w:rsid w:val="00651038"/>
    <w:rsid w:val="00652953"/>
    <w:rsid w:val="0065380F"/>
    <w:rsid w:val="006542A2"/>
    <w:rsid w:val="00654432"/>
    <w:rsid w:val="0065527B"/>
    <w:rsid w:val="00656EEC"/>
    <w:rsid w:val="00656FC5"/>
    <w:rsid w:val="00657FED"/>
    <w:rsid w:val="00660AC3"/>
    <w:rsid w:val="00660FA5"/>
    <w:rsid w:val="00664D4B"/>
    <w:rsid w:val="00664F43"/>
    <w:rsid w:val="00666904"/>
    <w:rsid w:val="00666B75"/>
    <w:rsid w:val="0067032F"/>
    <w:rsid w:val="006705B2"/>
    <w:rsid w:val="00671609"/>
    <w:rsid w:val="00673BC3"/>
    <w:rsid w:val="00673D97"/>
    <w:rsid w:val="006746E3"/>
    <w:rsid w:val="00674788"/>
    <w:rsid w:val="00675AF3"/>
    <w:rsid w:val="00676875"/>
    <w:rsid w:val="006774C2"/>
    <w:rsid w:val="006775D3"/>
    <w:rsid w:val="006804FD"/>
    <w:rsid w:val="00680C30"/>
    <w:rsid w:val="0068195E"/>
    <w:rsid w:val="00681E4E"/>
    <w:rsid w:val="00682562"/>
    <w:rsid w:val="00684FA3"/>
    <w:rsid w:val="006866F3"/>
    <w:rsid w:val="00687C92"/>
    <w:rsid w:val="00687F06"/>
    <w:rsid w:val="00690045"/>
    <w:rsid w:val="0069011F"/>
    <w:rsid w:val="00690788"/>
    <w:rsid w:val="006926DE"/>
    <w:rsid w:val="00693823"/>
    <w:rsid w:val="00693AC3"/>
    <w:rsid w:val="00693CE1"/>
    <w:rsid w:val="00693DF9"/>
    <w:rsid w:val="00694DF4"/>
    <w:rsid w:val="0069542F"/>
    <w:rsid w:val="00696081"/>
    <w:rsid w:val="00696329"/>
    <w:rsid w:val="00696333"/>
    <w:rsid w:val="00696DDA"/>
    <w:rsid w:val="006A00CE"/>
    <w:rsid w:val="006A097D"/>
    <w:rsid w:val="006A0F07"/>
    <w:rsid w:val="006A12DC"/>
    <w:rsid w:val="006A2C3A"/>
    <w:rsid w:val="006A3B82"/>
    <w:rsid w:val="006A44EB"/>
    <w:rsid w:val="006A4AC2"/>
    <w:rsid w:val="006A6688"/>
    <w:rsid w:val="006A76FD"/>
    <w:rsid w:val="006A7972"/>
    <w:rsid w:val="006A7DB2"/>
    <w:rsid w:val="006B08BC"/>
    <w:rsid w:val="006B0E09"/>
    <w:rsid w:val="006B30A7"/>
    <w:rsid w:val="006B3962"/>
    <w:rsid w:val="006B3AB4"/>
    <w:rsid w:val="006B5E99"/>
    <w:rsid w:val="006B6F96"/>
    <w:rsid w:val="006B75AB"/>
    <w:rsid w:val="006C0617"/>
    <w:rsid w:val="006C4749"/>
    <w:rsid w:val="006C494E"/>
    <w:rsid w:val="006C552B"/>
    <w:rsid w:val="006C56A7"/>
    <w:rsid w:val="006C5D59"/>
    <w:rsid w:val="006D0AA5"/>
    <w:rsid w:val="006D1F5E"/>
    <w:rsid w:val="006D30B7"/>
    <w:rsid w:val="006D3188"/>
    <w:rsid w:val="006D6659"/>
    <w:rsid w:val="006D7BB8"/>
    <w:rsid w:val="006E1AAE"/>
    <w:rsid w:val="006E31B1"/>
    <w:rsid w:val="006E3379"/>
    <w:rsid w:val="006E34C2"/>
    <w:rsid w:val="006E722F"/>
    <w:rsid w:val="006F23C4"/>
    <w:rsid w:val="006F49DF"/>
    <w:rsid w:val="006F5591"/>
    <w:rsid w:val="006F5756"/>
    <w:rsid w:val="006F67FF"/>
    <w:rsid w:val="00702594"/>
    <w:rsid w:val="00704280"/>
    <w:rsid w:val="007053F2"/>
    <w:rsid w:val="007060A4"/>
    <w:rsid w:val="007074AF"/>
    <w:rsid w:val="00707F46"/>
    <w:rsid w:val="007104A3"/>
    <w:rsid w:val="007107A4"/>
    <w:rsid w:val="0071137E"/>
    <w:rsid w:val="007128C5"/>
    <w:rsid w:val="007144AB"/>
    <w:rsid w:val="00714A68"/>
    <w:rsid w:val="00716B5A"/>
    <w:rsid w:val="00716EA5"/>
    <w:rsid w:val="0072026C"/>
    <w:rsid w:val="00720B57"/>
    <w:rsid w:val="00721800"/>
    <w:rsid w:val="00721E23"/>
    <w:rsid w:val="00722026"/>
    <w:rsid w:val="0072537B"/>
    <w:rsid w:val="00726C1B"/>
    <w:rsid w:val="00726F3D"/>
    <w:rsid w:val="00727564"/>
    <w:rsid w:val="0072767A"/>
    <w:rsid w:val="007279D3"/>
    <w:rsid w:val="007303CB"/>
    <w:rsid w:val="00730419"/>
    <w:rsid w:val="00730943"/>
    <w:rsid w:val="00730E5E"/>
    <w:rsid w:val="00730F03"/>
    <w:rsid w:val="00731FCA"/>
    <w:rsid w:val="00733500"/>
    <w:rsid w:val="007344DA"/>
    <w:rsid w:val="007345F6"/>
    <w:rsid w:val="00734673"/>
    <w:rsid w:val="00734B4E"/>
    <w:rsid w:val="00736A41"/>
    <w:rsid w:val="0074105D"/>
    <w:rsid w:val="0074254C"/>
    <w:rsid w:val="007435FA"/>
    <w:rsid w:val="00743972"/>
    <w:rsid w:val="0074418B"/>
    <w:rsid w:val="0074421D"/>
    <w:rsid w:val="007474A2"/>
    <w:rsid w:val="00747A84"/>
    <w:rsid w:val="00747AA9"/>
    <w:rsid w:val="0075003B"/>
    <w:rsid w:val="00750B81"/>
    <w:rsid w:val="0075134E"/>
    <w:rsid w:val="00751419"/>
    <w:rsid w:val="007514DB"/>
    <w:rsid w:val="0075151F"/>
    <w:rsid w:val="0075182E"/>
    <w:rsid w:val="007520AC"/>
    <w:rsid w:val="00752C8B"/>
    <w:rsid w:val="00753E00"/>
    <w:rsid w:val="0075410E"/>
    <w:rsid w:val="007546CB"/>
    <w:rsid w:val="00754874"/>
    <w:rsid w:val="00757786"/>
    <w:rsid w:val="00757A24"/>
    <w:rsid w:val="0076021B"/>
    <w:rsid w:val="0076066B"/>
    <w:rsid w:val="00760684"/>
    <w:rsid w:val="007608AC"/>
    <w:rsid w:val="00761128"/>
    <w:rsid w:val="00761582"/>
    <w:rsid w:val="00761EBB"/>
    <w:rsid w:val="00762933"/>
    <w:rsid w:val="00765BE9"/>
    <w:rsid w:val="007666D3"/>
    <w:rsid w:val="0076691D"/>
    <w:rsid w:val="00766E85"/>
    <w:rsid w:val="007700B2"/>
    <w:rsid w:val="00773AAA"/>
    <w:rsid w:val="00774480"/>
    <w:rsid w:val="00774FA5"/>
    <w:rsid w:val="0077537C"/>
    <w:rsid w:val="00775C1F"/>
    <w:rsid w:val="007761B7"/>
    <w:rsid w:val="00776BE7"/>
    <w:rsid w:val="00776D71"/>
    <w:rsid w:val="007771E8"/>
    <w:rsid w:val="00777547"/>
    <w:rsid w:val="00777AB8"/>
    <w:rsid w:val="00777C72"/>
    <w:rsid w:val="007802C4"/>
    <w:rsid w:val="00784BA5"/>
    <w:rsid w:val="0078522F"/>
    <w:rsid w:val="00785B6E"/>
    <w:rsid w:val="007872FB"/>
    <w:rsid w:val="00787BDF"/>
    <w:rsid w:val="0079075B"/>
    <w:rsid w:val="00793075"/>
    <w:rsid w:val="0079313F"/>
    <w:rsid w:val="00793207"/>
    <w:rsid w:val="00793555"/>
    <w:rsid w:val="00793DF5"/>
    <w:rsid w:val="00793F1F"/>
    <w:rsid w:val="00794F2C"/>
    <w:rsid w:val="007A0A81"/>
    <w:rsid w:val="007A24D2"/>
    <w:rsid w:val="007A2ABA"/>
    <w:rsid w:val="007A2D6D"/>
    <w:rsid w:val="007A3492"/>
    <w:rsid w:val="007A3F96"/>
    <w:rsid w:val="007B180A"/>
    <w:rsid w:val="007B19BE"/>
    <w:rsid w:val="007B3F93"/>
    <w:rsid w:val="007B4553"/>
    <w:rsid w:val="007B4ABF"/>
    <w:rsid w:val="007B634A"/>
    <w:rsid w:val="007B689D"/>
    <w:rsid w:val="007B6AF7"/>
    <w:rsid w:val="007B7698"/>
    <w:rsid w:val="007C0C75"/>
    <w:rsid w:val="007C11D8"/>
    <w:rsid w:val="007C2DED"/>
    <w:rsid w:val="007C3129"/>
    <w:rsid w:val="007C3F4C"/>
    <w:rsid w:val="007C61CE"/>
    <w:rsid w:val="007C6823"/>
    <w:rsid w:val="007C7199"/>
    <w:rsid w:val="007C7AEC"/>
    <w:rsid w:val="007D2968"/>
    <w:rsid w:val="007D2A26"/>
    <w:rsid w:val="007D2B95"/>
    <w:rsid w:val="007D3CEC"/>
    <w:rsid w:val="007D4CD0"/>
    <w:rsid w:val="007D5A4C"/>
    <w:rsid w:val="007D6F89"/>
    <w:rsid w:val="007D7A27"/>
    <w:rsid w:val="007E09E0"/>
    <w:rsid w:val="007E0A7D"/>
    <w:rsid w:val="007E185F"/>
    <w:rsid w:val="007E1A0F"/>
    <w:rsid w:val="007E2777"/>
    <w:rsid w:val="007E3922"/>
    <w:rsid w:val="007E47D3"/>
    <w:rsid w:val="007E5B60"/>
    <w:rsid w:val="007E5B75"/>
    <w:rsid w:val="007E5BC1"/>
    <w:rsid w:val="007E6EC0"/>
    <w:rsid w:val="007E700E"/>
    <w:rsid w:val="007F019B"/>
    <w:rsid w:val="007F1293"/>
    <w:rsid w:val="007F260A"/>
    <w:rsid w:val="007F67B0"/>
    <w:rsid w:val="007F6977"/>
    <w:rsid w:val="007F7D35"/>
    <w:rsid w:val="007F7F94"/>
    <w:rsid w:val="008006DE"/>
    <w:rsid w:val="00801842"/>
    <w:rsid w:val="00801C4E"/>
    <w:rsid w:val="00802334"/>
    <w:rsid w:val="008037A9"/>
    <w:rsid w:val="00803A66"/>
    <w:rsid w:val="00803ABC"/>
    <w:rsid w:val="00803BDC"/>
    <w:rsid w:val="0080414E"/>
    <w:rsid w:val="00805A98"/>
    <w:rsid w:val="00805BA0"/>
    <w:rsid w:val="0080649E"/>
    <w:rsid w:val="00806EE1"/>
    <w:rsid w:val="00807185"/>
    <w:rsid w:val="0080776D"/>
    <w:rsid w:val="00807D0B"/>
    <w:rsid w:val="00811794"/>
    <w:rsid w:val="008122F2"/>
    <w:rsid w:val="008129BA"/>
    <w:rsid w:val="00812F83"/>
    <w:rsid w:val="00813AD9"/>
    <w:rsid w:val="00813B40"/>
    <w:rsid w:val="00813C23"/>
    <w:rsid w:val="00813FC2"/>
    <w:rsid w:val="00815310"/>
    <w:rsid w:val="0081599F"/>
    <w:rsid w:val="008159A4"/>
    <w:rsid w:val="00815CE9"/>
    <w:rsid w:val="00816249"/>
    <w:rsid w:val="008167B3"/>
    <w:rsid w:val="0081752E"/>
    <w:rsid w:val="0082051F"/>
    <w:rsid w:val="00820F73"/>
    <w:rsid w:val="0082208B"/>
    <w:rsid w:val="00822550"/>
    <w:rsid w:val="00822D4A"/>
    <w:rsid w:val="0082390B"/>
    <w:rsid w:val="008239DF"/>
    <w:rsid w:val="00824263"/>
    <w:rsid w:val="0082471A"/>
    <w:rsid w:val="008249ED"/>
    <w:rsid w:val="00826120"/>
    <w:rsid w:val="008278E7"/>
    <w:rsid w:val="00830791"/>
    <w:rsid w:val="00830928"/>
    <w:rsid w:val="0083169A"/>
    <w:rsid w:val="0083249C"/>
    <w:rsid w:val="008325BE"/>
    <w:rsid w:val="008333C3"/>
    <w:rsid w:val="008373C1"/>
    <w:rsid w:val="008379DA"/>
    <w:rsid w:val="00842B1F"/>
    <w:rsid w:val="0084476E"/>
    <w:rsid w:val="00844792"/>
    <w:rsid w:val="00846634"/>
    <w:rsid w:val="00851154"/>
    <w:rsid w:val="00852115"/>
    <w:rsid w:val="00853662"/>
    <w:rsid w:val="008539F7"/>
    <w:rsid w:val="00853CDE"/>
    <w:rsid w:val="008558B3"/>
    <w:rsid w:val="0085748E"/>
    <w:rsid w:val="00857516"/>
    <w:rsid w:val="008577E0"/>
    <w:rsid w:val="00857FA1"/>
    <w:rsid w:val="00860847"/>
    <w:rsid w:val="00860AD1"/>
    <w:rsid w:val="00861B41"/>
    <w:rsid w:val="00862382"/>
    <w:rsid w:val="0086306D"/>
    <w:rsid w:val="008638F5"/>
    <w:rsid w:val="00864B2E"/>
    <w:rsid w:val="00866B21"/>
    <w:rsid w:val="008676EF"/>
    <w:rsid w:val="00867F9A"/>
    <w:rsid w:val="008705D2"/>
    <w:rsid w:val="00870A49"/>
    <w:rsid w:val="008724C9"/>
    <w:rsid w:val="0087251A"/>
    <w:rsid w:val="008733D0"/>
    <w:rsid w:val="00874D24"/>
    <w:rsid w:val="00874F5A"/>
    <w:rsid w:val="00875AC6"/>
    <w:rsid w:val="008774A9"/>
    <w:rsid w:val="00877A35"/>
    <w:rsid w:val="008802F9"/>
    <w:rsid w:val="00881B06"/>
    <w:rsid w:val="008825CF"/>
    <w:rsid w:val="00885F96"/>
    <w:rsid w:val="00886B6F"/>
    <w:rsid w:val="00894DB2"/>
    <w:rsid w:val="00895FBB"/>
    <w:rsid w:val="008970B6"/>
    <w:rsid w:val="00897862"/>
    <w:rsid w:val="00897A3F"/>
    <w:rsid w:val="008A11FB"/>
    <w:rsid w:val="008A1C85"/>
    <w:rsid w:val="008A280B"/>
    <w:rsid w:val="008A44E7"/>
    <w:rsid w:val="008A5852"/>
    <w:rsid w:val="008B2736"/>
    <w:rsid w:val="008B2B8C"/>
    <w:rsid w:val="008B3AB8"/>
    <w:rsid w:val="008B3E17"/>
    <w:rsid w:val="008B41EF"/>
    <w:rsid w:val="008B48B6"/>
    <w:rsid w:val="008B59B2"/>
    <w:rsid w:val="008B6909"/>
    <w:rsid w:val="008B7155"/>
    <w:rsid w:val="008B7210"/>
    <w:rsid w:val="008C0155"/>
    <w:rsid w:val="008C1340"/>
    <w:rsid w:val="008C28A0"/>
    <w:rsid w:val="008C34E8"/>
    <w:rsid w:val="008C3640"/>
    <w:rsid w:val="008C4258"/>
    <w:rsid w:val="008C4CC2"/>
    <w:rsid w:val="008C4D7A"/>
    <w:rsid w:val="008C5384"/>
    <w:rsid w:val="008C566F"/>
    <w:rsid w:val="008C5EF6"/>
    <w:rsid w:val="008C6757"/>
    <w:rsid w:val="008C67DE"/>
    <w:rsid w:val="008D011A"/>
    <w:rsid w:val="008D04B1"/>
    <w:rsid w:val="008D069E"/>
    <w:rsid w:val="008D1440"/>
    <w:rsid w:val="008D15C4"/>
    <w:rsid w:val="008D3186"/>
    <w:rsid w:val="008D422C"/>
    <w:rsid w:val="008D4DB1"/>
    <w:rsid w:val="008D6E9A"/>
    <w:rsid w:val="008D7DEC"/>
    <w:rsid w:val="008E1CC4"/>
    <w:rsid w:val="008E22CE"/>
    <w:rsid w:val="008E2B5B"/>
    <w:rsid w:val="008E2E40"/>
    <w:rsid w:val="008E3B54"/>
    <w:rsid w:val="008E4277"/>
    <w:rsid w:val="008E4CE9"/>
    <w:rsid w:val="008E55D8"/>
    <w:rsid w:val="008E61FD"/>
    <w:rsid w:val="008E64CC"/>
    <w:rsid w:val="008E74B9"/>
    <w:rsid w:val="008E7E35"/>
    <w:rsid w:val="008F26CF"/>
    <w:rsid w:val="008F3D65"/>
    <w:rsid w:val="008F520B"/>
    <w:rsid w:val="008F5217"/>
    <w:rsid w:val="008F5481"/>
    <w:rsid w:val="008F5998"/>
    <w:rsid w:val="008F64D1"/>
    <w:rsid w:val="008F6A94"/>
    <w:rsid w:val="008F702F"/>
    <w:rsid w:val="00901044"/>
    <w:rsid w:val="0090285A"/>
    <w:rsid w:val="00904020"/>
    <w:rsid w:val="0090625D"/>
    <w:rsid w:val="0090632A"/>
    <w:rsid w:val="00906382"/>
    <w:rsid w:val="00907A1E"/>
    <w:rsid w:val="009107F3"/>
    <w:rsid w:val="00911036"/>
    <w:rsid w:val="0091162A"/>
    <w:rsid w:val="0091227B"/>
    <w:rsid w:val="009132CD"/>
    <w:rsid w:val="009159E5"/>
    <w:rsid w:val="00916207"/>
    <w:rsid w:val="0091660A"/>
    <w:rsid w:val="00916647"/>
    <w:rsid w:val="00916C9D"/>
    <w:rsid w:val="009174C1"/>
    <w:rsid w:val="00921790"/>
    <w:rsid w:val="009218FF"/>
    <w:rsid w:val="00922348"/>
    <w:rsid w:val="0092257D"/>
    <w:rsid w:val="0092284C"/>
    <w:rsid w:val="00923AB0"/>
    <w:rsid w:val="00923CD1"/>
    <w:rsid w:val="00924EB1"/>
    <w:rsid w:val="00926C9C"/>
    <w:rsid w:val="009277D7"/>
    <w:rsid w:val="00927A75"/>
    <w:rsid w:val="00927AB2"/>
    <w:rsid w:val="00930019"/>
    <w:rsid w:val="00931B79"/>
    <w:rsid w:val="00933AED"/>
    <w:rsid w:val="00933C9B"/>
    <w:rsid w:val="009341CA"/>
    <w:rsid w:val="009342C4"/>
    <w:rsid w:val="00935590"/>
    <w:rsid w:val="009369A1"/>
    <w:rsid w:val="00936A3F"/>
    <w:rsid w:val="00936C76"/>
    <w:rsid w:val="00936D83"/>
    <w:rsid w:val="00936E9E"/>
    <w:rsid w:val="00940CE2"/>
    <w:rsid w:val="00941207"/>
    <w:rsid w:val="0094138B"/>
    <w:rsid w:val="009414D2"/>
    <w:rsid w:val="0094250A"/>
    <w:rsid w:val="00942B8D"/>
    <w:rsid w:val="00942E88"/>
    <w:rsid w:val="00942F77"/>
    <w:rsid w:val="009439F0"/>
    <w:rsid w:val="00943E59"/>
    <w:rsid w:val="00944E23"/>
    <w:rsid w:val="00945BE8"/>
    <w:rsid w:val="0094640F"/>
    <w:rsid w:val="0095041C"/>
    <w:rsid w:val="009511D9"/>
    <w:rsid w:val="00951E42"/>
    <w:rsid w:val="0095267D"/>
    <w:rsid w:val="009536D7"/>
    <w:rsid w:val="009541A3"/>
    <w:rsid w:val="0095499F"/>
    <w:rsid w:val="00955D37"/>
    <w:rsid w:val="00956BFB"/>
    <w:rsid w:val="00957C1E"/>
    <w:rsid w:val="00957C82"/>
    <w:rsid w:val="00960896"/>
    <w:rsid w:val="00960EBF"/>
    <w:rsid w:val="00961D4C"/>
    <w:rsid w:val="0096220D"/>
    <w:rsid w:val="009624AE"/>
    <w:rsid w:val="009625DB"/>
    <w:rsid w:val="009626E9"/>
    <w:rsid w:val="00962AD0"/>
    <w:rsid w:val="00963A7C"/>
    <w:rsid w:val="00964977"/>
    <w:rsid w:val="009650F6"/>
    <w:rsid w:val="00966B1C"/>
    <w:rsid w:val="00966CBE"/>
    <w:rsid w:val="00967446"/>
    <w:rsid w:val="00970D74"/>
    <w:rsid w:val="00971942"/>
    <w:rsid w:val="00973313"/>
    <w:rsid w:val="009758D6"/>
    <w:rsid w:val="00977689"/>
    <w:rsid w:val="00977E0B"/>
    <w:rsid w:val="00981546"/>
    <w:rsid w:val="00984E3B"/>
    <w:rsid w:val="00986F58"/>
    <w:rsid w:val="00987766"/>
    <w:rsid w:val="009913EA"/>
    <w:rsid w:val="0099172A"/>
    <w:rsid w:val="00991836"/>
    <w:rsid w:val="00991CAD"/>
    <w:rsid w:val="00992AC2"/>
    <w:rsid w:val="0099346A"/>
    <w:rsid w:val="009934A7"/>
    <w:rsid w:val="00994037"/>
    <w:rsid w:val="009955DD"/>
    <w:rsid w:val="00996FF6"/>
    <w:rsid w:val="00997065"/>
    <w:rsid w:val="00997859"/>
    <w:rsid w:val="00997C05"/>
    <w:rsid w:val="009A05B0"/>
    <w:rsid w:val="009A1804"/>
    <w:rsid w:val="009A2132"/>
    <w:rsid w:val="009A219A"/>
    <w:rsid w:val="009A4C51"/>
    <w:rsid w:val="009A621A"/>
    <w:rsid w:val="009A68FC"/>
    <w:rsid w:val="009A69C2"/>
    <w:rsid w:val="009A6DF6"/>
    <w:rsid w:val="009B076A"/>
    <w:rsid w:val="009B18F8"/>
    <w:rsid w:val="009B2483"/>
    <w:rsid w:val="009B60B3"/>
    <w:rsid w:val="009B6437"/>
    <w:rsid w:val="009B70C8"/>
    <w:rsid w:val="009C07E2"/>
    <w:rsid w:val="009C10E3"/>
    <w:rsid w:val="009C1535"/>
    <w:rsid w:val="009C1675"/>
    <w:rsid w:val="009C2D66"/>
    <w:rsid w:val="009C2D71"/>
    <w:rsid w:val="009C2E3E"/>
    <w:rsid w:val="009C35AB"/>
    <w:rsid w:val="009C49C1"/>
    <w:rsid w:val="009C563A"/>
    <w:rsid w:val="009C6C68"/>
    <w:rsid w:val="009C6F19"/>
    <w:rsid w:val="009D137C"/>
    <w:rsid w:val="009D1883"/>
    <w:rsid w:val="009D2E15"/>
    <w:rsid w:val="009D3289"/>
    <w:rsid w:val="009D3791"/>
    <w:rsid w:val="009D53AA"/>
    <w:rsid w:val="009D676F"/>
    <w:rsid w:val="009D6902"/>
    <w:rsid w:val="009D797A"/>
    <w:rsid w:val="009E0AE2"/>
    <w:rsid w:val="009E1E8E"/>
    <w:rsid w:val="009E3126"/>
    <w:rsid w:val="009E3999"/>
    <w:rsid w:val="009E40AD"/>
    <w:rsid w:val="009E473F"/>
    <w:rsid w:val="009E497D"/>
    <w:rsid w:val="009E4B58"/>
    <w:rsid w:val="009E5439"/>
    <w:rsid w:val="009E5C7E"/>
    <w:rsid w:val="009E5F12"/>
    <w:rsid w:val="009E61DE"/>
    <w:rsid w:val="009E6B8A"/>
    <w:rsid w:val="009E723E"/>
    <w:rsid w:val="009E7DAE"/>
    <w:rsid w:val="009E7FDB"/>
    <w:rsid w:val="009F3AED"/>
    <w:rsid w:val="009F5E75"/>
    <w:rsid w:val="009F73B2"/>
    <w:rsid w:val="009F7665"/>
    <w:rsid w:val="009F77E0"/>
    <w:rsid w:val="00A0048F"/>
    <w:rsid w:val="00A023C6"/>
    <w:rsid w:val="00A02B11"/>
    <w:rsid w:val="00A02FD5"/>
    <w:rsid w:val="00A058CA"/>
    <w:rsid w:val="00A068F7"/>
    <w:rsid w:val="00A07135"/>
    <w:rsid w:val="00A10D05"/>
    <w:rsid w:val="00A11A75"/>
    <w:rsid w:val="00A11F08"/>
    <w:rsid w:val="00A14671"/>
    <w:rsid w:val="00A162C8"/>
    <w:rsid w:val="00A17EAC"/>
    <w:rsid w:val="00A20958"/>
    <w:rsid w:val="00A21BE6"/>
    <w:rsid w:val="00A227A6"/>
    <w:rsid w:val="00A24276"/>
    <w:rsid w:val="00A24BB4"/>
    <w:rsid w:val="00A26A88"/>
    <w:rsid w:val="00A26F11"/>
    <w:rsid w:val="00A30C07"/>
    <w:rsid w:val="00A317B1"/>
    <w:rsid w:val="00A318ED"/>
    <w:rsid w:val="00A32FB3"/>
    <w:rsid w:val="00A33B36"/>
    <w:rsid w:val="00A3597A"/>
    <w:rsid w:val="00A35C3D"/>
    <w:rsid w:val="00A35E3F"/>
    <w:rsid w:val="00A361B3"/>
    <w:rsid w:val="00A36253"/>
    <w:rsid w:val="00A36E70"/>
    <w:rsid w:val="00A37DBC"/>
    <w:rsid w:val="00A37F3A"/>
    <w:rsid w:val="00A408EE"/>
    <w:rsid w:val="00A40C6F"/>
    <w:rsid w:val="00A40CB3"/>
    <w:rsid w:val="00A41109"/>
    <w:rsid w:val="00A45186"/>
    <w:rsid w:val="00A45382"/>
    <w:rsid w:val="00A45D14"/>
    <w:rsid w:val="00A47668"/>
    <w:rsid w:val="00A477B4"/>
    <w:rsid w:val="00A50904"/>
    <w:rsid w:val="00A50D2D"/>
    <w:rsid w:val="00A52068"/>
    <w:rsid w:val="00A525E2"/>
    <w:rsid w:val="00A5466E"/>
    <w:rsid w:val="00A548EA"/>
    <w:rsid w:val="00A552CA"/>
    <w:rsid w:val="00A55B23"/>
    <w:rsid w:val="00A55F2F"/>
    <w:rsid w:val="00A56C43"/>
    <w:rsid w:val="00A57638"/>
    <w:rsid w:val="00A57692"/>
    <w:rsid w:val="00A57EF5"/>
    <w:rsid w:val="00A612B7"/>
    <w:rsid w:val="00A62714"/>
    <w:rsid w:val="00A62738"/>
    <w:rsid w:val="00A6472E"/>
    <w:rsid w:val="00A65A3D"/>
    <w:rsid w:val="00A66202"/>
    <w:rsid w:val="00A67F18"/>
    <w:rsid w:val="00A67FFB"/>
    <w:rsid w:val="00A70F98"/>
    <w:rsid w:val="00A71622"/>
    <w:rsid w:val="00A72A0C"/>
    <w:rsid w:val="00A72A13"/>
    <w:rsid w:val="00A72D57"/>
    <w:rsid w:val="00A72FAA"/>
    <w:rsid w:val="00A73C27"/>
    <w:rsid w:val="00A745B3"/>
    <w:rsid w:val="00A74DE9"/>
    <w:rsid w:val="00A75F66"/>
    <w:rsid w:val="00A767B0"/>
    <w:rsid w:val="00A76BA6"/>
    <w:rsid w:val="00A76C5B"/>
    <w:rsid w:val="00A773B3"/>
    <w:rsid w:val="00A77590"/>
    <w:rsid w:val="00A77C76"/>
    <w:rsid w:val="00A77E3E"/>
    <w:rsid w:val="00A77FBF"/>
    <w:rsid w:val="00A80435"/>
    <w:rsid w:val="00A8165B"/>
    <w:rsid w:val="00A819A9"/>
    <w:rsid w:val="00A81C74"/>
    <w:rsid w:val="00A848F8"/>
    <w:rsid w:val="00A85351"/>
    <w:rsid w:val="00A855C6"/>
    <w:rsid w:val="00A869CC"/>
    <w:rsid w:val="00A91DAA"/>
    <w:rsid w:val="00A92216"/>
    <w:rsid w:val="00A92C01"/>
    <w:rsid w:val="00A931AB"/>
    <w:rsid w:val="00A9587A"/>
    <w:rsid w:val="00A97F35"/>
    <w:rsid w:val="00A97F47"/>
    <w:rsid w:val="00AA01A8"/>
    <w:rsid w:val="00AA09F5"/>
    <w:rsid w:val="00AA2687"/>
    <w:rsid w:val="00AA2D62"/>
    <w:rsid w:val="00AA2F87"/>
    <w:rsid w:val="00AA36D3"/>
    <w:rsid w:val="00AA3749"/>
    <w:rsid w:val="00AA4268"/>
    <w:rsid w:val="00AA53F9"/>
    <w:rsid w:val="00AA5D54"/>
    <w:rsid w:val="00AA65AF"/>
    <w:rsid w:val="00AA739D"/>
    <w:rsid w:val="00AB01B3"/>
    <w:rsid w:val="00AB0DDE"/>
    <w:rsid w:val="00AB4B63"/>
    <w:rsid w:val="00AC041E"/>
    <w:rsid w:val="00AC1479"/>
    <w:rsid w:val="00AC330D"/>
    <w:rsid w:val="00AC678F"/>
    <w:rsid w:val="00AC7998"/>
    <w:rsid w:val="00AD0670"/>
    <w:rsid w:val="00AD2E3C"/>
    <w:rsid w:val="00AD346D"/>
    <w:rsid w:val="00AD5B58"/>
    <w:rsid w:val="00AD5F3F"/>
    <w:rsid w:val="00AD6439"/>
    <w:rsid w:val="00AD7DB5"/>
    <w:rsid w:val="00AE0211"/>
    <w:rsid w:val="00AE0A50"/>
    <w:rsid w:val="00AE24F9"/>
    <w:rsid w:val="00AE32F0"/>
    <w:rsid w:val="00AE38F0"/>
    <w:rsid w:val="00AE3A85"/>
    <w:rsid w:val="00AE5090"/>
    <w:rsid w:val="00AE62E5"/>
    <w:rsid w:val="00AE6E27"/>
    <w:rsid w:val="00AF04C2"/>
    <w:rsid w:val="00AF17D9"/>
    <w:rsid w:val="00AF1C7D"/>
    <w:rsid w:val="00AF1DFA"/>
    <w:rsid w:val="00AF2EC6"/>
    <w:rsid w:val="00AF310D"/>
    <w:rsid w:val="00AF31BA"/>
    <w:rsid w:val="00AF3B6B"/>
    <w:rsid w:val="00AF3D1A"/>
    <w:rsid w:val="00AF44B8"/>
    <w:rsid w:val="00AF5AA0"/>
    <w:rsid w:val="00AF6247"/>
    <w:rsid w:val="00B000C6"/>
    <w:rsid w:val="00B007C1"/>
    <w:rsid w:val="00B00BFB"/>
    <w:rsid w:val="00B02228"/>
    <w:rsid w:val="00B024CD"/>
    <w:rsid w:val="00B04061"/>
    <w:rsid w:val="00B05498"/>
    <w:rsid w:val="00B05768"/>
    <w:rsid w:val="00B070CF"/>
    <w:rsid w:val="00B07A97"/>
    <w:rsid w:val="00B11832"/>
    <w:rsid w:val="00B11B20"/>
    <w:rsid w:val="00B14280"/>
    <w:rsid w:val="00B14331"/>
    <w:rsid w:val="00B14AAC"/>
    <w:rsid w:val="00B15438"/>
    <w:rsid w:val="00B154C3"/>
    <w:rsid w:val="00B154D7"/>
    <w:rsid w:val="00B15868"/>
    <w:rsid w:val="00B203E5"/>
    <w:rsid w:val="00B20E38"/>
    <w:rsid w:val="00B20F63"/>
    <w:rsid w:val="00B220F4"/>
    <w:rsid w:val="00B23B40"/>
    <w:rsid w:val="00B25310"/>
    <w:rsid w:val="00B25456"/>
    <w:rsid w:val="00B268F8"/>
    <w:rsid w:val="00B27D65"/>
    <w:rsid w:val="00B32344"/>
    <w:rsid w:val="00B3240E"/>
    <w:rsid w:val="00B3289A"/>
    <w:rsid w:val="00B32C17"/>
    <w:rsid w:val="00B3557C"/>
    <w:rsid w:val="00B35B3C"/>
    <w:rsid w:val="00B372C0"/>
    <w:rsid w:val="00B378DA"/>
    <w:rsid w:val="00B42ADB"/>
    <w:rsid w:val="00B42E21"/>
    <w:rsid w:val="00B42FC8"/>
    <w:rsid w:val="00B43012"/>
    <w:rsid w:val="00B4411F"/>
    <w:rsid w:val="00B44EB0"/>
    <w:rsid w:val="00B4732E"/>
    <w:rsid w:val="00B5055D"/>
    <w:rsid w:val="00B50AD0"/>
    <w:rsid w:val="00B510D6"/>
    <w:rsid w:val="00B524BC"/>
    <w:rsid w:val="00B54940"/>
    <w:rsid w:val="00B54D71"/>
    <w:rsid w:val="00B54F31"/>
    <w:rsid w:val="00B55FC2"/>
    <w:rsid w:val="00B5603D"/>
    <w:rsid w:val="00B56D8B"/>
    <w:rsid w:val="00B601D3"/>
    <w:rsid w:val="00B62471"/>
    <w:rsid w:val="00B62AF7"/>
    <w:rsid w:val="00B62BDA"/>
    <w:rsid w:val="00B6333E"/>
    <w:rsid w:val="00B64CA3"/>
    <w:rsid w:val="00B66DC6"/>
    <w:rsid w:val="00B6726C"/>
    <w:rsid w:val="00B6752F"/>
    <w:rsid w:val="00B67FF4"/>
    <w:rsid w:val="00B70DDC"/>
    <w:rsid w:val="00B71114"/>
    <w:rsid w:val="00B712E4"/>
    <w:rsid w:val="00B71A09"/>
    <w:rsid w:val="00B72036"/>
    <w:rsid w:val="00B72317"/>
    <w:rsid w:val="00B72C52"/>
    <w:rsid w:val="00B740A2"/>
    <w:rsid w:val="00B74290"/>
    <w:rsid w:val="00B757E6"/>
    <w:rsid w:val="00B75EC2"/>
    <w:rsid w:val="00B761B8"/>
    <w:rsid w:val="00B777A3"/>
    <w:rsid w:val="00B779D2"/>
    <w:rsid w:val="00B8144E"/>
    <w:rsid w:val="00B81658"/>
    <w:rsid w:val="00B818A3"/>
    <w:rsid w:val="00B81BDB"/>
    <w:rsid w:val="00B82265"/>
    <w:rsid w:val="00B84DD7"/>
    <w:rsid w:val="00B856C7"/>
    <w:rsid w:val="00B8624D"/>
    <w:rsid w:val="00B8647A"/>
    <w:rsid w:val="00B866E1"/>
    <w:rsid w:val="00B903EB"/>
    <w:rsid w:val="00B90FC4"/>
    <w:rsid w:val="00B921B8"/>
    <w:rsid w:val="00B93154"/>
    <w:rsid w:val="00B93217"/>
    <w:rsid w:val="00B948AF"/>
    <w:rsid w:val="00BA25D6"/>
    <w:rsid w:val="00BA346C"/>
    <w:rsid w:val="00BA3D0A"/>
    <w:rsid w:val="00BA4A63"/>
    <w:rsid w:val="00BA4D2F"/>
    <w:rsid w:val="00BA5A92"/>
    <w:rsid w:val="00BA6F6B"/>
    <w:rsid w:val="00BA7B3C"/>
    <w:rsid w:val="00BB0D78"/>
    <w:rsid w:val="00BB0E9B"/>
    <w:rsid w:val="00BB1330"/>
    <w:rsid w:val="00BB2445"/>
    <w:rsid w:val="00BB2478"/>
    <w:rsid w:val="00BB343B"/>
    <w:rsid w:val="00BB396D"/>
    <w:rsid w:val="00BB5A9C"/>
    <w:rsid w:val="00BB5C01"/>
    <w:rsid w:val="00BB614D"/>
    <w:rsid w:val="00BB6A94"/>
    <w:rsid w:val="00BB7EDF"/>
    <w:rsid w:val="00BC01B3"/>
    <w:rsid w:val="00BC0319"/>
    <w:rsid w:val="00BC0D92"/>
    <w:rsid w:val="00BC1267"/>
    <w:rsid w:val="00BC357A"/>
    <w:rsid w:val="00BC39DF"/>
    <w:rsid w:val="00BC3A8C"/>
    <w:rsid w:val="00BC5787"/>
    <w:rsid w:val="00BC58D1"/>
    <w:rsid w:val="00BC63FD"/>
    <w:rsid w:val="00BC76C1"/>
    <w:rsid w:val="00BD051B"/>
    <w:rsid w:val="00BD19E5"/>
    <w:rsid w:val="00BD3E44"/>
    <w:rsid w:val="00BD4202"/>
    <w:rsid w:val="00BD440A"/>
    <w:rsid w:val="00BD447C"/>
    <w:rsid w:val="00BD4C11"/>
    <w:rsid w:val="00BD68EE"/>
    <w:rsid w:val="00BD79A4"/>
    <w:rsid w:val="00BD7CF1"/>
    <w:rsid w:val="00BE00AD"/>
    <w:rsid w:val="00BE1999"/>
    <w:rsid w:val="00BE26EA"/>
    <w:rsid w:val="00BE2761"/>
    <w:rsid w:val="00BE2FD7"/>
    <w:rsid w:val="00BE3F16"/>
    <w:rsid w:val="00BE4FF0"/>
    <w:rsid w:val="00BE7726"/>
    <w:rsid w:val="00BE7E25"/>
    <w:rsid w:val="00BF29F5"/>
    <w:rsid w:val="00BF2F71"/>
    <w:rsid w:val="00BF44D3"/>
    <w:rsid w:val="00BF4948"/>
    <w:rsid w:val="00BF52C3"/>
    <w:rsid w:val="00BF5624"/>
    <w:rsid w:val="00BF568A"/>
    <w:rsid w:val="00BF6AFF"/>
    <w:rsid w:val="00BF7B1F"/>
    <w:rsid w:val="00BF7DB6"/>
    <w:rsid w:val="00C000B4"/>
    <w:rsid w:val="00C000EC"/>
    <w:rsid w:val="00C00910"/>
    <w:rsid w:val="00C00E8A"/>
    <w:rsid w:val="00C00E91"/>
    <w:rsid w:val="00C02377"/>
    <w:rsid w:val="00C02CCC"/>
    <w:rsid w:val="00C0319A"/>
    <w:rsid w:val="00C03452"/>
    <w:rsid w:val="00C0345A"/>
    <w:rsid w:val="00C03A34"/>
    <w:rsid w:val="00C03BE6"/>
    <w:rsid w:val="00C04BEF"/>
    <w:rsid w:val="00C07071"/>
    <w:rsid w:val="00C1142A"/>
    <w:rsid w:val="00C1196C"/>
    <w:rsid w:val="00C12E98"/>
    <w:rsid w:val="00C13333"/>
    <w:rsid w:val="00C17B32"/>
    <w:rsid w:val="00C17C9E"/>
    <w:rsid w:val="00C2101C"/>
    <w:rsid w:val="00C21AF2"/>
    <w:rsid w:val="00C21B1B"/>
    <w:rsid w:val="00C22A03"/>
    <w:rsid w:val="00C22CF4"/>
    <w:rsid w:val="00C2330B"/>
    <w:rsid w:val="00C2385F"/>
    <w:rsid w:val="00C23A04"/>
    <w:rsid w:val="00C246D8"/>
    <w:rsid w:val="00C247BF"/>
    <w:rsid w:val="00C252B6"/>
    <w:rsid w:val="00C272AD"/>
    <w:rsid w:val="00C300DE"/>
    <w:rsid w:val="00C317AB"/>
    <w:rsid w:val="00C31FE1"/>
    <w:rsid w:val="00C345D2"/>
    <w:rsid w:val="00C34C6C"/>
    <w:rsid w:val="00C364A8"/>
    <w:rsid w:val="00C36CFC"/>
    <w:rsid w:val="00C3710D"/>
    <w:rsid w:val="00C376B6"/>
    <w:rsid w:val="00C37C9F"/>
    <w:rsid w:val="00C43375"/>
    <w:rsid w:val="00C44A55"/>
    <w:rsid w:val="00C451BE"/>
    <w:rsid w:val="00C45556"/>
    <w:rsid w:val="00C4651B"/>
    <w:rsid w:val="00C47D47"/>
    <w:rsid w:val="00C5066D"/>
    <w:rsid w:val="00C53781"/>
    <w:rsid w:val="00C537CA"/>
    <w:rsid w:val="00C547EB"/>
    <w:rsid w:val="00C54C42"/>
    <w:rsid w:val="00C5754A"/>
    <w:rsid w:val="00C57CE7"/>
    <w:rsid w:val="00C6150D"/>
    <w:rsid w:val="00C618A4"/>
    <w:rsid w:val="00C6246B"/>
    <w:rsid w:val="00C633B4"/>
    <w:rsid w:val="00C63534"/>
    <w:rsid w:val="00C63CE8"/>
    <w:rsid w:val="00C64085"/>
    <w:rsid w:val="00C6410D"/>
    <w:rsid w:val="00C64AC5"/>
    <w:rsid w:val="00C656FC"/>
    <w:rsid w:val="00C65D23"/>
    <w:rsid w:val="00C671AF"/>
    <w:rsid w:val="00C7083E"/>
    <w:rsid w:val="00C70AE2"/>
    <w:rsid w:val="00C70BAF"/>
    <w:rsid w:val="00C72F62"/>
    <w:rsid w:val="00C730B2"/>
    <w:rsid w:val="00C73AEC"/>
    <w:rsid w:val="00C74303"/>
    <w:rsid w:val="00C7592C"/>
    <w:rsid w:val="00C76D53"/>
    <w:rsid w:val="00C77E51"/>
    <w:rsid w:val="00C833D3"/>
    <w:rsid w:val="00C83B99"/>
    <w:rsid w:val="00C8441C"/>
    <w:rsid w:val="00C8613F"/>
    <w:rsid w:val="00C862CE"/>
    <w:rsid w:val="00C86C08"/>
    <w:rsid w:val="00C87372"/>
    <w:rsid w:val="00C87750"/>
    <w:rsid w:val="00C878AF"/>
    <w:rsid w:val="00C91607"/>
    <w:rsid w:val="00C91E7A"/>
    <w:rsid w:val="00C920E8"/>
    <w:rsid w:val="00C923C7"/>
    <w:rsid w:val="00C93A4C"/>
    <w:rsid w:val="00C93B20"/>
    <w:rsid w:val="00C93D0F"/>
    <w:rsid w:val="00C9646A"/>
    <w:rsid w:val="00C967D3"/>
    <w:rsid w:val="00CA41B0"/>
    <w:rsid w:val="00CA475A"/>
    <w:rsid w:val="00CA526E"/>
    <w:rsid w:val="00CA5E5E"/>
    <w:rsid w:val="00CA6371"/>
    <w:rsid w:val="00CA672B"/>
    <w:rsid w:val="00CA674D"/>
    <w:rsid w:val="00CB092F"/>
    <w:rsid w:val="00CB0B62"/>
    <w:rsid w:val="00CB1694"/>
    <w:rsid w:val="00CB182A"/>
    <w:rsid w:val="00CB1AFB"/>
    <w:rsid w:val="00CB2B95"/>
    <w:rsid w:val="00CB39A0"/>
    <w:rsid w:val="00CB3F14"/>
    <w:rsid w:val="00CB4418"/>
    <w:rsid w:val="00CB5188"/>
    <w:rsid w:val="00CC0126"/>
    <w:rsid w:val="00CC0B77"/>
    <w:rsid w:val="00CC3200"/>
    <w:rsid w:val="00CC42A5"/>
    <w:rsid w:val="00CC43F8"/>
    <w:rsid w:val="00CC4A39"/>
    <w:rsid w:val="00CC51AD"/>
    <w:rsid w:val="00CC53C9"/>
    <w:rsid w:val="00CD073E"/>
    <w:rsid w:val="00CD26C2"/>
    <w:rsid w:val="00CD2C76"/>
    <w:rsid w:val="00CD5A2D"/>
    <w:rsid w:val="00CD638D"/>
    <w:rsid w:val="00CD7323"/>
    <w:rsid w:val="00CE03E1"/>
    <w:rsid w:val="00CE03F2"/>
    <w:rsid w:val="00CE09FB"/>
    <w:rsid w:val="00CE3421"/>
    <w:rsid w:val="00CE57ED"/>
    <w:rsid w:val="00CE5F52"/>
    <w:rsid w:val="00CF0B24"/>
    <w:rsid w:val="00CF1A4A"/>
    <w:rsid w:val="00CF1FA1"/>
    <w:rsid w:val="00CF3127"/>
    <w:rsid w:val="00CF5DC9"/>
    <w:rsid w:val="00CF5E9A"/>
    <w:rsid w:val="00CF6481"/>
    <w:rsid w:val="00CF6ACC"/>
    <w:rsid w:val="00CF7458"/>
    <w:rsid w:val="00CF770A"/>
    <w:rsid w:val="00D014C8"/>
    <w:rsid w:val="00D01AC7"/>
    <w:rsid w:val="00D026CC"/>
    <w:rsid w:val="00D02CB0"/>
    <w:rsid w:val="00D031D7"/>
    <w:rsid w:val="00D04BDB"/>
    <w:rsid w:val="00D04EE9"/>
    <w:rsid w:val="00D06C42"/>
    <w:rsid w:val="00D10C91"/>
    <w:rsid w:val="00D11367"/>
    <w:rsid w:val="00D125B0"/>
    <w:rsid w:val="00D13833"/>
    <w:rsid w:val="00D14992"/>
    <w:rsid w:val="00D14E07"/>
    <w:rsid w:val="00D1501D"/>
    <w:rsid w:val="00D163A5"/>
    <w:rsid w:val="00D16866"/>
    <w:rsid w:val="00D22247"/>
    <w:rsid w:val="00D223C8"/>
    <w:rsid w:val="00D22953"/>
    <w:rsid w:val="00D2305D"/>
    <w:rsid w:val="00D23E1D"/>
    <w:rsid w:val="00D24824"/>
    <w:rsid w:val="00D24D05"/>
    <w:rsid w:val="00D24D80"/>
    <w:rsid w:val="00D32DDA"/>
    <w:rsid w:val="00D3325C"/>
    <w:rsid w:val="00D33717"/>
    <w:rsid w:val="00D34C65"/>
    <w:rsid w:val="00D36158"/>
    <w:rsid w:val="00D366CE"/>
    <w:rsid w:val="00D369DE"/>
    <w:rsid w:val="00D40351"/>
    <w:rsid w:val="00D43573"/>
    <w:rsid w:val="00D439B9"/>
    <w:rsid w:val="00D442E8"/>
    <w:rsid w:val="00D449DF"/>
    <w:rsid w:val="00D46EC8"/>
    <w:rsid w:val="00D50098"/>
    <w:rsid w:val="00D509E7"/>
    <w:rsid w:val="00D50F10"/>
    <w:rsid w:val="00D51575"/>
    <w:rsid w:val="00D52E31"/>
    <w:rsid w:val="00D5585B"/>
    <w:rsid w:val="00D56E92"/>
    <w:rsid w:val="00D60A69"/>
    <w:rsid w:val="00D61718"/>
    <w:rsid w:val="00D620C5"/>
    <w:rsid w:val="00D62E04"/>
    <w:rsid w:val="00D64924"/>
    <w:rsid w:val="00D65129"/>
    <w:rsid w:val="00D6604B"/>
    <w:rsid w:val="00D66928"/>
    <w:rsid w:val="00D66B8F"/>
    <w:rsid w:val="00D66C59"/>
    <w:rsid w:val="00D70F33"/>
    <w:rsid w:val="00D71E24"/>
    <w:rsid w:val="00D72078"/>
    <w:rsid w:val="00D72724"/>
    <w:rsid w:val="00D72B02"/>
    <w:rsid w:val="00D72CC5"/>
    <w:rsid w:val="00D73494"/>
    <w:rsid w:val="00D735C2"/>
    <w:rsid w:val="00D736D9"/>
    <w:rsid w:val="00D73E8A"/>
    <w:rsid w:val="00D7546B"/>
    <w:rsid w:val="00D76279"/>
    <w:rsid w:val="00D763C8"/>
    <w:rsid w:val="00D7661C"/>
    <w:rsid w:val="00D8043B"/>
    <w:rsid w:val="00D80498"/>
    <w:rsid w:val="00D80D08"/>
    <w:rsid w:val="00D81456"/>
    <w:rsid w:val="00D8181E"/>
    <w:rsid w:val="00D81E4B"/>
    <w:rsid w:val="00D83144"/>
    <w:rsid w:val="00D83459"/>
    <w:rsid w:val="00D846BA"/>
    <w:rsid w:val="00D84DD1"/>
    <w:rsid w:val="00D84E6F"/>
    <w:rsid w:val="00D85439"/>
    <w:rsid w:val="00D86B5A"/>
    <w:rsid w:val="00D86D31"/>
    <w:rsid w:val="00D87407"/>
    <w:rsid w:val="00D87F94"/>
    <w:rsid w:val="00D915B6"/>
    <w:rsid w:val="00D91901"/>
    <w:rsid w:val="00D91BB7"/>
    <w:rsid w:val="00D91CA1"/>
    <w:rsid w:val="00D92328"/>
    <w:rsid w:val="00D92E48"/>
    <w:rsid w:val="00D93C14"/>
    <w:rsid w:val="00D95BF6"/>
    <w:rsid w:val="00DA0784"/>
    <w:rsid w:val="00DA142A"/>
    <w:rsid w:val="00DA2E18"/>
    <w:rsid w:val="00DA34C4"/>
    <w:rsid w:val="00DA50D8"/>
    <w:rsid w:val="00DA5B93"/>
    <w:rsid w:val="00DA5D4B"/>
    <w:rsid w:val="00DA6A99"/>
    <w:rsid w:val="00DB0F8E"/>
    <w:rsid w:val="00DB182B"/>
    <w:rsid w:val="00DB1FC6"/>
    <w:rsid w:val="00DB281A"/>
    <w:rsid w:val="00DB2E64"/>
    <w:rsid w:val="00DB3F2D"/>
    <w:rsid w:val="00DB606B"/>
    <w:rsid w:val="00DB6103"/>
    <w:rsid w:val="00DB6A5F"/>
    <w:rsid w:val="00DB751A"/>
    <w:rsid w:val="00DC1CB4"/>
    <w:rsid w:val="00DC1CF4"/>
    <w:rsid w:val="00DC1EDA"/>
    <w:rsid w:val="00DC30E1"/>
    <w:rsid w:val="00DC3B70"/>
    <w:rsid w:val="00DC529C"/>
    <w:rsid w:val="00DC6C88"/>
    <w:rsid w:val="00DC6CB4"/>
    <w:rsid w:val="00DC6DAC"/>
    <w:rsid w:val="00DD114B"/>
    <w:rsid w:val="00DD18A1"/>
    <w:rsid w:val="00DD20DA"/>
    <w:rsid w:val="00DD25CA"/>
    <w:rsid w:val="00DD3501"/>
    <w:rsid w:val="00DD37C3"/>
    <w:rsid w:val="00DD3807"/>
    <w:rsid w:val="00DD445D"/>
    <w:rsid w:val="00DD5199"/>
    <w:rsid w:val="00DD525D"/>
    <w:rsid w:val="00DD5D17"/>
    <w:rsid w:val="00DD67F2"/>
    <w:rsid w:val="00DD6930"/>
    <w:rsid w:val="00DD74F5"/>
    <w:rsid w:val="00DD7F80"/>
    <w:rsid w:val="00DE0B30"/>
    <w:rsid w:val="00DE0E25"/>
    <w:rsid w:val="00DE27CC"/>
    <w:rsid w:val="00DE2D3B"/>
    <w:rsid w:val="00DE504F"/>
    <w:rsid w:val="00DE5E0E"/>
    <w:rsid w:val="00DE61CA"/>
    <w:rsid w:val="00DE6220"/>
    <w:rsid w:val="00DE677E"/>
    <w:rsid w:val="00DF0A1A"/>
    <w:rsid w:val="00DF0B39"/>
    <w:rsid w:val="00DF0E23"/>
    <w:rsid w:val="00DF16DA"/>
    <w:rsid w:val="00DF1F15"/>
    <w:rsid w:val="00DF28CB"/>
    <w:rsid w:val="00DF339E"/>
    <w:rsid w:val="00DF4301"/>
    <w:rsid w:val="00DF4DF1"/>
    <w:rsid w:val="00DF565F"/>
    <w:rsid w:val="00DF6A5A"/>
    <w:rsid w:val="00E0192D"/>
    <w:rsid w:val="00E01E86"/>
    <w:rsid w:val="00E01EFF"/>
    <w:rsid w:val="00E020A4"/>
    <w:rsid w:val="00E02D91"/>
    <w:rsid w:val="00E0465D"/>
    <w:rsid w:val="00E04CE6"/>
    <w:rsid w:val="00E053B9"/>
    <w:rsid w:val="00E06D9A"/>
    <w:rsid w:val="00E07AA2"/>
    <w:rsid w:val="00E07C65"/>
    <w:rsid w:val="00E12158"/>
    <w:rsid w:val="00E136B0"/>
    <w:rsid w:val="00E13AF6"/>
    <w:rsid w:val="00E1536F"/>
    <w:rsid w:val="00E15A35"/>
    <w:rsid w:val="00E163DD"/>
    <w:rsid w:val="00E20B0F"/>
    <w:rsid w:val="00E21518"/>
    <w:rsid w:val="00E2170A"/>
    <w:rsid w:val="00E22899"/>
    <w:rsid w:val="00E22FB5"/>
    <w:rsid w:val="00E24558"/>
    <w:rsid w:val="00E245C2"/>
    <w:rsid w:val="00E24A31"/>
    <w:rsid w:val="00E264D2"/>
    <w:rsid w:val="00E264F6"/>
    <w:rsid w:val="00E268C1"/>
    <w:rsid w:val="00E27500"/>
    <w:rsid w:val="00E277B8"/>
    <w:rsid w:val="00E30168"/>
    <w:rsid w:val="00E31F3D"/>
    <w:rsid w:val="00E322FA"/>
    <w:rsid w:val="00E32781"/>
    <w:rsid w:val="00E3350B"/>
    <w:rsid w:val="00E335BF"/>
    <w:rsid w:val="00E36A86"/>
    <w:rsid w:val="00E36AD4"/>
    <w:rsid w:val="00E44304"/>
    <w:rsid w:val="00E44AD5"/>
    <w:rsid w:val="00E44E06"/>
    <w:rsid w:val="00E44E1D"/>
    <w:rsid w:val="00E455C6"/>
    <w:rsid w:val="00E45A4F"/>
    <w:rsid w:val="00E460F4"/>
    <w:rsid w:val="00E4726D"/>
    <w:rsid w:val="00E474D5"/>
    <w:rsid w:val="00E50929"/>
    <w:rsid w:val="00E509AD"/>
    <w:rsid w:val="00E50DB6"/>
    <w:rsid w:val="00E52A0B"/>
    <w:rsid w:val="00E54DF6"/>
    <w:rsid w:val="00E54EEA"/>
    <w:rsid w:val="00E55AA1"/>
    <w:rsid w:val="00E55B62"/>
    <w:rsid w:val="00E575E7"/>
    <w:rsid w:val="00E577BF"/>
    <w:rsid w:val="00E61A52"/>
    <w:rsid w:val="00E61F79"/>
    <w:rsid w:val="00E622C6"/>
    <w:rsid w:val="00E6285E"/>
    <w:rsid w:val="00E63D69"/>
    <w:rsid w:val="00E63EFB"/>
    <w:rsid w:val="00E65110"/>
    <w:rsid w:val="00E65500"/>
    <w:rsid w:val="00E65D9B"/>
    <w:rsid w:val="00E6640F"/>
    <w:rsid w:val="00E7166A"/>
    <w:rsid w:val="00E72090"/>
    <w:rsid w:val="00E720C4"/>
    <w:rsid w:val="00E72517"/>
    <w:rsid w:val="00E72F4C"/>
    <w:rsid w:val="00E74A96"/>
    <w:rsid w:val="00E76588"/>
    <w:rsid w:val="00E76EAB"/>
    <w:rsid w:val="00E77BD4"/>
    <w:rsid w:val="00E81404"/>
    <w:rsid w:val="00E81DA6"/>
    <w:rsid w:val="00E84911"/>
    <w:rsid w:val="00E84B55"/>
    <w:rsid w:val="00E84B96"/>
    <w:rsid w:val="00E84EAD"/>
    <w:rsid w:val="00E85B6C"/>
    <w:rsid w:val="00E86029"/>
    <w:rsid w:val="00E873E7"/>
    <w:rsid w:val="00E9025F"/>
    <w:rsid w:val="00E90878"/>
    <w:rsid w:val="00E91261"/>
    <w:rsid w:val="00E9167E"/>
    <w:rsid w:val="00E9198A"/>
    <w:rsid w:val="00E91AA0"/>
    <w:rsid w:val="00E93585"/>
    <w:rsid w:val="00E95CA0"/>
    <w:rsid w:val="00E9660C"/>
    <w:rsid w:val="00E97A4B"/>
    <w:rsid w:val="00EA06EF"/>
    <w:rsid w:val="00EA0879"/>
    <w:rsid w:val="00EA0E81"/>
    <w:rsid w:val="00EA1353"/>
    <w:rsid w:val="00EA1B15"/>
    <w:rsid w:val="00EA2229"/>
    <w:rsid w:val="00EA278B"/>
    <w:rsid w:val="00EA3995"/>
    <w:rsid w:val="00EA3C1B"/>
    <w:rsid w:val="00EA3F03"/>
    <w:rsid w:val="00EA51D4"/>
    <w:rsid w:val="00EA582D"/>
    <w:rsid w:val="00EA7A72"/>
    <w:rsid w:val="00EA7CFC"/>
    <w:rsid w:val="00EB27A7"/>
    <w:rsid w:val="00EB29BF"/>
    <w:rsid w:val="00EB3EC3"/>
    <w:rsid w:val="00EB461B"/>
    <w:rsid w:val="00EB6B72"/>
    <w:rsid w:val="00EB7718"/>
    <w:rsid w:val="00EB7C09"/>
    <w:rsid w:val="00EC0789"/>
    <w:rsid w:val="00EC07D5"/>
    <w:rsid w:val="00EC0897"/>
    <w:rsid w:val="00EC0BC1"/>
    <w:rsid w:val="00EC114D"/>
    <w:rsid w:val="00EC25A5"/>
    <w:rsid w:val="00EC2729"/>
    <w:rsid w:val="00EC2DE7"/>
    <w:rsid w:val="00EC35ED"/>
    <w:rsid w:val="00EC371A"/>
    <w:rsid w:val="00EC3E4C"/>
    <w:rsid w:val="00EC7382"/>
    <w:rsid w:val="00ED214E"/>
    <w:rsid w:val="00ED23CA"/>
    <w:rsid w:val="00ED2A2F"/>
    <w:rsid w:val="00ED3671"/>
    <w:rsid w:val="00ED378D"/>
    <w:rsid w:val="00ED3B91"/>
    <w:rsid w:val="00ED4181"/>
    <w:rsid w:val="00ED52B0"/>
    <w:rsid w:val="00ED56D7"/>
    <w:rsid w:val="00ED7010"/>
    <w:rsid w:val="00ED7786"/>
    <w:rsid w:val="00ED7E41"/>
    <w:rsid w:val="00EE0452"/>
    <w:rsid w:val="00EE0F18"/>
    <w:rsid w:val="00EE0FF3"/>
    <w:rsid w:val="00EE2A50"/>
    <w:rsid w:val="00EE2BF3"/>
    <w:rsid w:val="00EE2E69"/>
    <w:rsid w:val="00EE33CE"/>
    <w:rsid w:val="00EE36CF"/>
    <w:rsid w:val="00EE4BFA"/>
    <w:rsid w:val="00EE69FD"/>
    <w:rsid w:val="00EE6D73"/>
    <w:rsid w:val="00EE710F"/>
    <w:rsid w:val="00EE7DBE"/>
    <w:rsid w:val="00EE7E45"/>
    <w:rsid w:val="00EF0121"/>
    <w:rsid w:val="00EF0B36"/>
    <w:rsid w:val="00EF22D5"/>
    <w:rsid w:val="00EF297A"/>
    <w:rsid w:val="00EF39DB"/>
    <w:rsid w:val="00EF53C1"/>
    <w:rsid w:val="00EF5C4A"/>
    <w:rsid w:val="00EF6219"/>
    <w:rsid w:val="00EF6D17"/>
    <w:rsid w:val="00EF709F"/>
    <w:rsid w:val="00F02949"/>
    <w:rsid w:val="00F035BD"/>
    <w:rsid w:val="00F0462B"/>
    <w:rsid w:val="00F04D9C"/>
    <w:rsid w:val="00F05C77"/>
    <w:rsid w:val="00F05D26"/>
    <w:rsid w:val="00F069D8"/>
    <w:rsid w:val="00F06DA8"/>
    <w:rsid w:val="00F0747C"/>
    <w:rsid w:val="00F1041E"/>
    <w:rsid w:val="00F12178"/>
    <w:rsid w:val="00F1405E"/>
    <w:rsid w:val="00F148C3"/>
    <w:rsid w:val="00F14D5C"/>
    <w:rsid w:val="00F15BED"/>
    <w:rsid w:val="00F15CC4"/>
    <w:rsid w:val="00F1615A"/>
    <w:rsid w:val="00F170FC"/>
    <w:rsid w:val="00F17BF1"/>
    <w:rsid w:val="00F201B7"/>
    <w:rsid w:val="00F25138"/>
    <w:rsid w:val="00F251A6"/>
    <w:rsid w:val="00F25977"/>
    <w:rsid w:val="00F25D91"/>
    <w:rsid w:val="00F261D7"/>
    <w:rsid w:val="00F27520"/>
    <w:rsid w:val="00F302A7"/>
    <w:rsid w:val="00F32274"/>
    <w:rsid w:val="00F346AE"/>
    <w:rsid w:val="00F34BA4"/>
    <w:rsid w:val="00F36715"/>
    <w:rsid w:val="00F36B34"/>
    <w:rsid w:val="00F3748C"/>
    <w:rsid w:val="00F37990"/>
    <w:rsid w:val="00F37A4A"/>
    <w:rsid w:val="00F40F7D"/>
    <w:rsid w:val="00F4231B"/>
    <w:rsid w:val="00F42B88"/>
    <w:rsid w:val="00F42DDE"/>
    <w:rsid w:val="00F436CB"/>
    <w:rsid w:val="00F4396B"/>
    <w:rsid w:val="00F44208"/>
    <w:rsid w:val="00F44438"/>
    <w:rsid w:val="00F457FB"/>
    <w:rsid w:val="00F45E40"/>
    <w:rsid w:val="00F4649D"/>
    <w:rsid w:val="00F47187"/>
    <w:rsid w:val="00F4755E"/>
    <w:rsid w:val="00F515AC"/>
    <w:rsid w:val="00F51CDF"/>
    <w:rsid w:val="00F52647"/>
    <w:rsid w:val="00F53E07"/>
    <w:rsid w:val="00F540D0"/>
    <w:rsid w:val="00F544C0"/>
    <w:rsid w:val="00F56ACB"/>
    <w:rsid w:val="00F56EF9"/>
    <w:rsid w:val="00F570EA"/>
    <w:rsid w:val="00F57857"/>
    <w:rsid w:val="00F57E67"/>
    <w:rsid w:val="00F61CFC"/>
    <w:rsid w:val="00F62776"/>
    <w:rsid w:val="00F65EA7"/>
    <w:rsid w:val="00F67937"/>
    <w:rsid w:val="00F70680"/>
    <w:rsid w:val="00F7101A"/>
    <w:rsid w:val="00F71A06"/>
    <w:rsid w:val="00F726CC"/>
    <w:rsid w:val="00F7487B"/>
    <w:rsid w:val="00F749D5"/>
    <w:rsid w:val="00F74A08"/>
    <w:rsid w:val="00F75156"/>
    <w:rsid w:val="00F75FBA"/>
    <w:rsid w:val="00F77415"/>
    <w:rsid w:val="00F80145"/>
    <w:rsid w:val="00F806CA"/>
    <w:rsid w:val="00F80AC2"/>
    <w:rsid w:val="00F80BEE"/>
    <w:rsid w:val="00F816E3"/>
    <w:rsid w:val="00F819B1"/>
    <w:rsid w:val="00F82097"/>
    <w:rsid w:val="00F822B5"/>
    <w:rsid w:val="00F825F0"/>
    <w:rsid w:val="00F835E3"/>
    <w:rsid w:val="00F851C4"/>
    <w:rsid w:val="00F85B0E"/>
    <w:rsid w:val="00F86184"/>
    <w:rsid w:val="00F86837"/>
    <w:rsid w:val="00F87077"/>
    <w:rsid w:val="00F870A9"/>
    <w:rsid w:val="00F91F1F"/>
    <w:rsid w:val="00F925FE"/>
    <w:rsid w:val="00F92871"/>
    <w:rsid w:val="00F928D0"/>
    <w:rsid w:val="00F93B9A"/>
    <w:rsid w:val="00F958B6"/>
    <w:rsid w:val="00F96877"/>
    <w:rsid w:val="00F9708C"/>
    <w:rsid w:val="00F97570"/>
    <w:rsid w:val="00F97963"/>
    <w:rsid w:val="00FA1019"/>
    <w:rsid w:val="00FA1ACF"/>
    <w:rsid w:val="00FA2C70"/>
    <w:rsid w:val="00FA442A"/>
    <w:rsid w:val="00FA4B31"/>
    <w:rsid w:val="00FA5432"/>
    <w:rsid w:val="00FA60D6"/>
    <w:rsid w:val="00FA6173"/>
    <w:rsid w:val="00FA6D40"/>
    <w:rsid w:val="00FA70B3"/>
    <w:rsid w:val="00FA7AE1"/>
    <w:rsid w:val="00FA7DAE"/>
    <w:rsid w:val="00FB03BD"/>
    <w:rsid w:val="00FB095E"/>
    <w:rsid w:val="00FB1981"/>
    <w:rsid w:val="00FB2397"/>
    <w:rsid w:val="00FB28C8"/>
    <w:rsid w:val="00FB3EB1"/>
    <w:rsid w:val="00FB4876"/>
    <w:rsid w:val="00FC2730"/>
    <w:rsid w:val="00FC2A3B"/>
    <w:rsid w:val="00FC47D3"/>
    <w:rsid w:val="00FC6103"/>
    <w:rsid w:val="00FD27F6"/>
    <w:rsid w:val="00FD2A48"/>
    <w:rsid w:val="00FD2AE6"/>
    <w:rsid w:val="00FD2B2E"/>
    <w:rsid w:val="00FD2BDD"/>
    <w:rsid w:val="00FD2BFB"/>
    <w:rsid w:val="00FD3BC1"/>
    <w:rsid w:val="00FD3EEF"/>
    <w:rsid w:val="00FD4BAC"/>
    <w:rsid w:val="00FD5197"/>
    <w:rsid w:val="00FD5B4E"/>
    <w:rsid w:val="00FD6635"/>
    <w:rsid w:val="00FE0388"/>
    <w:rsid w:val="00FE76F5"/>
    <w:rsid w:val="00FE78F4"/>
    <w:rsid w:val="00FE7D6D"/>
    <w:rsid w:val="00FF00C0"/>
    <w:rsid w:val="00FF214A"/>
    <w:rsid w:val="00FF3E74"/>
    <w:rsid w:val="00FF40F8"/>
    <w:rsid w:val="00FF450F"/>
    <w:rsid w:val="00FF5B17"/>
    <w:rsid w:val="00FF60D2"/>
    <w:rsid w:val="00FF63E8"/>
    <w:rsid w:val="00FF6471"/>
    <w:rsid w:val="00FF6B45"/>
    <w:rsid w:val="00FF740F"/>
    <w:rsid w:val="00FF7663"/>
    <w:rsid w:val="00FF7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7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3E7"/>
    <w:rPr>
      <w:rFonts w:ascii="Times New Roman" w:eastAsia="Times New Roman" w:hAnsi="Times New Roman"/>
      <w:sz w:val="24"/>
      <w:szCs w:val="24"/>
    </w:rPr>
  </w:style>
  <w:style w:type="paragraph" w:styleId="Heading1">
    <w:name w:val="heading 1"/>
    <w:aliases w:val="Char Char Char Char Char Char Char Char Char"/>
    <w:basedOn w:val="Normal"/>
    <w:next w:val="Normal"/>
    <w:link w:val="Heading1Char"/>
    <w:qFormat/>
    <w:rsid w:val="00E873E7"/>
    <w:pPr>
      <w:keepNext/>
      <w:spacing w:after="60"/>
      <w:jc w:val="center"/>
      <w:outlineLvl w:val="0"/>
    </w:pPr>
    <w:rPr>
      <w:rFonts w:cs="Arial"/>
      <w:b/>
      <w:bCs/>
      <w:kern w:val="32"/>
      <w:sz w:val="28"/>
      <w:szCs w:val="32"/>
    </w:rPr>
  </w:style>
  <w:style w:type="paragraph" w:styleId="Heading2">
    <w:name w:val="heading 2"/>
    <w:basedOn w:val="Normal"/>
    <w:next w:val="Normal"/>
    <w:link w:val="Heading2Char"/>
    <w:autoRedefine/>
    <w:unhideWhenUsed/>
    <w:qFormat/>
    <w:rsid w:val="00916C9D"/>
    <w:pPr>
      <w:keepNext/>
      <w:ind w:left="540" w:hanging="540"/>
      <w:jc w:val="center"/>
      <w:outlineLvl w:val="1"/>
    </w:pPr>
    <w:rPr>
      <w:b/>
      <w:bCs/>
      <w:iCs/>
      <w:sz w:val="28"/>
      <w:szCs w:val="28"/>
      <w:lang w:bidi="en-US"/>
    </w:rPr>
  </w:style>
  <w:style w:type="paragraph" w:styleId="Heading3">
    <w:name w:val="heading 3"/>
    <w:basedOn w:val="Normal"/>
    <w:next w:val="Normal"/>
    <w:link w:val="Heading3Char"/>
    <w:unhideWhenUsed/>
    <w:qFormat/>
    <w:rsid w:val="00941207"/>
    <w:pPr>
      <w:keepNext/>
      <w:spacing w:before="240" w:after="60"/>
      <w:outlineLvl w:val="2"/>
    </w:pPr>
    <w:rPr>
      <w:rFonts w:ascii="Cambria" w:hAnsi="Cambria"/>
      <w:b/>
      <w:bCs/>
      <w:sz w:val="26"/>
      <w:szCs w:val="26"/>
      <w:lang w:bidi="en-US"/>
    </w:rPr>
  </w:style>
  <w:style w:type="paragraph" w:styleId="Heading4">
    <w:name w:val="heading 4"/>
    <w:basedOn w:val="Normal"/>
    <w:next w:val="Normal"/>
    <w:link w:val="Heading4Char"/>
    <w:unhideWhenUsed/>
    <w:qFormat/>
    <w:rsid w:val="00941207"/>
    <w:pPr>
      <w:keepNext/>
      <w:spacing w:before="240" w:after="60"/>
      <w:outlineLvl w:val="3"/>
    </w:pPr>
    <w:rPr>
      <w:b/>
      <w:bCs/>
      <w:sz w:val="28"/>
      <w:szCs w:val="28"/>
      <w:lang w:bidi="en-US"/>
    </w:rPr>
  </w:style>
  <w:style w:type="paragraph" w:styleId="Heading5">
    <w:name w:val="heading 5"/>
    <w:basedOn w:val="Normal"/>
    <w:next w:val="Normal"/>
    <w:link w:val="Heading5Char"/>
    <w:unhideWhenUsed/>
    <w:qFormat/>
    <w:rsid w:val="00941207"/>
    <w:pPr>
      <w:spacing w:before="240" w:after="60"/>
      <w:outlineLvl w:val="4"/>
    </w:pPr>
    <w:rPr>
      <w:b/>
      <w:bCs/>
      <w:i/>
      <w:iCs/>
      <w:sz w:val="26"/>
      <w:szCs w:val="26"/>
      <w:lang w:bidi="en-US"/>
    </w:rPr>
  </w:style>
  <w:style w:type="paragraph" w:styleId="Heading6">
    <w:name w:val="heading 6"/>
    <w:basedOn w:val="Normal"/>
    <w:next w:val="Normal"/>
    <w:link w:val="Heading6Char"/>
    <w:unhideWhenUsed/>
    <w:qFormat/>
    <w:rsid w:val="00941207"/>
    <w:pPr>
      <w:spacing w:before="240" w:after="60"/>
      <w:outlineLvl w:val="5"/>
    </w:pPr>
    <w:rPr>
      <w:b/>
      <w:bCs/>
      <w:sz w:val="22"/>
      <w:szCs w:val="22"/>
      <w:lang w:bidi="en-US"/>
    </w:rPr>
  </w:style>
  <w:style w:type="paragraph" w:styleId="Heading7">
    <w:name w:val="heading 7"/>
    <w:basedOn w:val="Normal"/>
    <w:next w:val="Normal"/>
    <w:link w:val="Heading7Char"/>
    <w:unhideWhenUsed/>
    <w:qFormat/>
    <w:rsid w:val="00941207"/>
    <w:pPr>
      <w:spacing w:before="240" w:after="60"/>
      <w:outlineLvl w:val="6"/>
    </w:pPr>
    <w:rPr>
      <w:sz w:val="22"/>
      <w:lang w:bidi="en-US"/>
    </w:rPr>
  </w:style>
  <w:style w:type="paragraph" w:styleId="Heading8">
    <w:name w:val="heading 8"/>
    <w:basedOn w:val="Normal"/>
    <w:next w:val="Normal"/>
    <w:link w:val="Heading8Char"/>
    <w:unhideWhenUsed/>
    <w:qFormat/>
    <w:rsid w:val="00941207"/>
    <w:pPr>
      <w:spacing w:before="240" w:after="60"/>
      <w:outlineLvl w:val="7"/>
    </w:pPr>
    <w:rPr>
      <w:i/>
      <w:iCs/>
      <w:sz w:val="22"/>
      <w:lang w:bidi="en-US"/>
    </w:rPr>
  </w:style>
  <w:style w:type="paragraph" w:styleId="Heading9">
    <w:name w:val="heading 9"/>
    <w:basedOn w:val="Normal"/>
    <w:next w:val="Normal"/>
    <w:link w:val="Heading9Char"/>
    <w:unhideWhenUsed/>
    <w:qFormat/>
    <w:rsid w:val="00941207"/>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Char Char Char Char Char Char Char Char"/>
    <w:link w:val="Heading1"/>
    <w:rsid w:val="00E873E7"/>
    <w:rPr>
      <w:rFonts w:ascii="Times New Roman" w:eastAsia="Times New Roman" w:hAnsi="Times New Roman" w:cs="Arial"/>
      <w:b/>
      <w:bCs/>
      <w:kern w:val="32"/>
      <w:sz w:val="28"/>
      <w:szCs w:val="32"/>
    </w:rPr>
  </w:style>
  <w:style w:type="character" w:customStyle="1" w:styleId="Heading2Char">
    <w:name w:val="Heading 2 Char"/>
    <w:link w:val="Heading2"/>
    <w:rsid w:val="00916C9D"/>
    <w:rPr>
      <w:rFonts w:ascii="Times New Roman" w:eastAsia="Times New Roman" w:hAnsi="Times New Roman"/>
      <w:b/>
      <w:bCs/>
      <w:iCs/>
      <w:sz w:val="28"/>
      <w:szCs w:val="28"/>
      <w:lang w:bidi="en-US"/>
    </w:rPr>
  </w:style>
  <w:style w:type="character" w:customStyle="1" w:styleId="Heading3Char">
    <w:name w:val="Heading 3 Char"/>
    <w:link w:val="Heading3"/>
    <w:rsid w:val="00941207"/>
    <w:rPr>
      <w:rFonts w:ascii="Cambria" w:eastAsia="Times New Roman" w:hAnsi="Cambria" w:cs="Times New Roman"/>
      <w:b/>
      <w:bCs/>
      <w:sz w:val="26"/>
      <w:szCs w:val="26"/>
      <w:lang w:bidi="en-US"/>
    </w:rPr>
  </w:style>
  <w:style w:type="character" w:customStyle="1" w:styleId="Heading4Char">
    <w:name w:val="Heading 4 Char"/>
    <w:link w:val="Heading4"/>
    <w:rsid w:val="00941207"/>
    <w:rPr>
      <w:rFonts w:ascii="Times New Roman" w:eastAsia="Times New Roman" w:hAnsi="Times New Roman" w:cs="Times New Roman"/>
      <w:b/>
      <w:bCs/>
      <w:sz w:val="28"/>
      <w:szCs w:val="28"/>
      <w:lang w:bidi="en-US"/>
    </w:rPr>
  </w:style>
  <w:style w:type="character" w:customStyle="1" w:styleId="Heading5Char">
    <w:name w:val="Heading 5 Char"/>
    <w:link w:val="Heading5"/>
    <w:rsid w:val="00941207"/>
    <w:rPr>
      <w:rFonts w:ascii="Times New Roman" w:eastAsia="Times New Roman" w:hAnsi="Times New Roman" w:cs="Times New Roman"/>
      <w:b/>
      <w:bCs/>
      <w:i/>
      <w:iCs/>
      <w:sz w:val="26"/>
      <w:szCs w:val="26"/>
      <w:lang w:bidi="en-US"/>
    </w:rPr>
  </w:style>
  <w:style w:type="character" w:customStyle="1" w:styleId="Heading6Char">
    <w:name w:val="Heading 6 Char"/>
    <w:link w:val="Heading6"/>
    <w:rsid w:val="00941207"/>
    <w:rPr>
      <w:rFonts w:ascii="Times New Roman" w:eastAsia="Times New Roman" w:hAnsi="Times New Roman" w:cs="Times New Roman"/>
      <w:b/>
      <w:bCs/>
      <w:lang w:bidi="en-US"/>
    </w:rPr>
  </w:style>
  <w:style w:type="character" w:customStyle="1" w:styleId="Heading7Char">
    <w:name w:val="Heading 7 Char"/>
    <w:link w:val="Heading7"/>
    <w:rsid w:val="00941207"/>
    <w:rPr>
      <w:rFonts w:ascii="Times New Roman" w:eastAsia="Times New Roman" w:hAnsi="Times New Roman" w:cs="Times New Roman"/>
      <w:szCs w:val="24"/>
      <w:lang w:bidi="en-US"/>
    </w:rPr>
  </w:style>
  <w:style w:type="character" w:customStyle="1" w:styleId="Heading8Char">
    <w:name w:val="Heading 8 Char"/>
    <w:link w:val="Heading8"/>
    <w:rsid w:val="00941207"/>
    <w:rPr>
      <w:rFonts w:ascii="Times New Roman" w:eastAsia="Times New Roman" w:hAnsi="Times New Roman" w:cs="Times New Roman"/>
      <w:i/>
      <w:iCs/>
      <w:szCs w:val="24"/>
      <w:lang w:bidi="en-US"/>
    </w:rPr>
  </w:style>
  <w:style w:type="character" w:customStyle="1" w:styleId="Heading9Char">
    <w:name w:val="Heading 9 Char"/>
    <w:link w:val="Heading9"/>
    <w:rsid w:val="00941207"/>
    <w:rPr>
      <w:rFonts w:ascii="Cambria" w:eastAsia="Times New Roman" w:hAnsi="Cambria" w:cs="Times New Roman"/>
      <w:lang w:bidi="en-US"/>
    </w:rPr>
  </w:style>
  <w:style w:type="paragraph" w:styleId="Footer">
    <w:name w:val="footer"/>
    <w:basedOn w:val="Normal"/>
    <w:link w:val="FooterChar"/>
    <w:uiPriority w:val="99"/>
    <w:rsid w:val="00E873E7"/>
    <w:pPr>
      <w:tabs>
        <w:tab w:val="center" w:pos="4320"/>
        <w:tab w:val="right" w:pos="8640"/>
      </w:tabs>
    </w:pPr>
    <w:rPr>
      <w:szCs w:val="20"/>
    </w:rPr>
  </w:style>
  <w:style w:type="character" w:customStyle="1" w:styleId="FooterChar">
    <w:name w:val="Footer Char"/>
    <w:link w:val="Footer"/>
    <w:uiPriority w:val="99"/>
    <w:rsid w:val="00E873E7"/>
    <w:rPr>
      <w:rFonts w:ascii="Times New Roman" w:eastAsia="Times New Roman" w:hAnsi="Times New Roman" w:cs="Times New Roman"/>
      <w:sz w:val="24"/>
      <w:szCs w:val="20"/>
    </w:rPr>
  </w:style>
  <w:style w:type="character" w:styleId="PageNumber">
    <w:name w:val="page number"/>
    <w:basedOn w:val="DefaultParagraphFont"/>
    <w:rsid w:val="00E873E7"/>
  </w:style>
  <w:style w:type="paragraph" w:styleId="Header">
    <w:name w:val="header"/>
    <w:basedOn w:val="Normal"/>
    <w:link w:val="HeaderChar"/>
    <w:uiPriority w:val="99"/>
    <w:rsid w:val="00E873E7"/>
    <w:pPr>
      <w:tabs>
        <w:tab w:val="center" w:pos="4320"/>
        <w:tab w:val="right" w:pos="8640"/>
      </w:tabs>
    </w:pPr>
    <w:rPr>
      <w:szCs w:val="20"/>
    </w:rPr>
  </w:style>
  <w:style w:type="character" w:customStyle="1" w:styleId="HeaderChar">
    <w:name w:val="Header Char"/>
    <w:link w:val="Header"/>
    <w:uiPriority w:val="99"/>
    <w:rsid w:val="00E873E7"/>
    <w:rPr>
      <w:rFonts w:ascii="Times New Roman" w:eastAsia="Times New Roman" w:hAnsi="Times New Roman" w:cs="Times New Roman"/>
      <w:sz w:val="24"/>
      <w:szCs w:val="20"/>
    </w:rPr>
  </w:style>
  <w:style w:type="paragraph" w:styleId="BalloonText">
    <w:name w:val="Balloon Text"/>
    <w:basedOn w:val="Normal"/>
    <w:link w:val="BalloonTextChar"/>
    <w:unhideWhenUsed/>
    <w:rsid w:val="00E873E7"/>
    <w:rPr>
      <w:rFonts w:ascii="Tahoma" w:hAnsi="Tahoma" w:cs="Tahoma"/>
      <w:sz w:val="16"/>
      <w:szCs w:val="16"/>
    </w:rPr>
  </w:style>
  <w:style w:type="character" w:customStyle="1" w:styleId="BalloonTextChar">
    <w:name w:val="Balloon Text Char"/>
    <w:link w:val="BalloonText"/>
    <w:rsid w:val="00E873E7"/>
    <w:rPr>
      <w:rFonts w:ascii="Tahoma" w:eastAsia="Times New Roman" w:hAnsi="Tahoma" w:cs="Tahoma"/>
      <w:sz w:val="16"/>
      <w:szCs w:val="16"/>
    </w:rPr>
  </w:style>
  <w:style w:type="paragraph" w:styleId="BodyText">
    <w:name w:val="Body Text"/>
    <w:basedOn w:val="Normal"/>
    <w:link w:val="BodyTextChar"/>
    <w:rsid w:val="00E873E7"/>
    <w:pPr>
      <w:jc w:val="both"/>
    </w:pPr>
  </w:style>
  <w:style w:type="character" w:customStyle="1" w:styleId="BodyTextChar">
    <w:name w:val="Body Text Char"/>
    <w:link w:val="BodyText"/>
    <w:rsid w:val="00E873E7"/>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E873E7"/>
    <w:rPr>
      <w:sz w:val="20"/>
      <w:szCs w:val="20"/>
    </w:rPr>
  </w:style>
  <w:style w:type="character" w:customStyle="1" w:styleId="FootnoteTextChar">
    <w:name w:val="Footnote Text Char"/>
    <w:link w:val="FootnoteText"/>
    <w:uiPriority w:val="99"/>
    <w:rsid w:val="00E873E7"/>
    <w:rPr>
      <w:rFonts w:ascii="Times New Roman" w:eastAsia="Times New Roman" w:hAnsi="Times New Roman" w:cs="Times New Roman"/>
      <w:sz w:val="20"/>
      <w:szCs w:val="20"/>
    </w:rPr>
  </w:style>
  <w:style w:type="character" w:styleId="FootnoteReference">
    <w:name w:val="footnote reference"/>
    <w:uiPriority w:val="99"/>
    <w:semiHidden/>
    <w:unhideWhenUsed/>
    <w:rsid w:val="00E873E7"/>
    <w:rPr>
      <w:vertAlign w:val="superscript"/>
    </w:rPr>
  </w:style>
  <w:style w:type="paragraph" w:styleId="EndnoteText">
    <w:name w:val="endnote text"/>
    <w:basedOn w:val="Normal"/>
    <w:link w:val="EndnoteTextChar"/>
    <w:rsid w:val="00E873E7"/>
    <w:rPr>
      <w:sz w:val="20"/>
      <w:szCs w:val="20"/>
    </w:rPr>
  </w:style>
  <w:style w:type="character" w:customStyle="1" w:styleId="EndnoteTextChar">
    <w:name w:val="Endnote Text Char"/>
    <w:link w:val="EndnoteText"/>
    <w:rsid w:val="00E873E7"/>
    <w:rPr>
      <w:rFonts w:ascii="Times New Roman" w:eastAsia="Times New Roman" w:hAnsi="Times New Roman" w:cs="Times New Roman"/>
      <w:sz w:val="20"/>
      <w:szCs w:val="20"/>
    </w:rPr>
  </w:style>
  <w:style w:type="paragraph" w:customStyle="1" w:styleId="TOCHeader">
    <w:name w:val="TOC Header"/>
    <w:basedOn w:val="Normal"/>
    <w:link w:val="TOCHeaderChar"/>
    <w:rsid w:val="00E873E7"/>
    <w:pPr>
      <w:tabs>
        <w:tab w:val="left" w:pos="2685"/>
      </w:tabs>
    </w:pPr>
    <w:rPr>
      <w:b/>
    </w:rPr>
  </w:style>
  <w:style w:type="character" w:customStyle="1" w:styleId="TOCHeaderChar">
    <w:name w:val="TOC Header Char"/>
    <w:link w:val="TOCHeader"/>
    <w:locked/>
    <w:rsid w:val="00E873E7"/>
    <w:rPr>
      <w:rFonts w:ascii="Times New Roman" w:eastAsia="Times New Roman" w:hAnsi="Times New Roman" w:cs="Times New Roman"/>
      <w:b/>
      <w:sz w:val="24"/>
      <w:szCs w:val="24"/>
    </w:rPr>
  </w:style>
  <w:style w:type="paragraph" w:styleId="ListParagraph">
    <w:name w:val="List Paragraph"/>
    <w:basedOn w:val="Normal"/>
    <w:uiPriority w:val="34"/>
    <w:qFormat/>
    <w:rsid w:val="00E873E7"/>
    <w:pPr>
      <w:ind w:left="720"/>
      <w:contextualSpacing/>
    </w:pPr>
  </w:style>
  <w:style w:type="character" w:styleId="Emphasis">
    <w:name w:val="Emphasis"/>
    <w:uiPriority w:val="20"/>
    <w:qFormat/>
    <w:rsid w:val="00E873E7"/>
    <w:rPr>
      <w:i/>
      <w:iCs/>
    </w:rPr>
  </w:style>
  <w:style w:type="character" w:styleId="Strong">
    <w:name w:val="Strong"/>
    <w:uiPriority w:val="22"/>
    <w:qFormat/>
    <w:rsid w:val="00E873E7"/>
    <w:rPr>
      <w:b/>
      <w:bCs/>
    </w:rPr>
  </w:style>
  <w:style w:type="table" w:styleId="TableGrid">
    <w:name w:val="Table Grid"/>
    <w:basedOn w:val="TableNormal"/>
    <w:rsid w:val="00E873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873E7"/>
    <w:rPr>
      <w:rFonts w:cs="Times New Roman"/>
      <w:color w:val="0000FF"/>
      <w:u w:val="single"/>
    </w:rPr>
  </w:style>
  <w:style w:type="paragraph" w:styleId="NormalWeb">
    <w:name w:val="Normal (Web)"/>
    <w:basedOn w:val="Normal"/>
    <w:uiPriority w:val="99"/>
    <w:rsid w:val="00E873E7"/>
    <w:pPr>
      <w:spacing w:before="100" w:beforeAutospacing="1" w:after="100" w:afterAutospacing="1"/>
    </w:pPr>
  </w:style>
  <w:style w:type="paragraph" w:customStyle="1" w:styleId="NormalJustified">
    <w:name w:val="Normal + Justified"/>
    <w:basedOn w:val="Normal"/>
    <w:link w:val="NormalJustifiedChar"/>
    <w:rsid w:val="00E873E7"/>
    <w:pPr>
      <w:jc w:val="both"/>
    </w:pPr>
  </w:style>
  <w:style w:type="character" w:customStyle="1" w:styleId="NormalJustifiedChar">
    <w:name w:val="Normal + Justified Char"/>
    <w:link w:val="NormalJustified"/>
    <w:rsid w:val="00E873E7"/>
    <w:rPr>
      <w:rFonts w:ascii="Times New Roman" w:eastAsia="Times New Roman" w:hAnsi="Times New Roman" w:cs="Times New Roman"/>
      <w:sz w:val="24"/>
      <w:szCs w:val="24"/>
    </w:rPr>
  </w:style>
  <w:style w:type="paragraph" w:customStyle="1" w:styleId="Default">
    <w:name w:val="Default"/>
    <w:rsid w:val="00E873E7"/>
    <w:pPr>
      <w:autoSpaceDE w:val="0"/>
      <w:autoSpaceDN w:val="0"/>
      <w:adjustRightInd w:val="0"/>
    </w:pPr>
    <w:rPr>
      <w:rFonts w:ascii="Times New Roman" w:eastAsia="Times New Roman" w:hAnsi="Times New Roman"/>
      <w:color w:val="000000"/>
      <w:sz w:val="24"/>
      <w:szCs w:val="24"/>
    </w:rPr>
  </w:style>
  <w:style w:type="paragraph" w:customStyle="1" w:styleId="normaldebs000030DEBS000014DEBS000014DEBS000016">
    <w:name w:val="normaldebs000030_DEBS000014_DEBS000014_DEBS000016"/>
    <w:basedOn w:val="Default"/>
    <w:next w:val="Default"/>
    <w:rsid w:val="00E873E7"/>
    <w:rPr>
      <w:color w:val="auto"/>
    </w:rPr>
  </w:style>
  <w:style w:type="paragraph" w:customStyle="1" w:styleId="NormalTimes">
    <w:name w:val="Normal + Times"/>
    <w:aliases w:val="Justified"/>
    <w:basedOn w:val="Normal"/>
    <w:rsid w:val="00E873E7"/>
    <w:pPr>
      <w:keepNext/>
      <w:keepLines/>
      <w:jc w:val="both"/>
    </w:pPr>
    <w:rPr>
      <w:rFonts w:ascii="Times" w:hAnsi="Times"/>
      <w:spacing w:val="-4"/>
    </w:rPr>
  </w:style>
  <w:style w:type="paragraph" w:customStyle="1" w:styleId="Level1">
    <w:name w:val="Level 1"/>
    <w:basedOn w:val="Normal"/>
    <w:rsid w:val="00E873E7"/>
    <w:pPr>
      <w:widowControl w:val="0"/>
      <w:autoSpaceDE w:val="0"/>
      <w:autoSpaceDN w:val="0"/>
      <w:adjustRightInd w:val="0"/>
      <w:ind w:left="360" w:hanging="360"/>
    </w:pPr>
  </w:style>
  <w:style w:type="paragraph" w:customStyle="1" w:styleId="OmniPage4">
    <w:name w:val="OmniPage #4"/>
    <w:basedOn w:val="Normal"/>
    <w:rsid w:val="00E873E7"/>
    <w:pPr>
      <w:spacing w:line="280" w:lineRule="exact"/>
    </w:pPr>
    <w:rPr>
      <w:sz w:val="20"/>
      <w:szCs w:val="20"/>
    </w:rPr>
  </w:style>
  <w:style w:type="paragraph" w:styleId="ListBullet2">
    <w:name w:val="List Bullet 2"/>
    <w:basedOn w:val="Normal"/>
    <w:rsid w:val="00E873E7"/>
    <w:pPr>
      <w:numPr>
        <w:numId w:val="1"/>
      </w:numPr>
    </w:pPr>
  </w:style>
  <w:style w:type="character" w:customStyle="1" w:styleId="CommentTextChar">
    <w:name w:val="Comment Text Char"/>
    <w:link w:val="CommentText"/>
    <w:uiPriority w:val="99"/>
    <w:rsid w:val="00E873E7"/>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E873E7"/>
    <w:rPr>
      <w:sz w:val="20"/>
      <w:szCs w:val="20"/>
    </w:rPr>
  </w:style>
  <w:style w:type="character" w:customStyle="1" w:styleId="CommentSubjectChar">
    <w:name w:val="Comment Subject Char"/>
    <w:link w:val="CommentSubject"/>
    <w:uiPriority w:val="99"/>
    <w:semiHidden/>
    <w:rsid w:val="00E873E7"/>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E873E7"/>
    <w:rPr>
      <w:b/>
      <w:bCs/>
    </w:rPr>
  </w:style>
  <w:style w:type="character" w:customStyle="1" w:styleId="apple-style-span">
    <w:name w:val="apple-style-span"/>
    <w:basedOn w:val="DefaultParagraphFont"/>
    <w:rsid w:val="00E873E7"/>
  </w:style>
  <w:style w:type="character" w:customStyle="1" w:styleId="apple-converted-space">
    <w:name w:val="apple-converted-space"/>
    <w:basedOn w:val="DefaultParagraphFont"/>
    <w:rsid w:val="00E873E7"/>
  </w:style>
  <w:style w:type="paragraph" w:customStyle="1" w:styleId="xmsonormal">
    <w:name w:val="x_msonormal"/>
    <w:basedOn w:val="Normal"/>
    <w:rsid w:val="00E873E7"/>
    <w:pPr>
      <w:spacing w:before="100" w:beforeAutospacing="1" w:after="100" w:afterAutospacing="1"/>
    </w:pPr>
  </w:style>
  <w:style w:type="paragraph" w:customStyle="1" w:styleId="default0">
    <w:name w:val="default"/>
    <w:basedOn w:val="Normal"/>
    <w:uiPriority w:val="99"/>
    <w:rsid w:val="00E873E7"/>
    <w:pPr>
      <w:spacing w:before="100" w:beforeAutospacing="1" w:after="100" w:afterAutospacing="1"/>
    </w:pPr>
  </w:style>
  <w:style w:type="paragraph" w:styleId="TOCHeading">
    <w:name w:val="TOC Heading"/>
    <w:basedOn w:val="Heading1"/>
    <w:next w:val="Normal"/>
    <w:uiPriority w:val="39"/>
    <w:unhideWhenUsed/>
    <w:qFormat/>
    <w:rsid w:val="00E873E7"/>
    <w:pPr>
      <w:keepLines/>
      <w:spacing w:before="480" w:after="0" w:line="276" w:lineRule="auto"/>
      <w:jc w:val="left"/>
      <w:outlineLvl w:val="9"/>
    </w:pPr>
    <w:rPr>
      <w:rFonts w:ascii="Cambria" w:hAnsi="Cambria" w:cs="Times New Roman"/>
      <w:color w:val="365F91"/>
      <w:kern w:val="0"/>
      <w:szCs w:val="28"/>
    </w:rPr>
  </w:style>
  <w:style w:type="paragraph" w:styleId="TOC1">
    <w:name w:val="toc 1"/>
    <w:basedOn w:val="Normal"/>
    <w:next w:val="Normal"/>
    <w:autoRedefine/>
    <w:uiPriority w:val="39"/>
    <w:unhideWhenUsed/>
    <w:qFormat/>
    <w:rsid w:val="003A6AE1"/>
    <w:pPr>
      <w:tabs>
        <w:tab w:val="left" w:pos="720"/>
        <w:tab w:val="right" w:leader="dot" w:pos="9350"/>
      </w:tabs>
    </w:pPr>
    <w:rPr>
      <w:b/>
      <w:noProof/>
    </w:rPr>
  </w:style>
  <w:style w:type="character" w:customStyle="1" w:styleId="DocumentMapChar">
    <w:name w:val="Document Map Char"/>
    <w:link w:val="DocumentMap"/>
    <w:rsid w:val="00E873E7"/>
    <w:rPr>
      <w:rFonts w:ascii="Tahoma" w:eastAsia="Times New Roman" w:hAnsi="Tahoma" w:cs="Tahoma"/>
      <w:sz w:val="16"/>
      <w:szCs w:val="16"/>
    </w:rPr>
  </w:style>
  <w:style w:type="paragraph" w:styleId="DocumentMap">
    <w:name w:val="Document Map"/>
    <w:basedOn w:val="Normal"/>
    <w:link w:val="DocumentMapChar"/>
    <w:unhideWhenUsed/>
    <w:rsid w:val="00E873E7"/>
    <w:rPr>
      <w:rFonts w:ascii="Tahoma" w:hAnsi="Tahoma" w:cs="Tahoma"/>
      <w:sz w:val="16"/>
      <w:szCs w:val="16"/>
    </w:rPr>
  </w:style>
  <w:style w:type="paragraph" w:styleId="PlainText">
    <w:name w:val="Plain Text"/>
    <w:basedOn w:val="Normal"/>
    <w:link w:val="PlainTextChar"/>
    <w:uiPriority w:val="99"/>
    <w:semiHidden/>
    <w:rsid w:val="00507B16"/>
    <w:rPr>
      <w:rFonts w:ascii="Arial" w:eastAsia="Calibri" w:hAnsi="Arial" w:cs="Arial"/>
    </w:rPr>
  </w:style>
  <w:style w:type="character" w:customStyle="1" w:styleId="PlainTextChar">
    <w:name w:val="Plain Text Char"/>
    <w:link w:val="PlainText"/>
    <w:uiPriority w:val="99"/>
    <w:semiHidden/>
    <w:rsid w:val="00507B16"/>
    <w:rPr>
      <w:rFonts w:ascii="Arial" w:eastAsia="Calibri" w:hAnsi="Arial" w:cs="Arial"/>
      <w:sz w:val="24"/>
      <w:szCs w:val="24"/>
    </w:rPr>
  </w:style>
  <w:style w:type="paragraph" w:styleId="ListNumber2">
    <w:name w:val="List Number 2"/>
    <w:basedOn w:val="Normal"/>
    <w:uiPriority w:val="99"/>
    <w:semiHidden/>
    <w:unhideWhenUsed/>
    <w:rsid w:val="00941207"/>
    <w:pPr>
      <w:tabs>
        <w:tab w:val="num" w:pos="720"/>
      </w:tabs>
      <w:ind w:left="720" w:hanging="360"/>
      <w:contextualSpacing/>
    </w:pPr>
    <w:rPr>
      <w:sz w:val="22"/>
      <w:lang w:bidi="en-US"/>
    </w:rPr>
  </w:style>
  <w:style w:type="paragraph" w:styleId="TOC2">
    <w:name w:val="toc 2"/>
    <w:basedOn w:val="Normal"/>
    <w:next w:val="Normal"/>
    <w:autoRedefine/>
    <w:uiPriority w:val="39"/>
    <w:unhideWhenUsed/>
    <w:qFormat/>
    <w:rsid w:val="00B11B20"/>
    <w:pPr>
      <w:tabs>
        <w:tab w:val="right" w:leader="dot" w:pos="9350"/>
      </w:tabs>
      <w:spacing w:after="120"/>
      <w:ind w:left="220"/>
    </w:pPr>
    <w:rPr>
      <w:bCs/>
      <w:iCs/>
      <w:noProof/>
      <w:sz w:val="22"/>
      <w:lang w:bidi="en-US"/>
    </w:rPr>
  </w:style>
  <w:style w:type="paragraph" w:styleId="TOC3">
    <w:name w:val="toc 3"/>
    <w:basedOn w:val="Normal"/>
    <w:next w:val="Normal"/>
    <w:autoRedefine/>
    <w:semiHidden/>
    <w:unhideWhenUsed/>
    <w:rsid w:val="00941207"/>
    <w:pPr>
      <w:spacing w:after="100"/>
      <w:ind w:left="440"/>
    </w:pPr>
    <w:rPr>
      <w:sz w:val="22"/>
      <w:lang w:bidi="en-US"/>
    </w:rPr>
  </w:style>
  <w:style w:type="paragraph" w:styleId="TOC7">
    <w:name w:val="toc 7"/>
    <w:basedOn w:val="Normal"/>
    <w:next w:val="Normal"/>
    <w:autoRedefine/>
    <w:uiPriority w:val="39"/>
    <w:semiHidden/>
    <w:unhideWhenUsed/>
    <w:rsid w:val="00941207"/>
    <w:pPr>
      <w:spacing w:after="100"/>
      <w:ind w:left="1440"/>
    </w:pPr>
    <w:rPr>
      <w:sz w:val="22"/>
      <w:lang w:bidi="en-US"/>
    </w:rPr>
  </w:style>
  <w:style w:type="paragraph" w:styleId="ListBullet">
    <w:name w:val="List Bullet"/>
    <w:basedOn w:val="Normal"/>
    <w:uiPriority w:val="99"/>
    <w:semiHidden/>
    <w:unhideWhenUsed/>
    <w:rsid w:val="00941207"/>
    <w:pPr>
      <w:numPr>
        <w:numId w:val="2"/>
      </w:numPr>
      <w:tabs>
        <w:tab w:val="num" w:pos="360"/>
      </w:tabs>
      <w:ind w:left="360"/>
      <w:contextualSpacing/>
    </w:pPr>
    <w:rPr>
      <w:sz w:val="22"/>
      <w:lang w:bidi="en-US"/>
    </w:rPr>
  </w:style>
  <w:style w:type="paragraph" w:styleId="ListBullet3">
    <w:name w:val="List Bullet 3"/>
    <w:basedOn w:val="Normal"/>
    <w:uiPriority w:val="99"/>
    <w:semiHidden/>
    <w:unhideWhenUsed/>
    <w:rsid w:val="00941207"/>
    <w:pPr>
      <w:numPr>
        <w:numId w:val="3"/>
      </w:numPr>
      <w:tabs>
        <w:tab w:val="clear" w:pos="360"/>
        <w:tab w:val="num" w:pos="1080"/>
      </w:tabs>
      <w:ind w:left="1080"/>
      <w:contextualSpacing/>
    </w:pPr>
    <w:rPr>
      <w:sz w:val="22"/>
      <w:lang w:bidi="en-US"/>
    </w:rPr>
  </w:style>
  <w:style w:type="paragraph" w:styleId="Salutation">
    <w:name w:val="Salutation"/>
    <w:basedOn w:val="Normal"/>
    <w:next w:val="Normal"/>
    <w:link w:val="SalutationChar"/>
    <w:uiPriority w:val="99"/>
    <w:semiHidden/>
    <w:unhideWhenUsed/>
    <w:rsid w:val="00941207"/>
    <w:rPr>
      <w:sz w:val="22"/>
      <w:lang w:bidi="en-US"/>
    </w:rPr>
  </w:style>
  <w:style w:type="character" w:customStyle="1" w:styleId="SalutationChar">
    <w:name w:val="Salutation Char"/>
    <w:link w:val="Salutation"/>
    <w:uiPriority w:val="99"/>
    <w:semiHidden/>
    <w:rsid w:val="00941207"/>
    <w:rPr>
      <w:rFonts w:ascii="Times New Roman" w:eastAsia="Times New Roman" w:hAnsi="Times New Roman" w:cs="Times New Roman"/>
      <w:szCs w:val="24"/>
      <w:lang w:bidi="en-US"/>
    </w:rPr>
  </w:style>
  <w:style w:type="paragraph" w:styleId="BodyText2">
    <w:name w:val="Body Text 2"/>
    <w:basedOn w:val="Normal"/>
    <w:link w:val="BodyText2Char"/>
    <w:unhideWhenUsed/>
    <w:rsid w:val="00941207"/>
    <w:pPr>
      <w:spacing w:after="120" w:line="480" w:lineRule="auto"/>
    </w:pPr>
    <w:rPr>
      <w:sz w:val="22"/>
      <w:lang w:bidi="en-US"/>
    </w:rPr>
  </w:style>
  <w:style w:type="character" w:customStyle="1" w:styleId="BodyText2Char">
    <w:name w:val="Body Text 2 Char"/>
    <w:link w:val="BodyText2"/>
    <w:rsid w:val="00941207"/>
    <w:rPr>
      <w:rFonts w:ascii="Times New Roman" w:eastAsia="Times New Roman" w:hAnsi="Times New Roman" w:cs="Times New Roman"/>
      <w:szCs w:val="24"/>
      <w:lang w:bidi="en-US"/>
    </w:rPr>
  </w:style>
  <w:style w:type="paragraph" w:styleId="BodyText3">
    <w:name w:val="Body Text 3"/>
    <w:basedOn w:val="Normal"/>
    <w:link w:val="BodyText3Char"/>
    <w:unhideWhenUsed/>
    <w:rsid w:val="00941207"/>
    <w:pPr>
      <w:spacing w:after="120"/>
    </w:pPr>
    <w:rPr>
      <w:sz w:val="16"/>
      <w:szCs w:val="16"/>
      <w:lang w:bidi="en-US"/>
    </w:rPr>
  </w:style>
  <w:style w:type="character" w:customStyle="1" w:styleId="BodyText3Char">
    <w:name w:val="Body Text 3 Char"/>
    <w:link w:val="BodyText3"/>
    <w:rsid w:val="00941207"/>
    <w:rPr>
      <w:rFonts w:ascii="Times New Roman" w:eastAsia="Times New Roman" w:hAnsi="Times New Roman" w:cs="Times New Roman"/>
      <w:sz w:val="16"/>
      <w:szCs w:val="16"/>
      <w:lang w:bidi="en-US"/>
    </w:rPr>
  </w:style>
  <w:style w:type="paragraph" w:customStyle="1" w:styleId="Style1">
    <w:name w:val="Style1"/>
    <w:basedOn w:val="Normal"/>
    <w:uiPriority w:val="99"/>
    <w:rsid w:val="00941207"/>
    <w:pPr>
      <w:shd w:val="clear" w:color="auto" w:fill="99CCFF"/>
      <w:tabs>
        <w:tab w:val="num" w:pos="360"/>
      </w:tabs>
      <w:ind w:left="360" w:hanging="360"/>
    </w:pPr>
    <w:rPr>
      <w:sz w:val="22"/>
      <w:lang w:bidi="en-US"/>
    </w:rPr>
  </w:style>
  <w:style w:type="character" w:customStyle="1" w:styleId="CharCharCharCharCharCharCharCharCharCharChar">
    <w:name w:val="Char Char Char Char Char Char Char Char Char Char Char"/>
    <w:uiPriority w:val="99"/>
    <w:rsid w:val="00941207"/>
    <w:rPr>
      <w:rFonts w:ascii="Times New Roman" w:hAnsi="Times New Roman" w:cs="Times New Roman"/>
      <w:b/>
      <w:bCs/>
      <w:kern w:val="32"/>
      <w:sz w:val="32"/>
      <w:szCs w:val="32"/>
      <w:lang w:val="en-US" w:eastAsia="en-US"/>
    </w:rPr>
  </w:style>
  <w:style w:type="character" w:customStyle="1" w:styleId="StyleBodyTextItalicCharChar1CharChar">
    <w:name w:val="Style Body Text + Italic Char Char1 Char Char"/>
    <w:uiPriority w:val="99"/>
    <w:rsid w:val="00941207"/>
    <w:rPr>
      <w:rFonts w:cs="Times New Roman"/>
      <w:i/>
      <w:iCs/>
      <w:color w:val="99CCFF"/>
      <w:sz w:val="24"/>
      <w:szCs w:val="24"/>
      <w:lang w:val="en-US" w:eastAsia="en-US"/>
    </w:rPr>
  </w:style>
  <w:style w:type="character" w:customStyle="1" w:styleId="StyleBodyTextItalicCharChar">
    <w:name w:val="Style Body Text + Italic Char Char"/>
    <w:uiPriority w:val="99"/>
    <w:rsid w:val="00941207"/>
    <w:rPr>
      <w:rFonts w:cs="Times New Roman"/>
      <w:i/>
      <w:iCs/>
      <w:color w:val="99CCFF"/>
      <w:sz w:val="24"/>
      <w:szCs w:val="24"/>
      <w:lang w:val="en-US" w:eastAsia="en-US"/>
    </w:rPr>
  </w:style>
  <w:style w:type="paragraph" w:customStyle="1" w:styleId="StyleHeading2TimesNewRoman12ptNotItalic">
    <w:name w:val="Style Heading 2 + Times New Roman 12 pt Not Italic"/>
    <w:basedOn w:val="Heading2"/>
    <w:next w:val="Normal"/>
    <w:uiPriority w:val="99"/>
    <w:rsid w:val="00941207"/>
    <w:rPr>
      <w:kern w:val="32"/>
      <w:szCs w:val="24"/>
    </w:rPr>
  </w:style>
  <w:style w:type="paragraph" w:customStyle="1" w:styleId="StylePatternClearLightYellow">
    <w:name w:val="Style Pattern: Clear (Light Yellow)"/>
    <w:basedOn w:val="Normal"/>
    <w:uiPriority w:val="99"/>
    <w:rsid w:val="00941207"/>
    <w:pPr>
      <w:shd w:val="clear" w:color="auto" w:fill="FFFF99"/>
    </w:pPr>
    <w:rPr>
      <w:sz w:val="22"/>
      <w:lang w:bidi="en-US"/>
    </w:rPr>
  </w:style>
  <w:style w:type="paragraph" w:customStyle="1" w:styleId="navyborder">
    <w:name w:val="navyborder"/>
    <w:basedOn w:val="Normal"/>
    <w:uiPriority w:val="99"/>
    <w:rsid w:val="00941207"/>
    <w:pPr>
      <w:spacing w:before="100" w:beforeAutospacing="1" w:after="100" w:afterAutospacing="1"/>
    </w:pPr>
    <w:rPr>
      <w:color w:val="000000"/>
      <w:sz w:val="20"/>
      <w:szCs w:val="20"/>
      <w:lang w:bidi="en-US"/>
    </w:rPr>
  </w:style>
  <w:style w:type="paragraph" w:customStyle="1" w:styleId="StyleBodyTextItalic">
    <w:name w:val="Style Body Text + Italic"/>
    <w:basedOn w:val="BodyText"/>
    <w:uiPriority w:val="99"/>
    <w:rsid w:val="00941207"/>
    <w:rPr>
      <w:i/>
      <w:iCs/>
      <w:color w:val="99CCFF"/>
      <w:sz w:val="22"/>
      <w:lang w:bidi="en-US"/>
    </w:rPr>
  </w:style>
  <w:style w:type="paragraph" w:customStyle="1" w:styleId="Heading1NotItalic">
    <w:name w:val="Heading 1 + Not Italic"/>
    <w:aliases w:val="Centered,Box: (Single solid line,Auto,0.5 pt Line..."/>
    <w:basedOn w:val="Heading2"/>
    <w:uiPriority w:val="99"/>
    <w:rsid w:val="00941207"/>
    <w:pPr>
      <w:pBdr>
        <w:top w:val="single" w:sz="4" w:space="1" w:color="auto"/>
        <w:left w:val="single" w:sz="4" w:space="4" w:color="auto"/>
        <w:bottom w:val="single" w:sz="4" w:space="1" w:color="auto"/>
        <w:right w:val="single" w:sz="4" w:space="4" w:color="auto"/>
      </w:pBdr>
    </w:pPr>
  </w:style>
  <w:style w:type="paragraph" w:customStyle="1" w:styleId="StyleBodyTextItalicCharChar1">
    <w:name w:val="Style Body Text + Italic Char Char1"/>
    <w:basedOn w:val="BodyText"/>
    <w:uiPriority w:val="99"/>
    <w:rsid w:val="00941207"/>
    <w:rPr>
      <w:i/>
      <w:iCs/>
      <w:color w:val="99CCFF"/>
      <w:sz w:val="22"/>
      <w:lang w:bidi="en-US"/>
    </w:rPr>
  </w:style>
  <w:style w:type="paragraph" w:styleId="Title">
    <w:name w:val="Title"/>
    <w:basedOn w:val="Normal"/>
    <w:next w:val="Normal"/>
    <w:link w:val="TitleChar"/>
    <w:uiPriority w:val="10"/>
    <w:qFormat/>
    <w:rsid w:val="00941207"/>
    <w:pPr>
      <w:spacing w:before="240" w:after="60"/>
      <w:jc w:val="center"/>
      <w:outlineLvl w:val="0"/>
    </w:pPr>
    <w:rPr>
      <w:rFonts w:ascii="Cambria" w:hAnsi="Cambria"/>
      <w:b/>
      <w:bCs/>
      <w:kern w:val="28"/>
      <w:sz w:val="32"/>
      <w:szCs w:val="32"/>
      <w:lang w:bidi="en-US"/>
    </w:rPr>
  </w:style>
  <w:style w:type="character" w:customStyle="1" w:styleId="TitleChar">
    <w:name w:val="Title Char"/>
    <w:link w:val="Title"/>
    <w:uiPriority w:val="10"/>
    <w:rsid w:val="00941207"/>
    <w:rPr>
      <w:rFonts w:ascii="Cambria" w:eastAsia="Times New Roman" w:hAnsi="Cambria" w:cs="Times New Roman"/>
      <w:b/>
      <w:bCs/>
      <w:kern w:val="28"/>
      <w:sz w:val="32"/>
      <w:szCs w:val="32"/>
      <w:lang w:bidi="en-US"/>
    </w:rPr>
  </w:style>
  <w:style w:type="paragraph" w:styleId="Subtitle">
    <w:name w:val="Subtitle"/>
    <w:basedOn w:val="Normal"/>
    <w:next w:val="Normal"/>
    <w:link w:val="SubtitleChar"/>
    <w:uiPriority w:val="11"/>
    <w:qFormat/>
    <w:rsid w:val="00941207"/>
    <w:pPr>
      <w:spacing w:after="60"/>
      <w:jc w:val="center"/>
      <w:outlineLvl w:val="1"/>
    </w:pPr>
    <w:rPr>
      <w:rFonts w:ascii="Cambria" w:hAnsi="Cambria"/>
      <w:sz w:val="22"/>
      <w:lang w:bidi="en-US"/>
    </w:rPr>
  </w:style>
  <w:style w:type="character" w:customStyle="1" w:styleId="SubtitleChar">
    <w:name w:val="Subtitle Char"/>
    <w:link w:val="Subtitle"/>
    <w:uiPriority w:val="11"/>
    <w:rsid w:val="00941207"/>
    <w:rPr>
      <w:rFonts w:ascii="Cambria" w:eastAsia="Times New Roman" w:hAnsi="Cambria" w:cs="Times New Roman"/>
      <w:szCs w:val="24"/>
      <w:lang w:bidi="en-US"/>
    </w:rPr>
  </w:style>
  <w:style w:type="paragraph" w:styleId="NoSpacing">
    <w:name w:val="No Spacing"/>
    <w:basedOn w:val="Normal"/>
    <w:uiPriority w:val="1"/>
    <w:qFormat/>
    <w:rsid w:val="00941207"/>
    <w:rPr>
      <w:sz w:val="22"/>
      <w:szCs w:val="32"/>
      <w:lang w:bidi="en-US"/>
    </w:rPr>
  </w:style>
  <w:style w:type="paragraph" w:styleId="Quote">
    <w:name w:val="Quote"/>
    <w:basedOn w:val="Normal"/>
    <w:next w:val="Normal"/>
    <w:link w:val="QuoteChar"/>
    <w:uiPriority w:val="29"/>
    <w:qFormat/>
    <w:rsid w:val="00941207"/>
    <w:rPr>
      <w:i/>
      <w:sz w:val="22"/>
      <w:lang w:bidi="en-US"/>
    </w:rPr>
  </w:style>
  <w:style w:type="character" w:customStyle="1" w:styleId="QuoteChar">
    <w:name w:val="Quote Char"/>
    <w:link w:val="Quote"/>
    <w:uiPriority w:val="29"/>
    <w:rsid w:val="00941207"/>
    <w:rPr>
      <w:rFonts w:ascii="Times New Roman" w:eastAsia="Times New Roman" w:hAnsi="Times New Roman" w:cs="Times New Roman"/>
      <w:i/>
      <w:szCs w:val="24"/>
      <w:lang w:bidi="en-US"/>
    </w:rPr>
  </w:style>
  <w:style w:type="paragraph" w:styleId="IntenseQuote">
    <w:name w:val="Intense Quote"/>
    <w:basedOn w:val="Normal"/>
    <w:next w:val="Normal"/>
    <w:link w:val="IntenseQuoteChar"/>
    <w:uiPriority w:val="30"/>
    <w:qFormat/>
    <w:rsid w:val="00941207"/>
    <w:pPr>
      <w:ind w:left="720" w:right="720"/>
    </w:pPr>
    <w:rPr>
      <w:b/>
      <w:i/>
      <w:sz w:val="22"/>
      <w:szCs w:val="22"/>
      <w:lang w:bidi="en-US"/>
    </w:rPr>
  </w:style>
  <w:style w:type="character" w:customStyle="1" w:styleId="IntenseQuoteChar">
    <w:name w:val="Intense Quote Char"/>
    <w:link w:val="IntenseQuote"/>
    <w:uiPriority w:val="30"/>
    <w:rsid w:val="00941207"/>
    <w:rPr>
      <w:rFonts w:ascii="Times New Roman" w:eastAsia="Times New Roman" w:hAnsi="Times New Roman" w:cs="Times New Roman"/>
      <w:b/>
      <w:i/>
      <w:lang w:bidi="en-US"/>
    </w:rPr>
  </w:style>
  <w:style w:type="character" w:styleId="SubtleEmphasis">
    <w:name w:val="Subtle Emphasis"/>
    <w:uiPriority w:val="19"/>
    <w:qFormat/>
    <w:rsid w:val="00941207"/>
    <w:rPr>
      <w:i/>
      <w:color w:val="5A5A5A"/>
    </w:rPr>
  </w:style>
  <w:style w:type="character" w:styleId="IntenseEmphasis">
    <w:name w:val="Intense Emphasis"/>
    <w:uiPriority w:val="21"/>
    <w:qFormat/>
    <w:rsid w:val="00941207"/>
    <w:rPr>
      <w:b/>
      <w:i/>
      <w:sz w:val="24"/>
      <w:szCs w:val="24"/>
      <w:u w:val="single"/>
    </w:rPr>
  </w:style>
  <w:style w:type="character" w:styleId="SubtleReference">
    <w:name w:val="Subtle Reference"/>
    <w:uiPriority w:val="31"/>
    <w:qFormat/>
    <w:rsid w:val="00941207"/>
    <w:rPr>
      <w:sz w:val="24"/>
      <w:szCs w:val="24"/>
      <w:u w:val="single"/>
    </w:rPr>
  </w:style>
  <w:style w:type="character" w:styleId="IntenseReference">
    <w:name w:val="Intense Reference"/>
    <w:uiPriority w:val="32"/>
    <w:qFormat/>
    <w:rsid w:val="00941207"/>
    <w:rPr>
      <w:b/>
      <w:sz w:val="24"/>
      <w:u w:val="single"/>
    </w:rPr>
  </w:style>
  <w:style w:type="character" w:styleId="BookTitle">
    <w:name w:val="Book Title"/>
    <w:uiPriority w:val="33"/>
    <w:qFormat/>
    <w:rsid w:val="00941207"/>
    <w:rPr>
      <w:rFonts w:ascii="Cambria" w:eastAsia="Times New Roman" w:hAnsi="Cambria"/>
      <w:b/>
      <w:i/>
      <w:sz w:val="24"/>
      <w:szCs w:val="24"/>
    </w:rPr>
  </w:style>
  <w:style w:type="paragraph" w:customStyle="1" w:styleId="SectionHeader">
    <w:name w:val="Section Header"/>
    <w:basedOn w:val="Heading1"/>
    <w:rsid w:val="00941207"/>
    <w:pPr>
      <w:tabs>
        <w:tab w:val="left" w:leader="underscore" w:pos="8640"/>
      </w:tabs>
      <w:spacing w:before="240"/>
      <w:jc w:val="left"/>
    </w:pPr>
    <w:rPr>
      <w:rFonts w:ascii="Cambria" w:hAnsi="Cambria" w:cs="Times New Roman"/>
      <w:sz w:val="32"/>
      <w:u w:val="single"/>
      <w:lang w:bidi="en-US"/>
    </w:rPr>
  </w:style>
  <w:style w:type="paragraph" w:customStyle="1" w:styleId="UnderlinedHeader">
    <w:name w:val="Underlined Header"/>
    <w:basedOn w:val="SectionHeader"/>
    <w:autoRedefine/>
    <w:qFormat/>
    <w:rsid w:val="00941207"/>
    <w:pPr>
      <w:pageBreakBefore/>
      <w:tabs>
        <w:tab w:val="center" w:pos="8640"/>
      </w:tabs>
      <w:spacing w:before="0" w:after="0"/>
    </w:pPr>
    <w:rPr>
      <w:rFonts w:ascii="Times New Roman" w:hAnsi="Times New Roman"/>
      <w:sz w:val="28"/>
    </w:rPr>
  </w:style>
  <w:style w:type="paragraph" w:customStyle="1" w:styleId="Body1">
    <w:name w:val="Body 1"/>
    <w:rsid w:val="00C93D0F"/>
    <w:pPr>
      <w:spacing w:after="200" w:line="276" w:lineRule="auto"/>
      <w:outlineLvl w:val="0"/>
    </w:pPr>
    <w:rPr>
      <w:rFonts w:ascii="Helvetica" w:eastAsia="Arial Unicode MS" w:hAnsi="Helvetica"/>
      <w:color w:val="000000"/>
      <w:sz w:val="22"/>
      <w:u w:color="000000"/>
    </w:rPr>
  </w:style>
  <w:style w:type="character" w:styleId="CommentReference">
    <w:name w:val="annotation reference"/>
    <w:uiPriority w:val="99"/>
    <w:semiHidden/>
    <w:unhideWhenUsed/>
    <w:rsid w:val="0041240E"/>
    <w:rPr>
      <w:sz w:val="16"/>
      <w:szCs w:val="16"/>
    </w:rPr>
  </w:style>
  <w:style w:type="character" w:customStyle="1" w:styleId="EmailStyle108">
    <w:name w:val="EmailStyle108"/>
    <w:semiHidden/>
    <w:rsid w:val="00C730B2"/>
    <w:rPr>
      <w:rFonts w:ascii="Arial" w:hAnsi="Arial" w:cs="Arial"/>
      <w:color w:val="auto"/>
      <w:sz w:val="20"/>
      <w:szCs w:val="20"/>
    </w:rPr>
  </w:style>
  <w:style w:type="character" w:styleId="FollowedHyperlink">
    <w:name w:val="FollowedHyperlink"/>
    <w:uiPriority w:val="99"/>
    <w:rsid w:val="00D163A5"/>
    <w:rPr>
      <w:color w:val="800080"/>
      <w:u w:val="single"/>
    </w:rPr>
  </w:style>
  <w:style w:type="paragraph" w:customStyle="1" w:styleId="default2">
    <w:name w:val="default2"/>
    <w:basedOn w:val="Normal"/>
    <w:rsid w:val="00D163A5"/>
    <w:pPr>
      <w:autoSpaceDE w:val="0"/>
      <w:autoSpaceDN w:val="0"/>
    </w:pPr>
    <w:rPr>
      <w:color w:val="000000"/>
    </w:rPr>
  </w:style>
  <w:style w:type="character" w:customStyle="1" w:styleId="EmailStyle1111">
    <w:name w:val="EmailStyle1111"/>
    <w:semiHidden/>
    <w:rsid w:val="00D163A5"/>
    <w:rPr>
      <w:rFonts w:ascii="Arial" w:hAnsi="Arial" w:cs="Arial"/>
      <w:color w:val="auto"/>
      <w:sz w:val="20"/>
      <w:szCs w:val="20"/>
    </w:rPr>
  </w:style>
  <w:style w:type="numbering" w:styleId="111111">
    <w:name w:val="Outline List 2"/>
    <w:basedOn w:val="NoList"/>
    <w:rsid w:val="00D163A5"/>
    <w:pPr>
      <w:numPr>
        <w:numId w:val="4"/>
      </w:numPr>
    </w:pPr>
  </w:style>
  <w:style w:type="character" w:customStyle="1" w:styleId="EmailStyle1131">
    <w:name w:val="EmailStyle1131"/>
    <w:semiHidden/>
    <w:rsid w:val="00D163A5"/>
    <w:rPr>
      <w:rFonts w:ascii="Arial" w:hAnsi="Arial" w:cs="Arial"/>
      <w:color w:val="auto"/>
      <w:sz w:val="20"/>
      <w:szCs w:val="20"/>
    </w:rPr>
  </w:style>
  <w:style w:type="paragraph" w:customStyle="1" w:styleId="default1">
    <w:name w:val="default1"/>
    <w:basedOn w:val="Normal"/>
    <w:rsid w:val="00D163A5"/>
    <w:pPr>
      <w:autoSpaceDE w:val="0"/>
      <w:autoSpaceDN w:val="0"/>
    </w:pPr>
    <w:rPr>
      <w:color w:val="000000"/>
    </w:rPr>
  </w:style>
  <w:style w:type="paragraph" w:customStyle="1" w:styleId="ed-reports-keymeasures-table">
    <w:name w:val="ed-reports-keymeasures-table"/>
    <w:basedOn w:val="Normal"/>
    <w:rsid w:val="00D163A5"/>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character" w:customStyle="1" w:styleId="footnote">
    <w:name w:val="footnote"/>
    <w:basedOn w:val="DefaultParagraphFont"/>
    <w:rsid w:val="00D163A5"/>
  </w:style>
  <w:style w:type="character" w:customStyle="1" w:styleId="EmailStyle1171">
    <w:name w:val="EmailStyle1171"/>
    <w:semiHidden/>
    <w:rsid w:val="00D163A5"/>
    <w:rPr>
      <w:rFonts w:ascii="Arial" w:hAnsi="Arial" w:cs="Arial"/>
      <w:color w:val="auto"/>
      <w:sz w:val="20"/>
      <w:szCs w:val="20"/>
    </w:rPr>
  </w:style>
  <w:style w:type="character" w:customStyle="1" w:styleId="EmailStyle1181">
    <w:name w:val="EmailStyle1181"/>
    <w:semiHidden/>
    <w:rsid w:val="00D163A5"/>
    <w:rPr>
      <w:rFonts w:ascii="Arial" w:hAnsi="Arial" w:cs="Arial"/>
      <w:color w:val="auto"/>
      <w:sz w:val="20"/>
      <w:szCs w:val="20"/>
    </w:rPr>
  </w:style>
  <w:style w:type="paragraph" w:customStyle="1" w:styleId="default3">
    <w:name w:val="default3"/>
    <w:basedOn w:val="Normal"/>
    <w:rsid w:val="00D163A5"/>
    <w:pPr>
      <w:autoSpaceDE w:val="0"/>
      <w:autoSpaceDN w:val="0"/>
    </w:pPr>
    <w:rPr>
      <w:color w:val="000000"/>
    </w:rPr>
  </w:style>
  <w:style w:type="paragraph" w:customStyle="1" w:styleId="ed-reports-keymeasures-table1">
    <w:name w:val="ed-reports-keymeasures-table1"/>
    <w:basedOn w:val="Normal"/>
    <w:rsid w:val="00D163A5"/>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character" w:customStyle="1" w:styleId="footnote1">
    <w:name w:val="footnote1"/>
    <w:basedOn w:val="DefaultParagraphFont"/>
    <w:rsid w:val="00D163A5"/>
  </w:style>
  <w:style w:type="character" w:customStyle="1" w:styleId="EmailStyle1221">
    <w:name w:val="EmailStyle1221"/>
    <w:semiHidden/>
    <w:rsid w:val="00D163A5"/>
    <w:rPr>
      <w:rFonts w:ascii="Arial" w:hAnsi="Arial" w:cs="Arial"/>
      <w:color w:val="auto"/>
      <w:sz w:val="20"/>
      <w:szCs w:val="20"/>
    </w:rPr>
  </w:style>
  <w:style w:type="character" w:customStyle="1" w:styleId="EmailStyle1231">
    <w:name w:val="EmailStyle1231"/>
    <w:semiHidden/>
    <w:rsid w:val="00D163A5"/>
    <w:rPr>
      <w:rFonts w:ascii="Arial" w:hAnsi="Arial" w:cs="Arial"/>
      <w:color w:val="auto"/>
      <w:sz w:val="20"/>
      <w:szCs w:val="20"/>
    </w:rPr>
  </w:style>
  <w:style w:type="paragraph" w:customStyle="1" w:styleId="default4">
    <w:name w:val="default4"/>
    <w:basedOn w:val="Normal"/>
    <w:rsid w:val="00D163A5"/>
    <w:pPr>
      <w:autoSpaceDE w:val="0"/>
      <w:autoSpaceDN w:val="0"/>
    </w:pPr>
    <w:rPr>
      <w:color w:val="000000"/>
    </w:rPr>
  </w:style>
  <w:style w:type="paragraph" w:customStyle="1" w:styleId="ed-reports-keymeasures-table2">
    <w:name w:val="ed-reports-keymeasures-table2"/>
    <w:basedOn w:val="Normal"/>
    <w:rsid w:val="00D163A5"/>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character" w:customStyle="1" w:styleId="footnote2">
    <w:name w:val="footnote2"/>
    <w:basedOn w:val="DefaultParagraphFont"/>
    <w:rsid w:val="00D163A5"/>
  </w:style>
  <w:style w:type="paragraph" w:customStyle="1" w:styleId="default5">
    <w:name w:val="default5"/>
    <w:basedOn w:val="Normal"/>
    <w:rsid w:val="00D163A5"/>
    <w:pPr>
      <w:autoSpaceDE w:val="0"/>
      <w:autoSpaceDN w:val="0"/>
    </w:pPr>
    <w:rPr>
      <w:color w:val="000000"/>
    </w:rPr>
  </w:style>
  <w:style w:type="paragraph" w:customStyle="1" w:styleId="ed-reports-keymeasures-table3">
    <w:name w:val="ed-reports-keymeasures-table3"/>
    <w:basedOn w:val="Normal"/>
    <w:rsid w:val="00D163A5"/>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default6">
    <w:name w:val="default6"/>
    <w:basedOn w:val="Normal"/>
    <w:rsid w:val="00D163A5"/>
    <w:pPr>
      <w:autoSpaceDE w:val="0"/>
      <w:autoSpaceDN w:val="0"/>
    </w:pPr>
    <w:rPr>
      <w:color w:val="000000"/>
    </w:rPr>
  </w:style>
  <w:style w:type="paragraph" w:customStyle="1" w:styleId="ed-reports-keymeasures-table4">
    <w:name w:val="ed-reports-keymeasures-table4"/>
    <w:basedOn w:val="Normal"/>
    <w:rsid w:val="00D163A5"/>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default21">
    <w:name w:val="default21"/>
    <w:basedOn w:val="Normal"/>
    <w:rsid w:val="00D163A5"/>
    <w:pPr>
      <w:autoSpaceDE w:val="0"/>
      <w:autoSpaceDN w:val="0"/>
    </w:pPr>
    <w:rPr>
      <w:color w:val="000000"/>
    </w:rPr>
  </w:style>
  <w:style w:type="paragraph" w:customStyle="1" w:styleId="default11">
    <w:name w:val="default11"/>
    <w:basedOn w:val="Normal"/>
    <w:rsid w:val="00D163A5"/>
    <w:pPr>
      <w:autoSpaceDE w:val="0"/>
      <w:autoSpaceDN w:val="0"/>
    </w:pPr>
    <w:rPr>
      <w:color w:val="000000"/>
    </w:rPr>
  </w:style>
  <w:style w:type="paragraph" w:customStyle="1" w:styleId="default51">
    <w:name w:val="default51"/>
    <w:basedOn w:val="Normal"/>
    <w:rsid w:val="00D163A5"/>
    <w:pPr>
      <w:autoSpaceDE w:val="0"/>
      <w:autoSpaceDN w:val="0"/>
    </w:pPr>
    <w:rPr>
      <w:color w:val="000000"/>
    </w:rPr>
  </w:style>
  <w:style w:type="paragraph" w:customStyle="1" w:styleId="ed-reports-keymeasures-table31">
    <w:name w:val="ed-reports-keymeasures-table31"/>
    <w:basedOn w:val="Normal"/>
    <w:rsid w:val="00D163A5"/>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character" w:customStyle="1" w:styleId="StyleFootnoteReference10pt">
    <w:name w:val="Style Footnote Reference + 10 pt"/>
    <w:rsid w:val="00D163A5"/>
    <w:rPr>
      <w:rFonts w:ascii="Times New Roman" w:hAnsi="Times New Roman"/>
      <w:sz w:val="22"/>
      <w:szCs w:val="16"/>
    </w:rPr>
  </w:style>
  <w:style w:type="paragraph" w:customStyle="1" w:styleId="StyleHeading110pt">
    <w:name w:val="Style Heading 1 + 10 pt"/>
    <w:basedOn w:val="Heading1"/>
    <w:rsid w:val="00D163A5"/>
    <w:rPr>
      <w:sz w:val="20"/>
    </w:rPr>
  </w:style>
  <w:style w:type="paragraph" w:customStyle="1" w:styleId="NumberTable">
    <w:name w:val="NumberTable"/>
    <w:basedOn w:val="Normal"/>
    <w:rsid w:val="00D163A5"/>
    <w:pPr>
      <w:numPr>
        <w:numId w:val="5"/>
      </w:numPr>
    </w:pPr>
    <w:rPr>
      <w:sz w:val="20"/>
    </w:rPr>
  </w:style>
  <w:style w:type="paragraph" w:customStyle="1" w:styleId="Normal14">
    <w:name w:val="Normal+14"/>
    <w:basedOn w:val="NormalWeb"/>
    <w:rsid w:val="00D163A5"/>
    <w:pPr>
      <w:jc w:val="center"/>
    </w:pPr>
    <w:rPr>
      <w:b/>
      <w:bCs/>
      <w:sz w:val="20"/>
    </w:rPr>
  </w:style>
  <w:style w:type="paragraph" w:customStyle="1" w:styleId="BIBBodyText">
    <w:name w:val="BIB Body Text"/>
    <w:basedOn w:val="NormalWeb"/>
    <w:link w:val="BIBBodyTextChar"/>
    <w:rsid w:val="00D163A5"/>
    <w:pPr>
      <w:spacing w:before="0" w:beforeAutospacing="0" w:after="0" w:afterAutospacing="0"/>
    </w:pPr>
    <w:rPr>
      <w:rFonts w:ascii="Times" w:hAnsi="Times" w:cs="Arial"/>
      <w:kern w:val="20"/>
      <w:sz w:val="22"/>
      <w:szCs w:val="22"/>
    </w:rPr>
  </w:style>
  <w:style w:type="character" w:customStyle="1" w:styleId="BIBBodyTextChar">
    <w:name w:val="BIB Body Text Char"/>
    <w:link w:val="BIBBodyText"/>
    <w:rsid w:val="00D163A5"/>
    <w:rPr>
      <w:rFonts w:ascii="Times" w:eastAsia="Times New Roman" w:hAnsi="Times" w:cs="Arial"/>
      <w:kern w:val="20"/>
    </w:rPr>
  </w:style>
  <w:style w:type="paragraph" w:customStyle="1" w:styleId="StyleFootnote10pt">
    <w:name w:val="Style Footnote + 10pt"/>
    <w:basedOn w:val="Normal"/>
    <w:link w:val="StyleFootnote10ptChar"/>
    <w:rsid w:val="00D163A5"/>
    <w:pPr>
      <w:spacing w:line="200" w:lineRule="exact"/>
      <w:jc w:val="center"/>
    </w:pPr>
    <w:rPr>
      <w:b/>
      <w:bCs/>
      <w:sz w:val="20"/>
    </w:rPr>
  </w:style>
  <w:style w:type="character" w:customStyle="1" w:styleId="StyleFootnote10ptChar">
    <w:name w:val="Style Footnote + 10pt Char"/>
    <w:link w:val="StyleFootnote10pt"/>
    <w:rsid w:val="00D163A5"/>
    <w:rPr>
      <w:rFonts w:ascii="Times New Roman" w:eastAsia="Times New Roman" w:hAnsi="Times New Roman" w:cs="Times New Roman"/>
      <w:b/>
      <w:bCs/>
      <w:sz w:val="20"/>
      <w:szCs w:val="24"/>
    </w:rPr>
  </w:style>
  <w:style w:type="character" w:customStyle="1" w:styleId="explanation">
    <w:name w:val="explanation"/>
    <w:basedOn w:val="DefaultParagraphFont"/>
    <w:rsid w:val="00D163A5"/>
  </w:style>
  <w:style w:type="character" w:customStyle="1" w:styleId="CharChar2">
    <w:name w:val="Char Char2"/>
    <w:rsid w:val="00D163A5"/>
    <w:rPr>
      <w:rFonts w:cs="Arial"/>
      <w:b/>
      <w:bCs/>
      <w:kern w:val="32"/>
      <w:sz w:val="28"/>
      <w:szCs w:val="32"/>
      <w:lang w:val="en-US" w:eastAsia="en-US" w:bidi="ar-SA"/>
    </w:rPr>
  </w:style>
  <w:style w:type="character" w:customStyle="1" w:styleId="CharChar1">
    <w:name w:val="Char Char1"/>
    <w:rsid w:val="00D163A5"/>
    <w:rPr>
      <w:lang w:val="en-US" w:eastAsia="en-US" w:bidi="ar-SA"/>
    </w:rPr>
  </w:style>
  <w:style w:type="character" w:customStyle="1" w:styleId="A11">
    <w:name w:val="A11"/>
    <w:rsid w:val="00D163A5"/>
    <w:rPr>
      <w:rFonts w:cs="Myriad Pro"/>
      <w:color w:val="0066B1"/>
      <w:sz w:val="18"/>
      <w:szCs w:val="18"/>
      <w:u w:val="single"/>
    </w:rPr>
  </w:style>
  <w:style w:type="character" w:styleId="EndnoteReference">
    <w:name w:val="endnote reference"/>
    <w:uiPriority w:val="99"/>
    <w:semiHidden/>
    <w:rsid w:val="00D163A5"/>
    <w:rPr>
      <w:vertAlign w:val="superscript"/>
    </w:rPr>
  </w:style>
  <w:style w:type="character" w:customStyle="1" w:styleId="style11">
    <w:name w:val="style11"/>
    <w:rsid w:val="00D163A5"/>
    <w:rPr>
      <w:b/>
      <w:bCs/>
      <w:color w:val="006600"/>
    </w:rPr>
  </w:style>
  <w:style w:type="paragraph" w:styleId="BodyTextIndent">
    <w:name w:val="Body Text Indent"/>
    <w:basedOn w:val="Normal"/>
    <w:link w:val="BodyTextIndentChar"/>
    <w:rsid w:val="00D163A5"/>
    <w:pPr>
      <w:spacing w:after="120"/>
      <w:ind w:left="360"/>
    </w:pPr>
  </w:style>
  <w:style w:type="character" w:customStyle="1" w:styleId="BodyTextIndentChar">
    <w:name w:val="Body Text Indent Char"/>
    <w:link w:val="BodyTextIndent"/>
    <w:rsid w:val="00D163A5"/>
    <w:rPr>
      <w:rFonts w:ascii="Times New Roman" w:eastAsia="Times New Roman" w:hAnsi="Times New Roman" w:cs="Times New Roman"/>
      <w:sz w:val="24"/>
      <w:szCs w:val="24"/>
    </w:rPr>
  </w:style>
  <w:style w:type="paragraph" w:customStyle="1" w:styleId="hhs-reports-goallinkages-tabledescription">
    <w:name w:val="hhs-reports-goallinkages-tabledescription"/>
    <w:basedOn w:val="Normal"/>
    <w:rsid w:val="00D163A5"/>
  </w:style>
  <w:style w:type="paragraph" w:customStyle="1" w:styleId="hhs-reports-goallinkages-columnheading-12pt-left">
    <w:name w:val="hhs-reports-goallinkages-columnheading-12pt-left"/>
    <w:basedOn w:val="Normal"/>
    <w:rsid w:val="00D163A5"/>
    <w:rPr>
      <w:b/>
      <w:bCs/>
    </w:rPr>
  </w:style>
  <w:style w:type="paragraph" w:customStyle="1" w:styleId="BodyTextIn">
    <w:name w:val="Body Text In"/>
    <w:basedOn w:val="Normal"/>
    <w:rsid w:val="00D163A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720"/>
    </w:pPr>
  </w:style>
  <w:style w:type="character" w:customStyle="1" w:styleId="CharChar3">
    <w:name w:val="Char Char3"/>
    <w:rsid w:val="00D163A5"/>
    <w:rPr>
      <w:lang w:val="en-US" w:eastAsia="en-US" w:bidi="ar-SA"/>
    </w:rPr>
  </w:style>
  <w:style w:type="paragraph" w:customStyle="1" w:styleId="msolistparagraph0">
    <w:name w:val="msolistparagraph"/>
    <w:basedOn w:val="Normal"/>
    <w:rsid w:val="00D163A5"/>
    <w:pPr>
      <w:ind w:left="720"/>
    </w:pPr>
  </w:style>
  <w:style w:type="paragraph" w:customStyle="1" w:styleId="Footnote0">
    <w:name w:val="Footnote"/>
    <w:basedOn w:val="Normal"/>
    <w:link w:val="FootnoteChar"/>
    <w:rsid w:val="00D163A5"/>
    <w:pPr>
      <w:keepLines/>
      <w:pBdr>
        <w:top w:val="single" w:sz="6" w:space="0" w:color="FFFFFF"/>
        <w:left w:val="single" w:sz="6" w:space="0" w:color="FFFFFF"/>
        <w:bottom w:val="single" w:sz="6" w:space="0" w:color="FFFFFF"/>
        <w:right w:val="single" w:sz="6" w:space="0" w:color="FFFFFF"/>
      </w:pBdr>
      <w:tabs>
        <w:tab w:val="right" w:leader="dot" w:pos="4320"/>
      </w:tabs>
      <w:jc w:val="both"/>
    </w:pPr>
  </w:style>
  <w:style w:type="character" w:customStyle="1" w:styleId="FootnoteChar">
    <w:name w:val="Footnote Char"/>
    <w:link w:val="Footnote0"/>
    <w:rsid w:val="00D163A5"/>
    <w:rPr>
      <w:rFonts w:ascii="Times New Roman" w:eastAsia="Times New Roman" w:hAnsi="Times New Roman" w:cs="Times New Roman"/>
      <w:sz w:val="24"/>
      <w:szCs w:val="24"/>
    </w:rPr>
  </w:style>
  <w:style w:type="paragraph" w:customStyle="1" w:styleId="NormalDEBS000002DEBS000001DEBS000014DEBS000014DEBS000016">
    <w:name w:val="Normal_DEBS000002_DEBS000001_DEBS000014_DEBS000014_DEBS000016"/>
    <w:basedOn w:val="Default"/>
    <w:next w:val="Default"/>
    <w:rsid w:val="00D163A5"/>
    <w:rPr>
      <w:color w:val="auto"/>
    </w:rPr>
  </w:style>
  <w:style w:type="character" w:customStyle="1" w:styleId="CharChar7">
    <w:name w:val="Char Char7"/>
    <w:locked/>
    <w:rsid w:val="00D163A5"/>
    <w:rPr>
      <w:rFonts w:cs="Arial"/>
      <w:b/>
      <w:bCs/>
      <w:kern w:val="32"/>
      <w:sz w:val="28"/>
      <w:szCs w:val="32"/>
      <w:lang w:val="en-US" w:eastAsia="en-US" w:bidi="ar-SA"/>
    </w:rPr>
  </w:style>
  <w:style w:type="character" w:customStyle="1" w:styleId="CharChar6">
    <w:name w:val="Char Char6"/>
    <w:semiHidden/>
    <w:locked/>
    <w:rsid w:val="00D163A5"/>
    <w:rPr>
      <w:rFonts w:ascii="Arial" w:hAnsi="Arial" w:cs="Arial"/>
      <w:b/>
      <w:bCs/>
      <w:sz w:val="26"/>
      <w:szCs w:val="26"/>
      <w:lang w:val="en-US" w:eastAsia="en-US" w:bidi="ar-SA"/>
    </w:rPr>
  </w:style>
  <w:style w:type="character" w:customStyle="1" w:styleId="CharChar4">
    <w:name w:val="Char Char4"/>
    <w:locked/>
    <w:rsid w:val="00D163A5"/>
    <w:rPr>
      <w:lang w:val="en-US" w:eastAsia="en-US" w:bidi="ar-SA"/>
    </w:rPr>
  </w:style>
  <w:style w:type="character" w:customStyle="1" w:styleId="CharChar">
    <w:name w:val="Char Char"/>
    <w:locked/>
    <w:rsid w:val="00D163A5"/>
    <w:rPr>
      <w:lang w:val="en-US" w:eastAsia="en-US" w:bidi="ar-SA"/>
    </w:rPr>
  </w:style>
  <w:style w:type="character" w:customStyle="1" w:styleId="CharChar5">
    <w:name w:val="Char Char5"/>
    <w:semiHidden/>
    <w:locked/>
    <w:rsid w:val="00D163A5"/>
    <w:rPr>
      <w:rFonts w:ascii="Tahoma" w:hAnsi="Tahoma" w:cs="Tahoma"/>
      <w:sz w:val="16"/>
      <w:szCs w:val="16"/>
      <w:lang w:val="en-US" w:eastAsia="en-US" w:bidi="ar-SA"/>
    </w:rPr>
  </w:style>
  <w:style w:type="character" w:customStyle="1" w:styleId="EmailStyle1641">
    <w:name w:val="EmailStyle1641"/>
    <w:semiHidden/>
    <w:rsid w:val="00D163A5"/>
    <w:rPr>
      <w:rFonts w:ascii="Arial" w:hAnsi="Arial" w:cs="Arial" w:hint="default"/>
      <w:color w:val="auto"/>
      <w:sz w:val="20"/>
      <w:szCs w:val="20"/>
    </w:rPr>
  </w:style>
  <w:style w:type="character" w:customStyle="1" w:styleId="EmailStyle1651">
    <w:name w:val="EmailStyle1651"/>
    <w:semiHidden/>
    <w:rsid w:val="00D163A5"/>
    <w:rPr>
      <w:rFonts w:ascii="Arial" w:hAnsi="Arial" w:cs="Arial" w:hint="default"/>
      <w:color w:val="auto"/>
      <w:sz w:val="20"/>
      <w:szCs w:val="20"/>
    </w:rPr>
  </w:style>
  <w:style w:type="character" w:customStyle="1" w:styleId="EmailStyle1661">
    <w:name w:val="EmailStyle1661"/>
    <w:semiHidden/>
    <w:rsid w:val="00D163A5"/>
    <w:rPr>
      <w:rFonts w:ascii="Arial" w:hAnsi="Arial" w:cs="Arial" w:hint="default"/>
      <w:color w:val="auto"/>
      <w:sz w:val="20"/>
      <w:szCs w:val="20"/>
    </w:rPr>
  </w:style>
  <w:style w:type="character" w:customStyle="1" w:styleId="EmailStyle1671">
    <w:name w:val="EmailStyle1671"/>
    <w:semiHidden/>
    <w:rsid w:val="00D163A5"/>
    <w:rPr>
      <w:rFonts w:ascii="Arial" w:hAnsi="Arial" w:cs="Arial" w:hint="default"/>
      <w:color w:val="auto"/>
      <w:sz w:val="20"/>
      <w:szCs w:val="20"/>
    </w:rPr>
  </w:style>
  <w:style w:type="character" w:customStyle="1" w:styleId="EmailStyle1681">
    <w:name w:val="EmailStyle1681"/>
    <w:semiHidden/>
    <w:rsid w:val="00D163A5"/>
    <w:rPr>
      <w:rFonts w:ascii="Arial" w:hAnsi="Arial" w:cs="Arial" w:hint="default"/>
      <w:color w:val="auto"/>
      <w:sz w:val="20"/>
      <w:szCs w:val="20"/>
    </w:rPr>
  </w:style>
  <w:style w:type="character" w:customStyle="1" w:styleId="EmailStyle1691">
    <w:name w:val="EmailStyle1691"/>
    <w:semiHidden/>
    <w:rsid w:val="00D163A5"/>
    <w:rPr>
      <w:rFonts w:ascii="Arial" w:hAnsi="Arial" w:cs="Arial" w:hint="default"/>
      <w:color w:val="auto"/>
      <w:sz w:val="20"/>
      <w:szCs w:val="20"/>
    </w:rPr>
  </w:style>
  <w:style w:type="character" w:customStyle="1" w:styleId="EmailStyle1701">
    <w:name w:val="EmailStyle1701"/>
    <w:semiHidden/>
    <w:rsid w:val="00D163A5"/>
    <w:rPr>
      <w:rFonts w:ascii="Arial" w:hAnsi="Arial" w:cs="Arial"/>
      <w:color w:val="000080"/>
      <w:sz w:val="20"/>
      <w:szCs w:val="20"/>
    </w:rPr>
  </w:style>
  <w:style w:type="paragraph" w:customStyle="1" w:styleId="a">
    <w:name w:val="_"/>
    <w:basedOn w:val="Normal"/>
    <w:rsid w:val="00D163A5"/>
    <w:pPr>
      <w:widowControl w:val="0"/>
      <w:autoSpaceDE w:val="0"/>
      <w:autoSpaceDN w:val="0"/>
      <w:adjustRightInd w:val="0"/>
      <w:ind w:left="2160" w:hanging="720"/>
    </w:pPr>
  </w:style>
  <w:style w:type="paragraph" w:customStyle="1" w:styleId="1">
    <w:name w:val="_1"/>
    <w:basedOn w:val="Normal"/>
    <w:rsid w:val="00D163A5"/>
    <w:pPr>
      <w:widowControl w:val="0"/>
      <w:autoSpaceDE w:val="0"/>
      <w:autoSpaceDN w:val="0"/>
      <w:adjustRightInd w:val="0"/>
      <w:ind w:left="720" w:hanging="720"/>
    </w:pPr>
  </w:style>
  <w:style w:type="paragraph" w:customStyle="1" w:styleId="xl64">
    <w:name w:val="xl64"/>
    <w:basedOn w:val="Normal"/>
    <w:rsid w:val="00D163A5"/>
    <w:pPr>
      <w:spacing w:before="100" w:beforeAutospacing="1" w:after="100" w:afterAutospacing="1"/>
      <w:jc w:val="center"/>
    </w:pPr>
  </w:style>
  <w:style w:type="paragraph" w:customStyle="1" w:styleId="xl65">
    <w:name w:val="xl65"/>
    <w:basedOn w:val="Normal"/>
    <w:rsid w:val="00D163A5"/>
    <w:pPr>
      <w:spacing w:before="100" w:beforeAutospacing="1" w:after="100" w:afterAutospacing="1"/>
    </w:pPr>
    <w:rPr>
      <w:rFonts w:ascii="Arial" w:hAnsi="Arial" w:cs="Arial"/>
      <w:b/>
      <w:bCs/>
    </w:rPr>
  </w:style>
  <w:style w:type="paragraph" w:customStyle="1" w:styleId="xl66">
    <w:name w:val="xl66"/>
    <w:basedOn w:val="Normal"/>
    <w:rsid w:val="00D163A5"/>
    <w:pPr>
      <w:spacing w:before="100" w:beforeAutospacing="1" w:after="100" w:afterAutospacing="1"/>
      <w:jc w:val="center"/>
    </w:pPr>
    <w:rPr>
      <w:rFonts w:ascii="Arial" w:hAnsi="Arial" w:cs="Arial"/>
      <w:b/>
      <w:bCs/>
    </w:rPr>
  </w:style>
  <w:style w:type="character" w:customStyle="1" w:styleId="A1">
    <w:name w:val="A1"/>
    <w:uiPriority w:val="99"/>
    <w:rsid w:val="00D163A5"/>
    <w:rPr>
      <w:b/>
      <w:bCs/>
      <w:color w:val="000000"/>
    </w:rPr>
  </w:style>
  <w:style w:type="character" w:customStyle="1" w:styleId="A22">
    <w:name w:val="A22"/>
    <w:uiPriority w:val="99"/>
    <w:rsid w:val="002E119D"/>
    <w:rPr>
      <w:rFonts w:ascii="Adobe Garamond Pro" w:hAnsi="Adobe Garamond Pro" w:hint="default"/>
      <w:color w:val="221E1F"/>
    </w:rPr>
  </w:style>
  <w:style w:type="paragraph" w:styleId="Caption">
    <w:name w:val="caption"/>
    <w:basedOn w:val="Normal"/>
    <w:next w:val="Normal"/>
    <w:uiPriority w:val="35"/>
    <w:semiHidden/>
    <w:unhideWhenUsed/>
    <w:qFormat/>
    <w:rsid w:val="004C723C"/>
    <w:rPr>
      <w:b/>
      <w:bCs/>
      <w:sz w:val="20"/>
      <w:szCs w:val="20"/>
    </w:rPr>
  </w:style>
  <w:style w:type="paragraph" w:customStyle="1" w:styleId="xl58">
    <w:name w:val="xl58"/>
    <w:basedOn w:val="Normal"/>
    <w:rsid w:val="003D5174"/>
    <w:pPr>
      <w:spacing w:before="100" w:beforeAutospacing="1" w:after="100" w:afterAutospacing="1"/>
    </w:pPr>
    <w:rPr>
      <w:rFonts w:ascii="Arial" w:hAnsi="Arial" w:cs="Arial"/>
      <w:sz w:val="20"/>
      <w:szCs w:val="20"/>
      <w:lang w:eastAsia="zh-TW"/>
    </w:rPr>
  </w:style>
  <w:style w:type="paragraph" w:customStyle="1" w:styleId="xl59">
    <w:name w:val="xl59"/>
    <w:basedOn w:val="Normal"/>
    <w:rsid w:val="003D5174"/>
    <w:pPr>
      <w:spacing w:before="100" w:beforeAutospacing="1" w:after="100" w:afterAutospacing="1"/>
      <w:jc w:val="center"/>
    </w:pPr>
    <w:rPr>
      <w:rFonts w:ascii="Arial" w:hAnsi="Arial" w:cs="Arial"/>
      <w:sz w:val="20"/>
      <w:szCs w:val="20"/>
      <w:lang w:eastAsia="zh-TW"/>
    </w:rPr>
  </w:style>
  <w:style w:type="paragraph" w:customStyle="1" w:styleId="xl60">
    <w:name w:val="xl60"/>
    <w:basedOn w:val="Normal"/>
    <w:rsid w:val="003D5174"/>
    <w:pPr>
      <w:spacing w:before="100" w:beforeAutospacing="1" w:after="100" w:afterAutospacing="1"/>
    </w:pPr>
    <w:rPr>
      <w:rFonts w:ascii="Arial" w:hAnsi="Arial" w:cs="Arial"/>
      <w:sz w:val="20"/>
      <w:szCs w:val="20"/>
      <w:lang w:eastAsia="zh-TW"/>
    </w:rPr>
  </w:style>
  <w:style w:type="paragraph" w:customStyle="1" w:styleId="xl61">
    <w:name w:val="xl61"/>
    <w:basedOn w:val="Normal"/>
    <w:rsid w:val="003D5174"/>
    <w:pPr>
      <w:spacing w:before="100" w:beforeAutospacing="1" w:after="100" w:afterAutospacing="1"/>
    </w:pPr>
    <w:rPr>
      <w:rFonts w:ascii="Arial" w:hAnsi="Arial" w:cs="Arial"/>
      <w:sz w:val="20"/>
      <w:szCs w:val="20"/>
      <w:lang w:eastAsia="zh-TW"/>
    </w:rPr>
  </w:style>
  <w:style w:type="paragraph" w:customStyle="1" w:styleId="xl62">
    <w:name w:val="xl62"/>
    <w:basedOn w:val="Normal"/>
    <w:rsid w:val="003D5174"/>
    <w:pPr>
      <w:spacing w:before="100" w:beforeAutospacing="1" w:after="100" w:afterAutospacing="1"/>
    </w:pPr>
    <w:rPr>
      <w:rFonts w:ascii="Arial" w:hAnsi="Arial" w:cs="Arial"/>
      <w:b/>
      <w:bCs/>
      <w:sz w:val="20"/>
      <w:szCs w:val="20"/>
      <w:lang w:eastAsia="zh-TW"/>
    </w:rPr>
  </w:style>
  <w:style w:type="paragraph" w:customStyle="1" w:styleId="xl63">
    <w:name w:val="xl63"/>
    <w:basedOn w:val="Normal"/>
    <w:rsid w:val="003D5174"/>
    <w:pPr>
      <w:spacing w:before="100" w:beforeAutospacing="1" w:after="100" w:afterAutospacing="1"/>
      <w:jc w:val="center"/>
    </w:pPr>
    <w:rPr>
      <w:rFonts w:ascii="Arial" w:hAnsi="Arial" w:cs="Arial"/>
      <w:b/>
      <w:bCs/>
      <w:sz w:val="20"/>
      <w:szCs w:val="20"/>
      <w:lang w:eastAsia="zh-TW"/>
    </w:rPr>
  </w:style>
  <w:style w:type="paragraph" w:styleId="Revision">
    <w:name w:val="Revision"/>
    <w:hidden/>
    <w:uiPriority w:val="99"/>
    <w:semiHidden/>
    <w:rsid w:val="003D1F5B"/>
    <w:rPr>
      <w:rFonts w:ascii="Times New Roman" w:eastAsia="Times New Roman" w:hAnsi="Times New Roman"/>
      <w:sz w:val="24"/>
      <w:szCs w:val="24"/>
    </w:rPr>
  </w:style>
  <w:style w:type="character" w:customStyle="1" w:styleId="tp-label">
    <w:name w:val="tp-label"/>
    <w:rsid w:val="00BB0D78"/>
  </w:style>
  <w:style w:type="numbering" w:customStyle="1" w:styleId="NoList1">
    <w:name w:val="No List1"/>
    <w:next w:val="NoList"/>
    <w:uiPriority w:val="99"/>
    <w:semiHidden/>
    <w:unhideWhenUsed/>
    <w:rsid w:val="006C0617"/>
  </w:style>
  <w:style w:type="character" w:customStyle="1" w:styleId="CommentTextChar1">
    <w:name w:val="Comment Text Char1"/>
    <w:basedOn w:val="DefaultParagraphFont"/>
    <w:uiPriority w:val="99"/>
    <w:semiHidden/>
    <w:rsid w:val="00F17BF1"/>
    <w:rPr>
      <w:rFonts w:ascii="Times New Roman" w:eastAsia="Times New Roman" w:hAnsi="Times New Roman"/>
    </w:rPr>
  </w:style>
  <w:style w:type="character" w:customStyle="1" w:styleId="CommentSubjectChar1">
    <w:name w:val="Comment Subject Char1"/>
    <w:basedOn w:val="CommentTextChar1"/>
    <w:uiPriority w:val="99"/>
    <w:semiHidden/>
    <w:rsid w:val="00F17BF1"/>
    <w:rPr>
      <w:rFonts w:ascii="Times New Roman" w:eastAsia="Times New Roman" w:hAnsi="Times New Roman"/>
      <w:b/>
      <w:bCs/>
    </w:rPr>
  </w:style>
  <w:style w:type="character" w:customStyle="1" w:styleId="DocumentMapChar1">
    <w:name w:val="Document Map Char1"/>
    <w:basedOn w:val="DefaultParagraphFont"/>
    <w:uiPriority w:val="99"/>
    <w:semiHidden/>
    <w:rsid w:val="00F17BF1"/>
    <w:rPr>
      <w:rFonts w:ascii="Segoe UI" w:eastAsia="Times New Roman" w:hAnsi="Segoe UI" w:cs="Segoe UI"/>
      <w:sz w:val="16"/>
      <w:szCs w:val="16"/>
    </w:rPr>
  </w:style>
  <w:style w:type="character" w:customStyle="1" w:styleId="sr-only">
    <w:name w:val="sr-only"/>
    <w:basedOn w:val="DefaultParagraphFont"/>
    <w:rsid w:val="00E81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6936">
      <w:bodyDiv w:val="1"/>
      <w:marLeft w:val="0"/>
      <w:marRight w:val="0"/>
      <w:marTop w:val="0"/>
      <w:marBottom w:val="0"/>
      <w:divBdr>
        <w:top w:val="none" w:sz="0" w:space="0" w:color="auto"/>
        <w:left w:val="none" w:sz="0" w:space="0" w:color="auto"/>
        <w:bottom w:val="none" w:sz="0" w:space="0" w:color="auto"/>
        <w:right w:val="none" w:sz="0" w:space="0" w:color="auto"/>
      </w:divBdr>
    </w:div>
    <w:div w:id="43720306">
      <w:bodyDiv w:val="1"/>
      <w:marLeft w:val="0"/>
      <w:marRight w:val="0"/>
      <w:marTop w:val="0"/>
      <w:marBottom w:val="0"/>
      <w:divBdr>
        <w:top w:val="none" w:sz="0" w:space="0" w:color="auto"/>
        <w:left w:val="none" w:sz="0" w:space="0" w:color="auto"/>
        <w:bottom w:val="none" w:sz="0" w:space="0" w:color="auto"/>
        <w:right w:val="none" w:sz="0" w:space="0" w:color="auto"/>
      </w:divBdr>
    </w:div>
    <w:div w:id="49233047">
      <w:bodyDiv w:val="1"/>
      <w:marLeft w:val="0"/>
      <w:marRight w:val="0"/>
      <w:marTop w:val="0"/>
      <w:marBottom w:val="0"/>
      <w:divBdr>
        <w:top w:val="none" w:sz="0" w:space="0" w:color="auto"/>
        <w:left w:val="none" w:sz="0" w:space="0" w:color="auto"/>
        <w:bottom w:val="none" w:sz="0" w:space="0" w:color="auto"/>
        <w:right w:val="none" w:sz="0" w:space="0" w:color="auto"/>
      </w:divBdr>
    </w:div>
    <w:div w:id="72053619">
      <w:bodyDiv w:val="1"/>
      <w:marLeft w:val="0"/>
      <w:marRight w:val="0"/>
      <w:marTop w:val="0"/>
      <w:marBottom w:val="0"/>
      <w:divBdr>
        <w:top w:val="none" w:sz="0" w:space="0" w:color="auto"/>
        <w:left w:val="none" w:sz="0" w:space="0" w:color="auto"/>
        <w:bottom w:val="none" w:sz="0" w:space="0" w:color="auto"/>
        <w:right w:val="none" w:sz="0" w:space="0" w:color="auto"/>
      </w:divBdr>
    </w:div>
    <w:div w:id="78406719">
      <w:bodyDiv w:val="1"/>
      <w:marLeft w:val="0"/>
      <w:marRight w:val="0"/>
      <w:marTop w:val="0"/>
      <w:marBottom w:val="0"/>
      <w:divBdr>
        <w:top w:val="none" w:sz="0" w:space="0" w:color="auto"/>
        <w:left w:val="none" w:sz="0" w:space="0" w:color="auto"/>
        <w:bottom w:val="none" w:sz="0" w:space="0" w:color="auto"/>
        <w:right w:val="none" w:sz="0" w:space="0" w:color="auto"/>
      </w:divBdr>
    </w:div>
    <w:div w:id="79373762">
      <w:bodyDiv w:val="1"/>
      <w:marLeft w:val="0"/>
      <w:marRight w:val="0"/>
      <w:marTop w:val="0"/>
      <w:marBottom w:val="0"/>
      <w:divBdr>
        <w:top w:val="none" w:sz="0" w:space="0" w:color="auto"/>
        <w:left w:val="none" w:sz="0" w:space="0" w:color="auto"/>
        <w:bottom w:val="none" w:sz="0" w:space="0" w:color="auto"/>
        <w:right w:val="none" w:sz="0" w:space="0" w:color="auto"/>
      </w:divBdr>
    </w:div>
    <w:div w:id="97677373">
      <w:bodyDiv w:val="1"/>
      <w:marLeft w:val="0"/>
      <w:marRight w:val="0"/>
      <w:marTop w:val="0"/>
      <w:marBottom w:val="0"/>
      <w:divBdr>
        <w:top w:val="none" w:sz="0" w:space="0" w:color="auto"/>
        <w:left w:val="none" w:sz="0" w:space="0" w:color="auto"/>
        <w:bottom w:val="none" w:sz="0" w:space="0" w:color="auto"/>
        <w:right w:val="none" w:sz="0" w:space="0" w:color="auto"/>
      </w:divBdr>
    </w:div>
    <w:div w:id="107283416">
      <w:bodyDiv w:val="1"/>
      <w:marLeft w:val="0"/>
      <w:marRight w:val="0"/>
      <w:marTop w:val="0"/>
      <w:marBottom w:val="0"/>
      <w:divBdr>
        <w:top w:val="none" w:sz="0" w:space="0" w:color="auto"/>
        <w:left w:val="none" w:sz="0" w:space="0" w:color="auto"/>
        <w:bottom w:val="none" w:sz="0" w:space="0" w:color="auto"/>
        <w:right w:val="none" w:sz="0" w:space="0" w:color="auto"/>
      </w:divBdr>
    </w:div>
    <w:div w:id="132449505">
      <w:bodyDiv w:val="1"/>
      <w:marLeft w:val="0"/>
      <w:marRight w:val="0"/>
      <w:marTop w:val="0"/>
      <w:marBottom w:val="0"/>
      <w:divBdr>
        <w:top w:val="none" w:sz="0" w:space="0" w:color="auto"/>
        <w:left w:val="none" w:sz="0" w:space="0" w:color="auto"/>
        <w:bottom w:val="none" w:sz="0" w:space="0" w:color="auto"/>
        <w:right w:val="none" w:sz="0" w:space="0" w:color="auto"/>
      </w:divBdr>
    </w:div>
    <w:div w:id="164173072">
      <w:bodyDiv w:val="1"/>
      <w:marLeft w:val="0"/>
      <w:marRight w:val="0"/>
      <w:marTop w:val="0"/>
      <w:marBottom w:val="0"/>
      <w:divBdr>
        <w:top w:val="none" w:sz="0" w:space="0" w:color="auto"/>
        <w:left w:val="none" w:sz="0" w:space="0" w:color="auto"/>
        <w:bottom w:val="none" w:sz="0" w:space="0" w:color="auto"/>
        <w:right w:val="none" w:sz="0" w:space="0" w:color="auto"/>
      </w:divBdr>
    </w:div>
    <w:div w:id="184901097">
      <w:bodyDiv w:val="1"/>
      <w:marLeft w:val="0"/>
      <w:marRight w:val="0"/>
      <w:marTop w:val="0"/>
      <w:marBottom w:val="0"/>
      <w:divBdr>
        <w:top w:val="none" w:sz="0" w:space="0" w:color="auto"/>
        <w:left w:val="none" w:sz="0" w:space="0" w:color="auto"/>
        <w:bottom w:val="none" w:sz="0" w:space="0" w:color="auto"/>
        <w:right w:val="none" w:sz="0" w:space="0" w:color="auto"/>
      </w:divBdr>
    </w:div>
    <w:div w:id="188764618">
      <w:bodyDiv w:val="1"/>
      <w:marLeft w:val="0"/>
      <w:marRight w:val="0"/>
      <w:marTop w:val="0"/>
      <w:marBottom w:val="0"/>
      <w:divBdr>
        <w:top w:val="none" w:sz="0" w:space="0" w:color="auto"/>
        <w:left w:val="none" w:sz="0" w:space="0" w:color="auto"/>
        <w:bottom w:val="none" w:sz="0" w:space="0" w:color="auto"/>
        <w:right w:val="none" w:sz="0" w:space="0" w:color="auto"/>
      </w:divBdr>
    </w:div>
    <w:div w:id="209847578">
      <w:bodyDiv w:val="1"/>
      <w:marLeft w:val="0"/>
      <w:marRight w:val="0"/>
      <w:marTop w:val="0"/>
      <w:marBottom w:val="0"/>
      <w:divBdr>
        <w:top w:val="none" w:sz="0" w:space="0" w:color="auto"/>
        <w:left w:val="none" w:sz="0" w:space="0" w:color="auto"/>
        <w:bottom w:val="none" w:sz="0" w:space="0" w:color="auto"/>
        <w:right w:val="none" w:sz="0" w:space="0" w:color="auto"/>
      </w:divBdr>
    </w:div>
    <w:div w:id="220600457">
      <w:bodyDiv w:val="1"/>
      <w:marLeft w:val="0"/>
      <w:marRight w:val="0"/>
      <w:marTop w:val="0"/>
      <w:marBottom w:val="0"/>
      <w:divBdr>
        <w:top w:val="none" w:sz="0" w:space="0" w:color="auto"/>
        <w:left w:val="none" w:sz="0" w:space="0" w:color="auto"/>
        <w:bottom w:val="none" w:sz="0" w:space="0" w:color="auto"/>
        <w:right w:val="none" w:sz="0" w:space="0" w:color="auto"/>
      </w:divBdr>
    </w:div>
    <w:div w:id="238485516">
      <w:bodyDiv w:val="1"/>
      <w:marLeft w:val="0"/>
      <w:marRight w:val="0"/>
      <w:marTop w:val="0"/>
      <w:marBottom w:val="0"/>
      <w:divBdr>
        <w:top w:val="none" w:sz="0" w:space="0" w:color="auto"/>
        <w:left w:val="none" w:sz="0" w:space="0" w:color="auto"/>
        <w:bottom w:val="none" w:sz="0" w:space="0" w:color="auto"/>
        <w:right w:val="none" w:sz="0" w:space="0" w:color="auto"/>
      </w:divBdr>
    </w:div>
    <w:div w:id="254216516">
      <w:bodyDiv w:val="1"/>
      <w:marLeft w:val="0"/>
      <w:marRight w:val="0"/>
      <w:marTop w:val="0"/>
      <w:marBottom w:val="0"/>
      <w:divBdr>
        <w:top w:val="none" w:sz="0" w:space="0" w:color="auto"/>
        <w:left w:val="none" w:sz="0" w:space="0" w:color="auto"/>
        <w:bottom w:val="none" w:sz="0" w:space="0" w:color="auto"/>
        <w:right w:val="none" w:sz="0" w:space="0" w:color="auto"/>
      </w:divBdr>
    </w:div>
    <w:div w:id="256061866">
      <w:bodyDiv w:val="1"/>
      <w:marLeft w:val="0"/>
      <w:marRight w:val="0"/>
      <w:marTop w:val="0"/>
      <w:marBottom w:val="0"/>
      <w:divBdr>
        <w:top w:val="none" w:sz="0" w:space="0" w:color="auto"/>
        <w:left w:val="none" w:sz="0" w:space="0" w:color="auto"/>
        <w:bottom w:val="none" w:sz="0" w:space="0" w:color="auto"/>
        <w:right w:val="none" w:sz="0" w:space="0" w:color="auto"/>
      </w:divBdr>
    </w:div>
    <w:div w:id="294066516">
      <w:bodyDiv w:val="1"/>
      <w:marLeft w:val="0"/>
      <w:marRight w:val="0"/>
      <w:marTop w:val="0"/>
      <w:marBottom w:val="0"/>
      <w:divBdr>
        <w:top w:val="none" w:sz="0" w:space="0" w:color="auto"/>
        <w:left w:val="none" w:sz="0" w:space="0" w:color="auto"/>
        <w:bottom w:val="none" w:sz="0" w:space="0" w:color="auto"/>
        <w:right w:val="none" w:sz="0" w:space="0" w:color="auto"/>
      </w:divBdr>
    </w:div>
    <w:div w:id="305934462">
      <w:bodyDiv w:val="1"/>
      <w:marLeft w:val="0"/>
      <w:marRight w:val="0"/>
      <w:marTop w:val="0"/>
      <w:marBottom w:val="0"/>
      <w:divBdr>
        <w:top w:val="none" w:sz="0" w:space="0" w:color="auto"/>
        <w:left w:val="none" w:sz="0" w:space="0" w:color="auto"/>
        <w:bottom w:val="none" w:sz="0" w:space="0" w:color="auto"/>
        <w:right w:val="none" w:sz="0" w:space="0" w:color="auto"/>
      </w:divBdr>
    </w:div>
    <w:div w:id="318383306">
      <w:bodyDiv w:val="1"/>
      <w:marLeft w:val="0"/>
      <w:marRight w:val="0"/>
      <w:marTop w:val="0"/>
      <w:marBottom w:val="0"/>
      <w:divBdr>
        <w:top w:val="none" w:sz="0" w:space="0" w:color="auto"/>
        <w:left w:val="none" w:sz="0" w:space="0" w:color="auto"/>
        <w:bottom w:val="none" w:sz="0" w:space="0" w:color="auto"/>
        <w:right w:val="none" w:sz="0" w:space="0" w:color="auto"/>
      </w:divBdr>
    </w:div>
    <w:div w:id="329019099">
      <w:bodyDiv w:val="1"/>
      <w:marLeft w:val="0"/>
      <w:marRight w:val="0"/>
      <w:marTop w:val="0"/>
      <w:marBottom w:val="0"/>
      <w:divBdr>
        <w:top w:val="none" w:sz="0" w:space="0" w:color="auto"/>
        <w:left w:val="none" w:sz="0" w:space="0" w:color="auto"/>
        <w:bottom w:val="none" w:sz="0" w:space="0" w:color="auto"/>
        <w:right w:val="none" w:sz="0" w:space="0" w:color="auto"/>
      </w:divBdr>
    </w:div>
    <w:div w:id="339282811">
      <w:bodyDiv w:val="1"/>
      <w:marLeft w:val="0"/>
      <w:marRight w:val="0"/>
      <w:marTop w:val="0"/>
      <w:marBottom w:val="0"/>
      <w:divBdr>
        <w:top w:val="none" w:sz="0" w:space="0" w:color="auto"/>
        <w:left w:val="none" w:sz="0" w:space="0" w:color="auto"/>
        <w:bottom w:val="none" w:sz="0" w:space="0" w:color="auto"/>
        <w:right w:val="none" w:sz="0" w:space="0" w:color="auto"/>
      </w:divBdr>
    </w:div>
    <w:div w:id="351762412">
      <w:bodyDiv w:val="1"/>
      <w:marLeft w:val="0"/>
      <w:marRight w:val="0"/>
      <w:marTop w:val="0"/>
      <w:marBottom w:val="0"/>
      <w:divBdr>
        <w:top w:val="none" w:sz="0" w:space="0" w:color="auto"/>
        <w:left w:val="none" w:sz="0" w:space="0" w:color="auto"/>
        <w:bottom w:val="none" w:sz="0" w:space="0" w:color="auto"/>
        <w:right w:val="none" w:sz="0" w:space="0" w:color="auto"/>
      </w:divBdr>
    </w:div>
    <w:div w:id="356934496">
      <w:bodyDiv w:val="1"/>
      <w:marLeft w:val="0"/>
      <w:marRight w:val="0"/>
      <w:marTop w:val="0"/>
      <w:marBottom w:val="0"/>
      <w:divBdr>
        <w:top w:val="none" w:sz="0" w:space="0" w:color="auto"/>
        <w:left w:val="none" w:sz="0" w:space="0" w:color="auto"/>
        <w:bottom w:val="none" w:sz="0" w:space="0" w:color="auto"/>
        <w:right w:val="none" w:sz="0" w:space="0" w:color="auto"/>
      </w:divBdr>
    </w:div>
    <w:div w:id="378093882">
      <w:bodyDiv w:val="1"/>
      <w:marLeft w:val="0"/>
      <w:marRight w:val="0"/>
      <w:marTop w:val="0"/>
      <w:marBottom w:val="0"/>
      <w:divBdr>
        <w:top w:val="none" w:sz="0" w:space="0" w:color="auto"/>
        <w:left w:val="none" w:sz="0" w:space="0" w:color="auto"/>
        <w:bottom w:val="none" w:sz="0" w:space="0" w:color="auto"/>
        <w:right w:val="none" w:sz="0" w:space="0" w:color="auto"/>
      </w:divBdr>
    </w:div>
    <w:div w:id="388505757">
      <w:bodyDiv w:val="1"/>
      <w:marLeft w:val="0"/>
      <w:marRight w:val="0"/>
      <w:marTop w:val="0"/>
      <w:marBottom w:val="0"/>
      <w:divBdr>
        <w:top w:val="none" w:sz="0" w:space="0" w:color="auto"/>
        <w:left w:val="none" w:sz="0" w:space="0" w:color="auto"/>
        <w:bottom w:val="none" w:sz="0" w:space="0" w:color="auto"/>
        <w:right w:val="none" w:sz="0" w:space="0" w:color="auto"/>
      </w:divBdr>
    </w:div>
    <w:div w:id="391662503">
      <w:bodyDiv w:val="1"/>
      <w:marLeft w:val="0"/>
      <w:marRight w:val="0"/>
      <w:marTop w:val="0"/>
      <w:marBottom w:val="0"/>
      <w:divBdr>
        <w:top w:val="none" w:sz="0" w:space="0" w:color="auto"/>
        <w:left w:val="none" w:sz="0" w:space="0" w:color="auto"/>
        <w:bottom w:val="none" w:sz="0" w:space="0" w:color="auto"/>
        <w:right w:val="none" w:sz="0" w:space="0" w:color="auto"/>
      </w:divBdr>
    </w:div>
    <w:div w:id="400837144">
      <w:bodyDiv w:val="1"/>
      <w:marLeft w:val="0"/>
      <w:marRight w:val="0"/>
      <w:marTop w:val="0"/>
      <w:marBottom w:val="0"/>
      <w:divBdr>
        <w:top w:val="none" w:sz="0" w:space="0" w:color="auto"/>
        <w:left w:val="none" w:sz="0" w:space="0" w:color="auto"/>
        <w:bottom w:val="none" w:sz="0" w:space="0" w:color="auto"/>
        <w:right w:val="none" w:sz="0" w:space="0" w:color="auto"/>
      </w:divBdr>
    </w:div>
    <w:div w:id="405955946">
      <w:bodyDiv w:val="1"/>
      <w:marLeft w:val="0"/>
      <w:marRight w:val="0"/>
      <w:marTop w:val="0"/>
      <w:marBottom w:val="0"/>
      <w:divBdr>
        <w:top w:val="none" w:sz="0" w:space="0" w:color="auto"/>
        <w:left w:val="none" w:sz="0" w:space="0" w:color="auto"/>
        <w:bottom w:val="none" w:sz="0" w:space="0" w:color="auto"/>
        <w:right w:val="none" w:sz="0" w:space="0" w:color="auto"/>
      </w:divBdr>
    </w:div>
    <w:div w:id="446389312">
      <w:bodyDiv w:val="1"/>
      <w:marLeft w:val="0"/>
      <w:marRight w:val="0"/>
      <w:marTop w:val="0"/>
      <w:marBottom w:val="0"/>
      <w:divBdr>
        <w:top w:val="none" w:sz="0" w:space="0" w:color="auto"/>
        <w:left w:val="none" w:sz="0" w:space="0" w:color="auto"/>
        <w:bottom w:val="none" w:sz="0" w:space="0" w:color="auto"/>
        <w:right w:val="none" w:sz="0" w:space="0" w:color="auto"/>
      </w:divBdr>
    </w:div>
    <w:div w:id="453404044">
      <w:bodyDiv w:val="1"/>
      <w:marLeft w:val="0"/>
      <w:marRight w:val="0"/>
      <w:marTop w:val="0"/>
      <w:marBottom w:val="0"/>
      <w:divBdr>
        <w:top w:val="none" w:sz="0" w:space="0" w:color="auto"/>
        <w:left w:val="none" w:sz="0" w:space="0" w:color="auto"/>
        <w:bottom w:val="none" w:sz="0" w:space="0" w:color="auto"/>
        <w:right w:val="none" w:sz="0" w:space="0" w:color="auto"/>
      </w:divBdr>
    </w:div>
    <w:div w:id="456799467">
      <w:bodyDiv w:val="1"/>
      <w:marLeft w:val="0"/>
      <w:marRight w:val="0"/>
      <w:marTop w:val="0"/>
      <w:marBottom w:val="0"/>
      <w:divBdr>
        <w:top w:val="none" w:sz="0" w:space="0" w:color="auto"/>
        <w:left w:val="none" w:sz="0" w:space="0" w:color="auto"/>
        <w:bottom w:val="none" w:sz="0" w:space="0" w:color="auto"/>
        <w:right w:val="none" w:sz="0" w:space="0" w:color="auto"/>
      </w:divBdr>
    </w:div>
    <w:div w:id="457840279">
      <w:bodyDiv w:val="1"/>
      <w:marLeft w:val="0"/>
      <w:marRight w:val="0"/>
      <w:marTop w:val="0"/>
      <w:marBottom w:val="0"/>
      <w:divBdr>
        <w:top w:val="none" w:sz="0" w:space="0" w:color="auto"/>
        <w:left w:val="none" w:sz="0" w:space="0" w:color="auto"/>
        <w:bottom w:val="none" w:sz="0" w:space="0" w:color="auto"/>
        <w:right w:val="none" w:sz="0" w:space="0" w:color="auto"/>
      </w:divBdr>
    </w:div>
    <w:div w:id="459424903">
      <w:bodyDiv w:val="1"/>
      <w:marLeft w:val="0"/>
      <w:marRight w:val="0"/>
      <w:marTop w:val="0"/>
      <w:marBottom w:val="0"/>
      <w:divBdr>
        <w:top w:val="none" w:sz="0" w:space="0" w:color="auto"/>
        <w:left w:val="none" w:sz="0" w:space="0" w:color="auto"/>
        <w:bottom w:val="none" w:sz="0" w:space="0" w:color="auto"/>
        <w:right w:val="none" w:sz="0" w:space="0" w:color="auto"/>
      </w:divBdr>
    </w:div>
    <w:div w:id="462621899">
      <w:bodyDiv w:val="1"/>
      <w:marLeft w:val="0"/>
      <w:marRight w:val="0"/>
      <w:marTop w:val="0"/>
      <w:marBottom w:val="0"/>
      <w:divBdr>
        <w:top w:val="none" w:sz="0" w:space="0" w:color="auto"/>
        <w:left w:val="none" w:sz="0" w:space="0" w:color="auto"/>
        <w:bottom w:val="none" w:sz="0" w:space="0" w:color="auto"/>
        <w:right w:val="none" w:sz="0" w:space="0" w:color="auto"/>
      </w:divBdr>
    </w:div>
    <w:div w:id="465313721">
      <w:bodyDiv w:val="1"/>
      <w:marLeft w:val="0"/>
      <w:marRight w:val="0"/>
      <w:marTop w:val="0"/>
      <w:marBottom w:val="0"/>
      <w:divBdr>
        <w:top w:val="none" w:sz="0" w:space="0" w:color="auto"/>
        <w:left w:val="none" w:sz="0" w:space="0" w:color="auto"/>
        <w:bottom w:val="none" w:sz="0" w:space="0" w:color="auto"/>
        <w:right w:val="none" w:sz="0" w:space="0" w:color="auto"/>
      </w:divBdr>
    </w:div>
    <w:div w:id="481115986">
      <w:bodyDiv w:val="1"/>
      <w:marLeft w:val="0"/>
      <w:marRight w:val="0"/>
      <w:marTop w:val="0"/>
      <w:marBottom w:val="0"/>
      <w:divBdr>
        <w:top w:val="none" w:sz="0" w:space="0" w:color="auto"/>
        <w:left w:val="none" w:sz="0" w:space="0" w:color="auto"/>
        <w:bottom w:val="none" w:sz="0" w:space="0" w:color="auto"/>
        <w:right w:val="none" w:sz="0" w:space="0" w:color="auto"/>
      </w:divBdr>
    </w:div>
    <w:div w:id="482088434">
      <w:bodyDiv w:val="1"/>
      <w:marLeft w:val="0"/>
      <w:marRight w:val="0"/>
      <w:marTop w:val="0"/>
      <w:marBottom w:val="0"/>
      <w:divBdr>
        <w:top w:val="none" w:sz="0" w:space="0" w:color="auto"/>
        <w:left w:val="none" w:sz="0" w:space="0" w:color="auto"/>
        <w:bottom w:val="none" w:sz="0" w:space="0" w:color="auto"/>
        <w:right w:val="none" w:sz="0" w:space="0" w:color="auto"/>
      </w:divBdr>
    </w:div>
    <w:div w:id="492911643">
      <w:bodyDiv w:val="1"/>
      <w:marLeft w:val="0"/>
      <w:marRight w:val="0"/>
      <w:marTop w:val="0"/>
      <w:marBottom w:val="0"/>
      <w:divBdr>
        <w:top w:val="none" w:sz="0" w:space="0" w:color="auto"/>
        <w:left w:val="none" w:sz="0" w:space="0" w:color="auto"/>
        <w:bottom w:val="none" w:sz="0" w:space="0" w:color="auto"/>
        <w:right w:val="none" w:sz="0" w:space="0" w:color="auto"/>
      </w:divBdr>
    </w:div>
    <w:div w:id="494153822">
      <w:bodyDiv w:val="1"/>
      <w:marLeft w:val="0"/>
      <w:marRight w:val="0"/>
      <w:marTop w:val="0"/>
      <w:marBottom w:val="0"/>
      <w:divBdr>
        <w:top w:val="none" w:sz="0" w:space="0" w:color="auto"/>
        <w:left w:val="none" w:sz="0" w:space="0" w:color="auto"/>
        <w:bottom w:val="none" w:sz="0" w:space="0" w:color="auto"/>
        <w:right w:val="none" w:sz="0" w:space="0" w:color="auto"/>
      </w:divBdr>
    </w:div>
    <w:div w:id="506529588">
      <w:bodyDiv w:val="1"/>
      <w:marLeft w:val="0"/>
      <w:marRight w:val="0"/>
      <w:marTop w:val="0"/>
      <w:marBottom w:val="0"/>
      <w:divBdr>
        <w:top w:val="none" w:sz="0" w:space="0" w:color="auto"/>
        <w:left w:val="none" w:sz="0" w:space="0" w:color="auto"/>
        <w:bottom w:val="none" w:sz="0" w:space="0" w:color="auto"/>
        <w:right w:val="none" w:sz="0" w:space="0" w:color="auto"/>
      </w:divBdr>
    </w:div>
    <w:div w:id="507989932">
      <w:bodyDiv w:val="1"/>
      <w:marLeft w:val="0"/>
      <w:marRight w:val="0"/>
      <w:marTop w:val="0"/>
      <w:marBottom w:val="0"/>
      <w:divBdr>
        <w:top w:val="none" w:sz="0" w:space="0" w:color="auto"/>
        <w:left w:val="none" w:sz="0" w:space="0" w:color="auto"/>
        <w:bottom w:val="none" w:sz="0" w:space="0" w:color="auto"/>
        <w:right w:val="none" w:sz="0" w:space="0" w:color="auto"/>
      </w:divBdr>
    </w:div>
    <w:div w:id="510025838">
      <w:bodyDiv w:val="1"/>
      <w:marLeft w:val="0"/>
      <w:marRight w:val="0"/>
      <w:marTop w:val="0"/>
      <w:marBottom w:val="0"/>
      <w:divBdr>
        <w:top w:val="none" w:sz="0" w:space="0" w:color="auto"/>
        <w:left w:val="none" w:sz="0" w:space="0" w:color="auto"/>
        <w:bottom w:val="none" w:sz="0" w:space="0" w:color="auto"/>
        <w:right w:val="none" w:sz="0" w:space="0" w:color="auto"/>
      </w:divBdr>
    </w:div>
    <w:div w:id="517737497">
      <w:bodyDiv w:val="1"/>
      <w:marLeft w:val="0"/>
      <w:marRight w:val="0"/>
      <w:marTop w:val="0"/>
      <w:marBottom w:val="0"/>
      <w:divBdr>
        <w:top w:val="none" w:sz="0" w:space="0" w:color="auto"/>
        <w:left w:val="none" w:sz="0" w:space="0" w:color="auto"/>
        <w:bottom w:val="none" w:sz="0" w:space="0" w:color="auto"/>
        <w:right w:val="none" w:sz="0" w:space="0" w:color="auto"/>
      </w:divBdr>
    </w:div>
    <w:div w:id="578488618">
      <w:bodyDiv w:val="1"/>
      <w:marLeft w:val="0"/>
      <w:marRight w:val="0"/>
      <w:marTop w:val="0"/>
      <w:marBottom w:val="0"/>
      <w:divBdr>
        <w:top w:val="none" w:sz="0" w:space="0" w:color="auto"/>
        <w:left w:val="none" w:sz="0" w:space="0" w:color="auto"/>
        <w:bottom w:val="none" w:sz="0" w:space="0" w:color="auto"/>
        <w:right w:val="none" w:sz="0" w:space="0" w:color="auto"/>
      </w:divBdr>
    </w:div>
    <w:div w:id="579948742">
      <w:bodyDiv w:val="1"/>
      <w:marLeft w:val="0"/>
      <w:marRight w:val="0"/>
      <w:marTop w:val="0"/>
      <w:marBottom w:val="0"/>
      <w:divBdr>
        <w:top w:val="none" w:sz="0" w:space="0" w:color="auto"/>
        <w:left w:val="none" w:sz="0" w:space="0" w:color="auto"/>
        <w:bottom w:val="none" w:sz="0" w:space="0" w:color="auto"/>
        <w:right w:val="none" w:sz="0" w:space="0" w:color="auto"/>
      </w:divBdr>
    </w:div>
    <w:div w:id="587812422">
      <w:bodyDiv w:val="1"/>
      <w:marLeft w:val="0"/>
      <w:marRight w:val="0"/>
      <w:marTop w:val="0"/>
      <w:marBottom w:val="0"/>
      <w:divBdr>
        <w:top w:val="none" w:sz="0" w:space="0" w:color="auto"/>
        <w:left w:val="none" w:sz="0" w:space="0" w:color="auto"/>
        <w:bottom w:val="none" w:sz="0" w:space="0" w:color="auto"/>
        <w:right w:val="none" w:sz="0" w:space="0" w:color="auto"/>
      </w:divBdr>
    </w:div>
    <w:div w:id="595946598">
      <w:bodyDiv w:val="1"/>
      <w:marLeft w:val="0"/>
      <w:marRight w:val="0"/>
      <w:marTop w:val="0"/>
      <w:marBottom w:val="0"/>
      <w:divBdr>
        <w:top w:val="none" w:sz="0" w:space="0" w:color="auto"/>
        <w:left w:val="none" w:sz="0" w:space="0" w:color="auto"/>
        <w:bottom w:val="none" w:sz="0" w:space="0" w:color="auto"/>
        <w:right w:val="none" w:sz="0" w:space="0" w:color="auto"/>
      </w:divBdr>
    </w:div>
    <w:div w:id="607856471">
      <w:bodyDiv w:val="1"/>
      <w:marLeft w:val="0"/>
      <w:marRight w:val="0"/>
      <w:marTop w:val="0"/>
      <w:marBottom w:val="0"/>
      <w:divBdr>
        <w:top w:val="none" w:sz="0" w:space="0" w:color="auto"/>
        <w:left w:val="none" w:sz="0" w:space="0" w:color="auto"/>
        <w:bottom w:val="none" w:sz="0" w:space="0" w:color="auto"/>
        <w:right w:val="none" w:sz="0" w:space="0" w:color="auto"/>
      </w:divBdr>
    </w:div>
    <w:div w:id="652225459">
      <w:bodyDiv w:val="1"/>
      <w:marLeft w:val="0"/>
      <w:marRight w:val="0"/>
      <w:marTop w:val="0"/>
      <w:marBottom w:val="0"/>
      <w:divBdr>
        <w:top w:val="none" w:sz="0" w:space="0" w:color="auto"/>
        <w:left w:val="none" w:sz="0" w:space="0" w:color="auto"/>
        <w:bottom w:val="none" w:sz="0" w:space="0" w:color="auto"/>
        <w:right w:val="none" w:sz="0" w:space="0" w:color="auto"/>
      </w:divBdr>
    </w:div>
    <w:div w:id="674038649">
      <w:bodyDiv w:val="1"/>
      <w:marLeft w:val="0"/>
      <w:marRight w:val="0"/>
      <w:marTop w:val="0"/>
      <w:marBottom w:val="0"/>
      <w:divBdr>
        <w:top w:val="none" w:sz="0" w:space="0" w:color="auto"/>
        <w:left w:val="none" w:sz="0" w:space="0" w:color="auto"/>
        <w:bottom w:val="none" w:sz="0" w:space="0" w:color="auto"/>
        <w:right w:val="none" w:sz="0" w:space="0" w:color="auto"/>
      </w:divBdr>
    </w:div>
    <w:div w:id="700132455">
      <w:bodyDiv w:val="1"/>
      <w:marLeft w:val="0"/>
      <w:marRight w:val="0"/>
      <w:marTop w:val="0"/>
      <w:marBottom w:val="0"/>
      <w:divBdr>
        <w:top w:val="none" w:sz="0" w:space="0" w:color="auto"/>
        <w:left w:val="none" w:sz="0" w:space="0" w:color="auto"/>
        <w:bottom w:val="none" w:sz="0" w:space="0" w:color="auto"/>
        <w:right w:val="none" w:sz="0" w:space="0" w:color="auto"/>
      </w:divBdr>
    </w:div>
    <w:div w:id="707880878">
      <w:bodyDiv w:val="1"/>
      <w:marLeft w:val="0"/>
      <w:marRight w:val="0"/>
      <w:marTop w:val="0"/>
      <w:marBottom w:val="0"/>
      <w:divBdr>
        <w:top w:val="none" w:sz="0" w:space="0" w:color="auto"/>
        <w:left w:val="none" w:sz="0" w:space="0" w:color="auto"/>
        <w:bottom w:val="none" w:sz="0" w:space="0" w:color="auto"/>
        <w:right w:val="none" w:sz="0" w:space="0" w:color="auto"/>
      </w:divBdr>
    </w:div>
    <w:div w:id="746001695">
      <w:bodyDiv w:val="1"/>
      <w:marLeft w:val="0"/>
      <w:marRight w:val="0"/>
      <w:marTop w:val="0"/>
      <w:marBottom w:val="0"/>
      <w:divBdr>
        <w:top w:val="none" w:sz="0" w:space="0" w:color="auto"/>
        <w:left w:val="none" w:sz="0" w:space="0" w:color="auto"/>
        <w:bottom w:val="none" w:sz="0" w:space="0" w:color="auto"/>
        <w:right w:val="none" w:sz="0" w:space="0" w:color="auto"/>
      </w:divBdr>
    </w:div>
    <w:div w:id="746995810">
      <w:bodyDiv w:val="1"/>
      <w:marLeft w:val="0"/>
      <w:marRight w:val="0"/>
      <w:marTop w:val="0"/>
      <w:marBottom w:val="0"/>
      <w:divBdr>
        <w:top w:val="none" w:sz="0" w:space="0" w:color="auto"/>
        <w:left w:val="none" w:sz="0" w:space="0" w:color="auto"/>
        <w:bottom w:val="none" w:sz="0" w:space="0" w:color="auto"/>
        <w:right w:val="none" w:sz="0" w:space="0" w:color="auto"/>
      </w:divBdr>
    </w:div>
    <w:div w:id="753287060">
      <w:bodyDiv w:val="1"/>
      <w:marLeft w:val="0"/>
      <w:marRight w:val="0"/>
      <w:marTop w:val="0"/>
      <w:marBottom w:val="0"/>
      <w:divBdr>
        <w:top w:val="none" w:sz="0" w:space="0" w:color="auto"/>
        <w:left w:val="none" w:sz="0" w:space="0" w:color="auto"/>
        <w:bottom w:val="none" w:sz="0" w:space="0" w:color="auto"/>
        <w:right w:val="none" w:sz="0" w:space="0" w:color="auto"/>
      </w:divBdr>
    </w:div>
    <w:div w:id="755907401">
      <w:bodyDiv w:val="1"/>
      <w:marLeft w:val="0"/>
      <w:marRight w:val="0"/>
      <w:marTop w:val="0"/>
      <w:marBottom w:val="0"/>
      <w:divBdr>
        <w:top w:val="none" w:sz="0" w:space="0" w:color="auto"/>
        <w:left w:val="none" w:sz="0" w:space="0" w:color="auto"/>
        <w:bottom w:val="none" w:sz="0" w:space="0" w:color="auto"/>
        <w:right w:val="none" w:sz="0" w:space="0" w:color="auto"/>
      </w:divBdr>
    </w:div>
    <w:div w:id="766653659">
      <w:bodyDiv w:val="1"/>
      <w:marLeft w:val="0"/>
      <w:marRight w:val="0"/>
      <w:marTop w:val="0"/>
      <w:marBottom w:val="0"/>
      <w:divBdr>
        <w:top w:val="none" w:sz="0" w:space="0" w:color="auto"/>
        <w:left w:val="none" w:sz="0" w:space="0" w:color="auto"/>
        <w:bottom w:val="none" w:sz="0" w:space="0" w:color="auto"/>
        <w:right w:val="none" w:sz="0" w:space="0" w:color="auto"/>
      </w:divBdr>
    </w:div>
    <w:div w:id="768618810">
      <w:bodyDiv w:val="1"/>
      <w:marLeft w:val="0"/>
      <w:marRight w:val="0"/>
      <w:marTop w:val="0"/>
      <w:marBottom w:val="0"/>
      <w:divBdr>
        <w:top w:val="none" w:sz="0" w:space="0" w:color="auto"/>
        <w:left w:val="none" w:sz="0" w:space="0" w:color="auto"/>
        <w:bottom w:val="none" w:sz="0" w:space="0" w:color="auto"/>
        <w:right w:val="none" w:sz="0" w:space="0" w:color="auto"/>
      </w:divBdr>
    </w:div>
    <w:div w:id="771441624">
      <w:bodyDiv w:val="1"/>
      <w:marLeft w:val="0"/>
      <w:marRight w:val="0"/>
      <w:marTop w:val="0"/>
      <w:marBottom w:val="0"/>
      <w:divBdr>
        <w:top w:val="none" w:sz="0" w:space="0" w:color="auto"/>
        <w:left w:val="none" w:sz="0" w:space="0" w:color="auto"/>
        <w:bottom w:val="none" w:sz="0" w:space="0" w:color="auto"/>
        <w:right w:val="none" w:sz="0" w:space="0" w:color="auto"/>
      </w:divBdr>
    </w:div>
    <w:div w:id="787119663">
      <w:bodyDiv w:val="1"/>
      <w:marLeft w:val="0"/>
      <w:marRight w:val="0"/>
      <w:marTop w:val="0"/>
      <w:marBottom w:val="0"/>
      <w:divBdr>
        <w:top w:val="none" w:sz="0" w:space="0" w:color="auto"/>
        <w:left w:val="none" w:sz="0" w:space="0" w:color="auto"/>
        <w:bottom w:val="none" w:sz="0" w:space="0" w:color="auto"/>
        <w:right w:val="none" w:sz="0" w:space="0" w:color="auto"/>
      </w:divBdr>
    </w:div>
    <w:div w:id="787507472">
      <w:bodyDiv w:val="1"/>
      <w:marLeft w:val="0"/>
      <w:marRight w:val="0"/>
      <w:marTop w:val="0"/>
      <w:marBottom w:val="0"/>
      <w:divBdr>
        <w:top w:val="none" w:sz="0" w:space="0" w:color="auto"/>
        <w:left w:val="none" w:sz="0" w:space="0" w:color="auto"/>
        <w:bottom w:val="none" w:sz="0" w:space="0" w:color="auto"/>
        <w:right w:val="none" w:sz="0" w:space="0" w:color="auto"/>
      </w:divBdr>
    </w:div>
    <w:div w:id="793063114">
      <w:bodyDiv w:val="1"/>
      <w:marLeft w:val="0"/>
      <w:marRight w:val="0"/>
      <w:marTop w:val="0"/>
      <w:marBottom w:val="0"/>
      <w:divBdr>
        <w:top w:val="none" w:sz="0" w:space="0" w:color="auto"/>
        <w:left w:val="none" w:sz="0" w:space="0" w:color="auto"/>
        <w:bottom w:val="none" w:sz="0" w:space="0" w:color="auto"/>
        <w:right w:val="none" w:sz="0" w:space="0" w:color="auto"/>
      </w:divBdr>
    </w:div>
    <w:div w:id="817309064">
      <w:bodyDiv w:val="1"/>
      <w:marLeft w:val="0"/>
      <w:marRight w:val="0"/>
      <w:marTop w:val="0"/>
      <w:marBottom w:val="0"/>
      <w:divBdr>
        <w:top w:val="none" w:sz="0" w:space="0" w:color="auto"/>
        <w:left w:val="none" w:sz="0" w:space="0" w:color="auto"/>
        <w:bottom w:val="none" w:sz="0" w:space="0" w:color="auto"/>
        <w:right w:val="none" w:sz="0" w:space="0" w:color="auto"/>
      </w:divBdr>
    </w:div>
    <w:div w:id="821386379">
      <w:bodyDiv w:val="1"/>
      <w:marLeft w:val="0"/>
      <w:marRight w:val="0"/>
      <w:marTop w:val="0"/>
      <w:marBottom w:val="0"/>
      <w:divBdr>
        <w:top w:val="none" w:sz="0" w:space="0" w:color="auto"/>
        <w:left w:val="none" w:sz="0" w:space="0" w:color="auto"/>
        <w:bottom w:val="none" w:sz="0" w:space="0" w:color="auto"/>
        <w:right w:val="none" w:sz="0" w:space="0" w:color="auto"/>
      </w:divBdr>
    </w:div>
    <w:div w:id="824249006">
      <w:bodyDiv w:val="1"/>
      <w:marLeft w:val="0"/>
      <w:marRight w:val="0"/>
      <w:marTop w:val="0"/>
      <w:marBottom w:val="0"/>
      <w:divBdr>
        <w:top w:val="none" w:sz="0" w:space="0" w:color="auto"/>
        <w:left w:val="none" w:sz="0" w:space="0" w:color="auto"/>
        <w:bottom w:val="none" w:sz="0" w:space="0" w:color="auto"/>
        <w:right w:val="none" w:sz="0" w:space="0" w:color="auto"/>
      </w:divBdr>
    </w:div>
    <w:div w:id="829096859">
      <w:bodyDiv w:val="1"/>
      <w:marLeft w:val="0"/>
      <w:marRight w:val="0"/>
      <w:marTop w:val="0"/>
      <w:marBottom w:val="0"/>
      <w:divBdr>
        <w:top w:val="none" w:sz="0" w:space="0" w:color="auto"/>
        <w:left w:val="none" w:sz="0" w:space="0" w:color="auto"/>
        <w:bottom w:val="none" w:sz="0" w:space="0" w:color="auto"/>
        <w:right w:val="none" w:sz="0" w:space="0" w:color="auto"/>
      </w:divBdr>
    </w:div>
    <w:div w:id="837816139">
      <w:bodyDiv w:val="1"/>
      <w:marLeft w:val="0"/>
      <w:marRight w:val="0"/>
      <w:marTop w:val="0"/>
      <w:marBottom w:val="0"/>
      <w:divBdr>
        <w:top w:val="none" w:sz="0" w:space="0" w:color="auto"/>
        <w:left w:val="none" w:sz="0" w:space="0" w:color="auto"/>
        <w:bottom w:val="none" w:sz="0" w:space="0" w:color="auto"/>
        <w:right w:val="none" w:sz="0" w:space="0" w:color="auto"/>
      </w:divBdr>
    </w:div>
    <w:div w:id="889535240">
      <w:bodyDiv w:val="1"/>
      <w:marLeft w:val="0"/>
      <w:marRight w:val="0"/>
      <w:marTop w:val="0"/>
      <w:marBottom w:val="0"/>
      <w:divBdr>
        <w:top w:val="none" w:sz="0" w:space="0" w:color="auto"/>
        <w:left w:val="none" w:sz="0" w:space="0" w:color="auto"/>
        <w:bottom w:val="none" w:sz="0" w:space="0" w:color="auto"/>
        <w:right w:val="none" w:sz="0" w:space="0" w:color="auto"/>
      </w:divBdr>
    </w:div>
    <w:div w:id="900485034">
      <w:bodyDiv w:val="1"/>
      <w:marLeft w:val="0"/>
      <w:marRight w:val="0"/>
      <w:marTop w:val="0"/>
      <w:marBottom w:val="0"/>
      <w:divBdr>
        <w:top w:val="none" w:sz="0" w:space="0" w:color="auto"/>
        <w:left w:val="none" w:sz="0" w:space="0" w:color="auto"/>
        <w:bottom w:val="none" w:sz="0" w:space="0" w:color="auto"/>
        <w:right w:val="none" w:sz="0" w:space="0" w:color="auto"/>
      </w:divBdr>
    </w:div>
    <w:div w:id="916283814">
      <w:bodyDiv w:val="1"/>
      <w:marLeft w:val="0"/>
      <w:marRight w:val="0"/>
      <w:marTop w:val="0"/>
      <w:marBottom w:val="0"/>
      <w:divBdr>
        <w:top w:val="none" w:sz="0" w:space="0" w:color="auto"/>
        <w:left w:val="none" w:sz="0" w:space="0" w:color="auto"/>
        <w:bottom w:val="none" w:sz="0" w:space="0" w:color="auto"/>
        <w:right w:val="none" w:sz="0" w:space="0" w:color="auto"/>
      </w:divBdr>
    </w:div>
    <w:div w:id="919169918">
      <w:bodyDiv w:val="1"/>
      <w:marLeft w:val="0"/>
      <w:marRight w:val="0"/>
      <w:marTop w:val="0"/>
      <w:marBottom w:val="0"/>
      <w:divBdr>
        <w:top w:val="none" w:sz="0" w:space="0" w:color="auto"/>
        <w:left w:val="none" w:sz="0" w:space="0" w:color="auto"/>
        <w:bottom w:val="none" w:sz="0" w:space="0" w:color="auto"/>
        <w:right w:val="none" w:sz="0" w:space="0" w:color="auto"/>
      </w:divBdr>
    </w:div>
    <w:div w:id="931353108">
      <w:bodyDiv w:val="1"/>
      <w:marLeft w:val="0"/>
      <w:marRight w:val="0"/>
      <w:marTop w:val="0"/>
      <w:marBottom w:val="0"/>
      <w:divBdr>
        <w:top w:val="none" w:sz="0" w:space="0" w:color="auto"/>
        <w:left w:val="none" w:sz="0" w:space="0" w:color="auto"/>
        <w:bottom w:val="none" w:sz="0" w:space="0" w:color="auto"/>
        <w:right w:val="none" w:sz="0" w:space="0" w:color="auto"/>
      </w:divBdr>
    </w:div>
    <w:div w:id="946890292">
      <w:bodyDiv w:val="1"/>
      <w:marLeft w:val="0"/>
      <w:marRight w:val="0"/>
      <w:marTop w:val="0"/>
      <w:marBottom w:val="0"/>
      <w:divBdr>
        <w:top w:val="none" w:sz="0" w:space="0" w:color="auto"/>
        <w:left w:val="none" w:sz="0" w:space="0" w:color="auto"/>
        <w:bottom w:val="none" w:sz="0" w:space="0" w:color="auto"/>
        <w:right w:val="none" w:sz="0" w:space="0" w:color="auto"/>
      </w:divBdr>
    </w:div>
    <w:div w:id="967392053">
      <w:bodyDiv w:val="1"/>
      <w:marLeft w:val="0"/>
      <w:marRight w:val="0"/>
      <w:marTop w:val="0"/>
      <w:marBottom w:val="0"/>
      <w:divBdr>
        <w:top w:val="none" w:sz="0" w:space="0" w:color="auto"/>
        <w:left w:val="none" w:sz="0" w:space="0" w:color="auto"/>
        <w:bottom w:val="none" w:sz="0" w:space="0" w:color="auto"/>
        <w:right w:val="none" w:sz="0" w:space="0" w:color="auto"/>
      </w:divBdr>
    </w:div>
    <w:div w:id="979697738">
      <w:bodyDiv w:val="1"/>
      <w:marLeft w:val="0"/>
      <w:marRight w:val="0"/>
      <w:marTop w:val="0"/>
      <w:marBottom w:val="0"/>
      <w:divBdr>
        <w:top w:val="none" w:sz="0" w:space="0" w:color="auto"/>
        <w:left w:val="none" w:sz="0" w:space="0" w:color="auto"/>
        <w:bottom w:val="none" w:sz="0" w:space="0" w:color="auto"/>
        <w:right w:val="none" w:sz="0" w:space="0" w:color="auto"/>
      </w:divBdr>
    </w:div>
    <w:div w:id="994799962">
      <w:bodyDiv w:val="1"/>
      <w:marLeft w:val="0"/>
      <w:marRight w:val="0"/>
      <w:marTop w:val="0"/>
      <w:marBottom w:val="0"/>
      <w:divBdr>
        <w:top w:val="none" w:sz="0" w:space="0" w:color="auto"/>
        <w:left w:val="none" w:sz="0" w:space="0" w:color="auto"/>
        <w:bottom w:val="none" w:sz="0" w:space="0" w:color="auto"/>
        <w:right w:val="none" w:sz="0" w:space="0" w:color="auto"/>
      </w:divBdr>
    </w:div>
    <w:div w:id="996572736">
      <w:bodyDiv w:val="1"/>
      <w:marLeft w:val="0"/>
      <w:marRight w:val="0"/>
      <w:marTop w:val="0"/>
      <w:marBottom w:val="0"/>
      <w:divBdr>
        <w:top w:val="none" w:sz="0" w:space="0" w:color="auto"/>
        <w:left w:val="none" w:sz="0" w:space="0" w:color="auto"/>
        <w:bottom w:val="none" w:sz="0" w:space="0" w:color="auto"/>
        <w:right w:val="none" w:sz="0" w:space="0" w:color="auto"/>
      </w:divBdr>
    </w:div>
    <w:div w:id="1000233386">
      <w:bodyDiv w:val="1"/>
      <w:marLeft w:val="0"/>
      <w:marRight w:val="0"/>
      <w:marTop w:val="0"/>
      <w:marBottom w:val="0"/>
      <w:divBdr>
        <w:top w:val="none" w:sz="0" w:space="0" w:color="auto"/>
        <w:left w:val="none" w:sz="0" w:space="0" w:color="auto"/>
        <w:bottom w:val="none" w:sz="0" w:space="0" w:color="auto"/>
        <w:right w:val="none" w:sz="0" w:space="0" w:color="auto"/>
      </w:divBdr>
    </w:div>
    <w:div w:id="1022974433">
      <w:bodyDiv w:val="1"/>
      <w:marLeft w:val="0"/>
      <w:marRight w:val="0"/>
      <w:marTop w:val="0"/>
      <w:marBottom w:val="0"/>
      <w:divBdr>
        <w:top w:val="none" w:sz="0" w:space="0" w:color="auto"/>
        <w:left w:val="none" w:sz="0" w:space="0" w:color="auto"/>
        <w:bottom w:val="none" w:sz="0" w:space="0" w:color="auto"/>
        <w:right w:val="none" w:sz="0" w:space="0" w:color="auto"/>
      </w:divBdr>
    </w:div>
    <w:div w:id="1045518479">
      <w:bodyDiv w:val="1"/>
      <w:marLeft w:val="0"/>
      <w:marRight w:val="0"/>
      <w:marTop w:val="0"/>
      <w:marBottom w:val="0"/>
      <w:divBdr>
        <w:top w:val="none" w:sz="0" w:space="0" w:color="auto"/>
        <w:left w:val="none" w:sz="0" w:space="0" w:color="auto"/>
        <w:bottom w:val="none" w:sz="0" w:space="0" w:color="auto"/>
        <w:right w:val="none" w:sz="0" w:space="0" w:color="auto"/>
      </w:divBdr>
    </w:div>
    <w:div w:id="1056661989">
      <w:bodyDiv w:val="1"/>
      <w:marLeft w:val="0"/>
      <w:marRight w:val="0"/>
      <w:marTop w:val="0"/>
      <w:marBottom w:val="0"/>
      <w:divBdr>
        <w:top w:val="none" w:sz="0" w:space="0" w:color="auto"/>
        <w:left w:val="none" w:sz="0" w:space="0" w:color="auto"/>
        <w:bottom w:val="none" w:sz="0" w:space="0" w:color="auto"/>
        <w:right w:val="none" w:sz="0" w:space="0" w:color="auto"/>
      </w:divBdr>
    </w:div>
    <w:div w:id="1060251134">
      <w:bodyDiv w:val="1"/>
      <w:marLeft w:val="0"/>
      <w:marRight w:val="0"/>
      <w:marTop w:val="0"/>
      <w:marBottom w:val="0"/>
      <w:divBdr>
        <w:top w:val="none" w:sz="0" w:space="0" w:color="auto"/>
        <w:left w:val="none" w:sz="0" w:space="0" w:color="auto"/>
        <w:bottom w:val="none" w:sz="0" w:space="0" w:color="auto"/>
        <w:right w:val="none" w:sz="0" w:space="0" w:color="auto"/>
      </w:divBdr>
    </w:div>
    <w:div w:id="1066030160">
      <w:bodyDiv w:val="1"/>
      <w:marLeft w:val="0"/>
      <w:marRight w:val="0"/>
      <w:marTop w:val="0"/>
      <w:marBottom w:val="0"/>
      <w:divBdr>
        <w:top w:val="none" w:sz="0" w:space="0" w:color="auto"/>
        <w:left w:val="none" w:sz="0" w:space="0" w:color="auto"/>
        <w:bottom w:val="none" w:sz="0" w:space="0" w:color="auto"/>
        <w:right w:val="none" w:sz="0" w:space="0" w:color="auto"/>
      </w:divBdr>
    </w:div>
    <w:div w:id="1071662763">
      <w:bodyDiv w:val="1"/>
      <w:marLeft w:val="0"/>
      <w:marRight w:val="0"/>
      <w:marTop w:val="0"/>
      <w:marBottom w:val="0"/>
      <w:divBdr>
        <w:top w:val="none" w:sz="0" w:space="0" w:color="auto"/>
        <w:left w:val="none" w:sz="0" w:space="0" w:color="auto"/>
        <w:bottom w:val="none" w:sz="0" w:space="0" w:color="auto"/>
        <w:right w:val="none" w:sz="0" w:space="0" w:color="auto"/>
      </w:divBdr>
    </w:div>
    <w:div w:id="1099644422">
      <w:bodyDiv w:val="1"/>
      <w:marLeft w:val="0"/>
      <w:marRight w:val="0"/>
      <w:marTop w:val="0"/>
      <w:marBottom w:val="0"/>
      <w:divBdr>
        <w:top w:val="none" w:sz="0" w:space="0" w:color="auto"/>
        <w:left w:val="none" w:sz="0" w:space="0" w:color="auto"/>
        <w:bottom w:val="none" w:sz="0" w:space="0" w:color="auto"/>
        <w:right w:val="none" w:sz="0" w:space="0" w:color="auto"/>
      </w:divBdr>
    </w:div>
    <w:div w:id="1106928521">
      <w:bodyDiv w:val="1"/>
      <w:marLeft w:val="0"/>
      <w:marRight w:val="0"/>
      <w:marTop w:val="0"/>
      <w:marBottom w:val="0"/>
      <w:divBdr>
        <w:top w:val="none" w:sz="0" w:space="0" w:color="auto"/>
        <w:left w:val="none" w:sz="0" w:space="0" w:color="auto"/>
        <w:bottom w:val="none" w:sz="0" w:space="0" w:color="auto"/>
        <w:right w:val="none" w:sz="0" w:space="0" w:color="auto"/>
      </w:divBdr>
    </w:div>
    <w:div w:id="1122111260">
      <w:bodyDiv w:val="1"/>
      <w:marLeft w:val="0"/>
      <w:marRight w:val="0"/>
      <w:marTop w:val="0"/>
      <w:marBottom w:val="0"/>
      <w:divBdr>
        <w:top w:val="none" w:sz="0" w:space="0" w:color="auto"/>
        <w:left w:val="none" w:sz="0" w:space="0" w:color="auto"/>
        <w:bottom w:val="none" w:sz="0" w:space="0" w:color="auto"/>
        <w:right w:val="none" w:sz="0" w:space="0" w:color="auto"/>
      </w:divBdr>
    </w:div>
    <w:div w:id="1134372948">
      <w:bodyDiv w:val="1"/>
      <w:marLeft w:val="0"/>
      <w:marRight w:val="0"/>
      <w:marTop w:val="0"/>
      <w:marBottom w:val="0"/>
      <w:divBdr>
        <w:top w:val="none" w:sz="0" w:space="0" w:color="auto"/>
        <w:left w:val="none" w:sz="0" w:space="0" w:color="auto"/>
        <w:bottom w:val="none" w:sz="0" w:space="0" w:color="auto"/>
        <w:right w:val="none" w:sz="0" w:space="0" w:color="auto"/>
      </w:divBdr>
    </w:div>
    <w:div w:id="1135103656">
      <w:bodyDiv w:val="1"/>
      <w:marLeft w:val="0"/>
      <w:marRight w:val="0"/>
      <w:marTop w:val="0"/>
      <w:marBottom w:val="0"/>
      <w:divBdr>
        <w:top w:val="none" w:sz="0" w:space="0" w:color="auto"/>
        <w:left w:val="none" w:sz="0" w:space="0" w:color="auto"/>
        <w:bottom w:val="none" w:sz="0" w:space="0" w:color="auto"/>
        <w:right w:val="none" w:sz="0" w:space="0" w:color="auto"/>
      </w:divBdr>
    </w:div>
    <w:div w:id="1146824059">
      <w:bodyDiv w:val="1"/>
      <w:marLeft w:val="0"/>
      <w:marRight w:val="0"/>
      <w:marTop w:val="0"/>
      <w:marBottom w:val="0"/>
      <w:divBdr>
        <w:top w:val="none" w:sz="0" w:space="0" w:color="auto"/>
        <w:left w:val="none" w:sz="0" w:space="0" w:color="auto"/>
        <w:bottom w:val="none" w:sz="0" w:space="0" w:color="auto"/>
        <w:right w:val="none" w:sz="0" w:space="0" w:color="auto"/>
      </w:divBdr>
    </w:div>
    <w:div w:id="1158694701">
      <w:bodyDiv w:val="1"/>
      <w:marLeft w:val="0"/>
      <w:marRight w:val="0"/>
      <w:marTop w:val="0"/>
      <w:marBottom w:val="0"/>
      <w:divBdr>
        <w:top w:val="none" w:sz="0" w:space="0" w:color="auto"/>
        <w:left w:val="none" w:sz="0" w:space="0" w:color="auto"/>
        <w:bottom w:val="none" w:sz="0" w:space="0" w:color="auto"/>
        <w:right w:val="none" w:sz="0" w:space="0" w:color="auto"/>
      </w:divBdr>
    </w:div>
    <w:div w:id="1161238338">
      <w:bodyDiv w:val="1"/>
      <w:marLeft w:val="0"/>
      <w:marRight w:val="0"/>
      <w:marTop w:val="0"/>
      <w:marBottom w:val="0"/>
      <w:divBdr>
        <w:top w:val="none" w:sz="0" w:space="0" w:color="auto"/>
        <w:left w:val="none" w:sz="0" w:space="0" w:color="auto"/>
        <w:bottom w:val="none" w:sz="0" w:space="0" w:color="auto"/>
        <w:right w:val="none" w:sz="0" w:space="0" w:color="auto"/>
      </w:divBdr>
    </w:div>
    <w:div w:id="1162549921">
      <w:bodyDiv w:val="1"/>
      <w:marLeft w:val="0"/>
      <w:marRight w:val="0"/>
      <w:marTop w:val="0"/>
      <w:marBottom w:val="0"/>
      <w:divBdr>
        <w:top w:val="none" w:sz="0" w:space="0" w:color="auto"/>
        <w:left w:val="none" w:sz="0" w:space="0" w:color="auto"/>
        <w:bottom w:val="none" w:sz="0" w:space="0" w:color="auto"/>
        <w:right w:val="none" w:sz="0" w:space="0" w:color="auto"/>
      </w:divBdr>
    </w:div>
    <w:div w:id="1185484694">
      <w:bodyDiv w:val="1"/>
      <w:marLeft w:val="0"/>
      <w:marRight w:val="0"/>
      <w:marTop w:val="0"/>
      <w:marBottom w:val="0"/>
      <w:divBdr>
        <w:top w:val="none" w:sz="0" w:space="0" w:color="auto"/>
        <w:left w:val="none" w:sz="0" w:space="0" w:color="auto"/>
        <w:bottom w:val="none" w:sz="0" w:space="0" w:color="auto"/>
        <w:right w:val="none" w:sz="0" w:space="0" w:color="auto"/>
      </w:divBdr>
    </w:div>
    <w:div w:id="1191380713">
      <w:bodyDiv w:val="1"/>
      <w:marLeft w:val="0"/>
      <w:marRight w:val="0"/>
      <w:marTop w:val="0"/>
      <w:marBottom w:val="0"/>
      <w:divBdr>
        <w:top w:val="none" w:sz="0" w:space="0" w:color="auto"/>
        <w:left w:val="none" w:sz="0" w:space="0" w:color="auto"/>
        <w:bottom w:val="none" w:sz="0" w:space="0" w:color="auto"/>
        <w:right w:val="none" w:sz="0" w:space="0" w:color="auto"/>
      </w:divBdr>
    </w:div>
    <w:div w:id="1194341252">
      <w:bodyDiv w:val="1"/>
      <w:marLeft w:val="0"/>
      <w:marRight w:val="0"/>
      <w:marTop w:val="0"/>
      <w:marBottom w:val="0"/>
      <w:divBdr>
        <w:top w:val="none" w:sz="0" w:space="0" w:color="auto"/>
        <w:left w:val="none" w:sz="0" w:space="0" w:color="auto"/>
        <w:bottom w:val="none" w:sz="0" w:space="0" w:color="auto"/>
        <w:right w:val="none" w:sz="0" w:space="0" w:color="auto"/>
      </w:divBdr>
    </w:div>
    <w:div w:id="1204292085">
      <w:bodyDiv w:val="1"/>
      <w:marLeft w:val="0"/>
      <w:marRight w:val="0"/>
      <w:marTop w:val="0"/>
      <w:marBottom w:val="0"/>
      <w:divBdr>
        <w:top w:val="none" w:sz="0" w:space="0" w:color="auto"/>
        <w:left w:val="none" w:sz="0" w:space="0" w:color="auto"/>
        <w:bottom w:val="none" w:sz="0" w:space="0" w:color="auto"/>
        <w:right w:val="none" w:sz="0" w:space="0" w:color="auto"/>
      </w:divBdr>
    </w:div>
    <w:div w:id="1215971334">
      <w:bodyDiv w:val="1"/>
      <w:marLeft w:val="0"/>
      <w:marRight w:val="0"/>
      <w:marTop w:val="0"/>
      <w:marBottom w:val="0"/>
      <w:divBdr>
        <w:top w:val="none" w:sz="0" w:space="0" w:color="auto"/>
        <w:left w:val="none" w:sz="0" w:space="0" w:color="auto"/>
        <w:bottom w:val="none" w:sz="0" w:space="0" w:color="auto"/>
        <w:right w:val="none" w:sz="0" w:space="0" w:color="auto"/>
      </w:divBdr>
    </w:div>
    <w:div w:id="1217085622">
      <w:bodyDiv w:val="1"/>
      <w:marLeft w:val="0"/>
      <w:marRight w:val="0"/>
      <w:marTop w:val="0"/>
      <w:marBottom w:val="0"/>
      <w:divBdr>
        <w:top w:val="none" w:sz="0" w:space="0" w:color="auto"/>
        <w:left w:val="none" w:sz="0" w:space="0" w:color="auto"/>
        <w:bottom w:val="none" w:sz="0" w:space="0" w:color="auto"/>
        <w:right w:val="none" w:sz="0" w:space="0" w:color="auto"/>
      </w:divBdr>
    </w:div>
    <w:div w:id="1217086123">
      <w:bodyDiv w:val="1"/>
      <w:marLeft w:val="0"/>
      <w:marRight w:val="0"/>
      <w:marTop w:val="0"/>
      <w:marBottom w:val="0"/>
      <w:divBdr>
        <w:top w:val="none" w:sz="0" w:space="0" w:color="auto"/>
        <w:left w:val="none" w:sz="0" w:space="0" w:color="auto"/>
        <w:bottom w:val="none" w:sz="0" w:space="0" w:color="auto"/>
        <w:right w:val="none" w:sz="0" w:space="0" w:color="auto"/>
      </w:divBdr>
    </w:div>
    <w:div w:id="1253003026">
      <w:bodyDiv w:val="1"/>
      <w:marLeft w:val="0"/>
      <w:marRight w:val="0"/>
      <w:marTop w:val="0"/>
      <w:marBottom w:val="0"/>
      <w:divBdr>
        <w:top w:val="none" w:sz="0" w:space="0" w:color="auto"/>
        <w:left w:val="none" w:sz="0" w:space="0" w:color="auto"/>
        <w:bottom w:val="none" w:sz="0" w:space="0" w:color="auto"/>
        <w:right w:val="none" w:sz="0" w:space="0" w:color="auto"/>
      </w:divBdr>
    </w:div>
    <w:div w:id="1271740676">
      <w:bodyDiv w:val="1"/>
      <w:marLeft w:val="0"/>
      <w:marRight w:val="0"/>
      <w:marTop w:val="0"/>
      <w:marBottom w:val="0"/>
      <w:divBdr>
        <w:top w:val="none" w:sz="0" w:space="0" w:color="auto"/>
        <w:left w:val="none" w:sz="0" w:space="0" w:color="auto"/>
        <w:bottom w:val="none" w:sz="0" w:space="0" w:color="auto"/>
        <w:right w:val="none" w:sz="0" w:space="0" w:color="auto"/>
      </w:divBdr>
    </w:div>
    <w:div w:id="1304197123">
      <w:bodyDiv w:val="1"/>
      <w:marLeft w:val="0"/>
      <w:marRight w:val="0"/>
      <w:marTop w:val="0"/>
      <w:marBottom w:val="0"/>
      <w:divBdr>
        <w:top w:val="none" w:sz="0" w:space="0" w:color="auto"/>
        <w:left w:val="none" w:sz="0" w:space="0" w:color="auto"/>
        <w:bottom w:val="none" w:sz="0" w:space="0" w:color="auto"/>
        <w:right w:val="none" w:sz="0" w:space="0" w:color="auto"/>
      </w:divBdr>
    </w:div>
    <w:div w:id="1311250612">
      <w:bodyDiv w:val="1"/>
      <w:marLeft w:val="0"/>
      <w:marRight w:val="0"/>
      <w:marTop w:val="0"/>
      <w:marBottom w:val="0"/>
      <w:divBdr>
        <w:top w:val="none" w:sz="0" w:space="0" w:color="auto"/>
        <w:left w:val="none" w:sz="0" w:space="0" w:color="auto"/>
        <w:bottom w:val="none" w:sz="0" w:space="0" w:color="auto"/>
        <w:right w:val="none" w:sz="0" w:space="0" w:color="auto"/>
      </w:divBdr>
    </w:div>
    <w:div w:id="1317343194">
      <w:bodyDiv w:val="1"/>
      <w:marLeft w:val="0"/>
      <w:marRight w:val="0"/>
      <w:marTop w:val="0"/>
      <w:marBottom w:val="0"/>
      <w:divBdr>
        <w:top w:val="none" w:sz="0" w:space="0" w:color="auto"/>
        <w:left w:val="none" w:sz="0" w:space="0" w:color="auto"/>
        <w:bottom w:val="none" w:sz="0" w:space="0" w:color="auto"/>
        <w:right w:val="none" w:sz="0" w:space="0" w:color="auto"/>
      </w:divBdr>
    </w:div>
    <w:div w:id="1379547547">
      <w:bodyDiv w:val="1"/>
      <w:marLeft w:val="0"/>
      <w:marRight w:val="0"/>
      <w:marTop w:val="0"/>
      <w:marBottom w:val="0"/>
      <w:divBdr>
        <w:top w:val="none" w:sz="0" w:space="0" w:color="auto"/>
        <w:left w:val="none" w:sz="0" w:space="0" w:color="auto"/>
        <w:bottom w:val="none" w:sz="0" w:space="0" w:color="auto"/>
        <w:right w:val="none" w:sz="0" w:space="0" w:color="auto"/>
      </w:divBdr>
    </w:div>
    <w:div w:id="1381785111">
      <w:bodyDiv w:val="1"/>
      <w:marLeft w:val="0"/>
      <w:marRight w:val="0"/>
      <w:marTop w:val="0"/>
      <w:marBottom w:val="0"/>
      <w:divBdr>
        <w:top w:val="none" w:sz="0" w:space="0" w:color="auto"/>
        <w:left w:val="none" w:sz="0" w:space="0" w:color="auto"/>
        <w:bottom w:val="none" w:sz="0" w:space="0" w:color="auto"/>
        <w:right w:val="none" w:sz="0" w:space="0" w:color="auto"/>
      </w:divBdr>
    </w:div>
    <w:div w:id="1388644811">
      <w:bodyDiv w:val="1"/>
      <w:marLeft w:val="0"/>
      <w:marRight w:val="0"/>
      <w:marTop w:val="0"/>
      <w:marBottom w:val="0"/>
      <w:divBdr>
        <w:top w:val="none" w:sz="0" w:space="0" w:color="auto"/>
        <w:left w:val="none" w:sz="0" w:space="0" w:color="auto"/>
        <w:bottom w:val="none" w:sz="0" w:space="0" w:color="auto"/>
        <w:right w:val="none" w:sz="0" w:space="0" w:color="auto"/>
      </w:divBdr>
    </w:div>
    <w:div w:id="1395397990">
      <w:bodyDiv w:val="1"/>
      <w:marLeft w:val="0"/>
      <w:marRight w:val="0"/>
      <w:marTop w:val="0"/>
      <w:marBottom w:val="0"/>
      <w:divBdr>
        <w:top w:val="none" w:sz="0" w:space="0" w:color="auto"/>
        <w:left w:val="none" w:sz="0" w:space="0" w:color="auto"/>
        <w:bottom w:val="none" w:sz="0" w:space="0" w:color="auto"/>
        <w:right w:val="none" w:sz="0" w:space="0" w:color="auto"/>
      </w:divBdr>
    </w:div>
    <w:div w:id="1399017039">
      <w:bodyDiv w:val="1"/>
      <w:marLeft w:val="0"/>
      <w:marRight w:val="0"/>
      <w:marTop w:val="0"/>
      <w:marBottom w:val="0"/>
      <w:divBdr>
        <w:top w:val="none" w:sz="0" w:space="0" w:color="auto"/>
        <w:left w:val="none" w:sz="0" w:space="0" w:color="auto"/>
        <w:bottom w:val="none" w:sz="0" w:space="0" w:color="auto"/>
        <w:right w:val="none" w:sz="0" w:space="0" w:color="auto"/>
      </w:divBdr>
    </w:div>
    <w:div w:id="1412505603">
      <w:bodyDiv w:val="1"/>
      <w:marLeft w:val="0"/>
      <w:marRight w:val="0"/>
      <w:marTop w:val="0"/>
      <w:marBottom w:val="0"/>
      <w:divBdr>
        <w:top w:val="none" w:sz="0" w:space="0" w:color="auto"/>
        <w:left w:val="none" w:sz="0" w:space="0" w:color="auto"/>
        <w:bottom w:val="none" w:sz="0" w:space="0" w:color="auto"/>
        <w:right w:val="none" w:sz="0" w:space="0" w:color="auto"/>
      </w:divBdr>
    </w:div>
    <w:div w:id="1454516198">
      <w:bodyDiv w:val="1"/>
      <w:marLeft w:val="0"/>
      <w:marRight w:val="0"/>
      <w:marTop w:val="0"/>
      <w:marBottom w:val="0"/>
      <w:divBdr>
        <w:top w:val="none" w:sz="0" w:space="0" w:color="auto"/>
        <w:left w:val="none" w:sz="0" w:space="0" w:color="auto"/>
        <w:bottom w:val="none" w:sz="0" w:space="0" w:color="auto"/>
        <w:right w:val="none" w:sz="0" w:space="0" w:color="auto"/>
      </w:divBdr>
    </w:div>
    <w:div w:id="1462336603">
      <w:bodyDiv w:val="1"/>
      <w:marLeft w:val="0"/>
      <w:marRight w:val="0"/>
      <w:marTop w:val="0"/>
      <w:marBottom w:val="0"/>
      <w:divBdr>
        <w:top w:val="none" w:sz="0" w:space="0" w:color="auto"/>
        <w:left w:val="none" w:sz="0" w:space="0" w:color="auto"/>
        <w:bottom w:val="none" w:sz="0" w:space="0" w:color="auto"/>
        <w:right w:val="none" w:sz="0" w:space="0" w:color="auto"/>
      </w:divBdr>
    </w:div>
    <w:div w:id="1476332754">
      <w:bodyDiv w:val="1"/>
      <w:marLeft w:val="0"/>
      <w:marRight w:val="0"/>
      <w:marTop w:val="0"/>
      <w:marBottom w:val="0"/>
      <w:divBdr>
        <w:top w:val="none" w:sz="0" w:space="0" w:color="auto"/>
        <w:left w:val="none" w:sz="0" w:space="0" w:color="auto"/>
        <w:bottom w:val="none" w:sz="0" w:space="0" w:color="auto"/>
        <w:right w:val="none" w:sz="0" w:space="0" w:color="auto"/>
      </w:divBdr>
    </w:div>
    <w:div w:id="1481382181">
      <w:bodyDiv w:val="1"/>
      <w:marLeft w:val="0"/>
      <w:marRight w:val="0"/>
      <w:marTop w:val="0"/>
      <w:marBottom w:val="0"/>
      <w:divBdr>
        <w:top w:val="none" w:sz="0" w:space="0" w:color="auto"/>
        <w:left w:val="none" w:sz="0" w:space="0" w:color="auto"/>
        <w:bottom w:val="none" w:sz="0" w:space="0" w:color="auto"/>
        <w:right w:val="none" w:sz="0" w:space="0" w:color="auto"/>
      </w:divBdr>
    </w:div>
    <w:div w:id="1487478185">
      <w:bodyDiv w:val="1"/>
      <w:marLeft w:val="0"/>
      <w:marRight w:val="0"/>
      <w:marTop w:val="0"/>
      <w:marBottom w:val="0"/>
      <w:divBdr>
        <w:top w:val="none" w:sz="0" w:space="0" w:color="auto"/>
        <w:left w:val="none" w:sz="0" w:space="0" w:color="auto"/>
        <w:bottom w:val="none" w:sz="0" w:space="0" w:color="auto"/>
        <w:right w:val="none" w:sz="0" w:space="0" w:color="auto"/>
      </w:divBdr>
    </w:div>
    <w:div w:id="1490319587">
      <w:bodyDiv w:val="1"/>
      <w:marLeft w:val="0"/>
      <w:marRight w:val="0"/>
      <w:marTop w:val="0"/>
      <w:marBottom w:val="0"/>
      <w:divBdr>
        <w:top w:val="none" w:sz="0" w:space="0" w:color="auto"/>
        <w:left w:val="none" w:sz="0" w:space="0" w:color="auto"/>
        <w:bottom w:val="none" w:sz="0" w:space="0" w:color="auto"/>
        <w:right w:val="none" w:sz="0" w:space="0" w:color="auto"/>
      </w:divBdr>
    </w:div>
    <w:div w:id="1507164151">
      <w:bodyDiv w:val="1"/>
      <w:marLeft w:val="0"/>
      <w:marRight w:val="0"/>
      <w:marTop w:val="0"/>
      <w:marBottom w:val="0"/>
      <w:divBdr>
        <w:top w:val="none" w:sz="0" w:space="0" w:color="auto"/>
        <w:left w:val="none" w:sz="0" w:space="0" w:color="auto"/>
        <w:bottom w:val="none" w:sz="0" w:space="0" w:color="auto"/>
        <w:right w:val="none" w:sz="0" w:space="0" w:color="auto"/>
      </w:divBdr>
    </w:div>
    <w:div w:id="1508640577">
      <w:bodyDiv w:val="1"/>
      <w:marLeft w:val="0"/>
      <w:marRight w:val="0"/>
      <w:marTop w:val="0"/>
      <w:marBottom w:val="0"/>
      <w:divBdr>
        <w:top w:val="none" w:sz="0" w:space="0" w:color="auto"/>
        <w:left w:val="none" w:sz="0" w:space="0" w:color="auto"/>
        <w:bottom w:val="none" w:sz="0" w:space="0" w:color="auto"/>
        <w:right w:val="none" w:sz="0" w:space="0" w:color="auto"/>
      </w:divBdr>
    </w:div>
    <w:div w:id="1515683487">
      <w:bodyDiv w:val="1"/>
      <w:marLeft w:val="0"/>
      <w:marRight w:val="0"/>
      <w:marTop w:val="0"/>
      <w:marBottom w:val="0"/>
      <w:divBdr>
        <w:top w:val="none" w:sz="0" w:space="0" w:color="auto"/>
        <w:left w:val="none" w:sz="0" w:space="0" w:color="auto"/>
        <w:bottom w:val="none" w:sz="0" w:space="0" w:color="auto"/>
        <w:right w:val="none" w:sz="0" w:space="0" w:color="auto"/>
      </w:divBdr>
    </w:div>
    <w:div w:id="1560169986">
      <w:bodyDiv w:val="1"/>
      <w:marLeft w:val="0"/>
      <w:marRight w:val="0"/>
      <w:marTop w:val="0"/>
      <w:marBottom w:val="0"/>
      <w:divBdr>
        <w:top w:val="none" w:sz="0" w:space="0" w:color="auto"/>
        <w:left w:val="none" w:sz="0" w:space="0" w:color="auto"/>
        <w:bottom w:val="none" w:sz="0" w:space="0" w:color="auto"/>
        <w:right w:val="none" w:sz="0" w:space="0" w:color="auto"/>
      </w:divBdr>
    </w:div>
    <w:div w:id="1560508965">
      <w:bodyDiv w:val="1"/>
      <w:marLeft w:val="0"/>
      <w:marRight w:val="0"/>
      <w:marTop w:val="0"/>
      <w:marBottom w:val="0"/>
      <w:divBdr>
        <w:top w:val="none" w:sz="0" w:space="0" w:color="auto"/>
        <w:left w:val="none" w:sz="0" w:space="0" w:color="auto"/>
        <w:bottom w:val="none" w:sz="0" w:space="0" w:color="auto"/>
        <w:right w:val="none" w:sz="0" w:space="0" w:color="auto"/>
      </w:divBdr>
    </w:div>
    <w:div w:id="1569029603">
      <w:bodyDiv w:val="1"/>
      <w:marLeft w:val="0"/>
      <w:marRight w:val="0"/>
      <w:marTop w:val="0"/>
      <w:marBottom w:val="0"/>
      <w:divBdr>
        <w:top w:val="none" w:sz="0" w:space="0" w:color="auto"/>
        <w:left w:val="none" w:sz="0" w:space="0" w:color="auto"/>
        <w:bottom w:val="none" w:sz="0" w:space="0" w:color="auto"/>
        <w:right w:val="none" w:sz="0" w:space="0" w:color="auto"/>
      </w:divBdr>
    </w:div>
    <w:div w:id="1572961937">
      <w:bodyDiv w:val="1"/>
      <w:marLeft w:val="0"/>
      <w:marRight w:val="0"/>
      <w:marTop w:val="0"/>
      <w:marBottom w:val="0"/>
      <w:divBdr>
        <w:top w:val="none" w:sz="0" w:space="0" w:color="auto"/>
        <w:left w:val="none" w:sz="0" w:space="0" w:color="auto"/>
        <w:bottom w:val="none" w:sz="0" w:space="0" w:color="auto"/>
        <w:right w:val="none" w:sz="0" w:space="0" w:color="auto"/>
      </w:divBdr>
    </w:div>
    <w:div w:id="1578249711">
      <w:bodyDiv w:val="1"/>
      <w:marLeft w:val="0"/>
      <w:marRight w:val="0"/>
      <w:marTop w:val="0"/>
      <w:marBottom w:val="0"/>
      <w:divBdr>
        <w:top w:val="none" w:sz="0" w:space="0" w:color="auto"/>
        <w:left w:val="none" w:sz="0" w:space="0" w:color="auto"/>
        <w:bottom w:val="none" w:sz="0" w:space="0" w:color="auto"/>
        <w:right w:val="none" w:sz="0" w:space="0" w:color="auto"/>
      </w:divBdr>
    </w:div>
    <w:div w:id="1584602351">
      <w:bodyDiv w:val="1"/>
      <w:marLeft w:val="0"/>
      <w:marRight w:val="0"/>
      <w:marTop w:val="0"/>
      <w:marBottom w:val="0"/>
      <w:divBdr>
        <w:top w:val="none" w:sz="0" w:space="0" w:color="auto"/>
        <w:left w:val="none" w:sz="0" w:space="0" w:color="auto"/>
        <w:bottom w:val="none" w:sz="0" w:space="0" w:color="auto"/>
        <w:right w:val="none" w:sz="0" w:space="0" w:color="auto"/>
      </w:divBdr>
    </w:div>
    <w:div w:id="1585603351">
      <w:bodyDiv w:val="1"/>
      <w:marLeft w:val="0"/>
      <w:marRight w:val="0"/>
      <w:marTop w:val="0"/>
      <w:marBottom w:val="0"/>
      <w:divBdr>
        <w:top w:val="none" w:sz="0" w:space="0" w:color="auto"/>
        <w:left w:val="none" w:sz="0" w:space="0" w:color="auto"/>
        <w:bottom w:val="none" w:sz="0" w:space="0" w:color="auto"/>
        <w:right w:val="none" w:sz="0" w:space="0" w:color="auto"/>
      </w:divBdr>
    </w:div>
    <w:div w:id="1606957648">
      <w:bodyDiv w:val="1"/>
      <w:marLeft w:val="0"/>
      <w:marRight w:val="0"/>
      <w:marTop w:val="0"/>
      <w:marBottom w:val="0"/>
      <w:divBdr>
        <w:top w:val="none" w:sz="0" w:space="0" w:color="auto"/>
        <w:left w:val="none" w:sz="0" w:space="0" w:color="auto"/>
        <w:bottom w:val="none" w:sz="0" w:space="0" w:color="auto"/>
        <w:right w:val="none" w:sz="0" w:space="0" w:color="auto"/>
      </w:divBdr>
    </w:div>
    <w:div w:id="1615673911">
      <w:bodyDiv w:val="1"/>
      <w:marLeft w:val="0"/>
      <w:marRight w:val="0"/>
      <w:marTop w:val="0"/>
      <w:marBottom w:val="0"/>
      <w:divBdr>
        <w:top w:val="none" w:sz="0" w:space="0" w:color="auto"/>
        <w:left w:val="none" w:sz="0" w:space="0" w:color="auto"/>
        <w:bottom w:val="none" w:sz="0" w:space="0" w:color="auto"/>
        <w:right w:val="none" w:sz="0" w:space="0" w:color="auto"/>
      </w:divBdr>
    </w:div>
    <w:div w:id="1627395611">
      <w:bodyDiv w:val="1"/>
      <w:marLeft w:val="0"/>
      <w:marRight w:val="0"/>
      <w:marTop w:val="0"/>
      <w:marBottom w:val="0"/>
      <w:divBdr>
        <w:top w:val="none" w:sz="0" w:space="0" w:color="auto"/>
        <w:left w:val="none" w:sz="0" w:space="0" w:color="auto"/>
        <w:bottom w:val="none" w:sz="0" w:space="0" w:color="auto"/>
        <w:right w:val="none" w:sz="0" w:space="0" w:color="auto"/>
      </w:divBdr>
    </w:div>
    <w:div w:id="1627738518">
      <w:bodyDiv w:val="1"/>
      <w:marLeft w:val="0"/>
      <w:marRight w:val="0"/>
      <w:marTop w:val="0"/>
      <w:marBottom w:val="0"/>
      <w:divBdr>
        <w:top w:val="none" w:sz="0" w:space="0" w:color="auto"/>
        <w:left w:val="none" w:sz="0" w:space="0" w:color="auto"/>
        <w:bottom w:val="none" w:sz="0" w:space="0" w:color="auto"/>
        <w:right w:val="none" w:sz="0" w:space="0" w:color="auto"/>
      </w:divBdr>
    </w:div>
    <w:div w:id="1640450664">
      <w:bodyDiv w:val="1"/>
      <w:marLeft w:val="0"/>
      <w:marRight w:val="0"/>
      <w:marTop w:val="0"/>
      <w:marBottom w:val="0"/>
      <w:divBdr>
        <w:top w:val="none" w:sz="0" w:space="0" w:color="auto"/>
        <w:left w:val="none" w:sz="0" w:space="0" w:color="auto"/>
        <w:bottom w:val="none" w:sz="0" w:space="0" w:color="auto"/>
        <w:right w:val="none" w:sz="0" w:space="0" w:color="auto"/>
      </w:divBdr>
    </w:div>
    <w:div w:id="1645574638">
      <w:bodyDiv w:val="1"/>
      <w:marLeft w:val="0"/>
      <w:marRight w:val="0"/>
      <w:marTop w:val="0"/>
      <w:marBottom w:val="0"/>
      <w:divBdr>
        <w:top w:val="none" w:sz="0" w:space="0" w:color="auto"/>
        <w:left w:val="none" w:sz="0" w:space="0" w:color="auto"/>
        <w:bottom w:val="none" w:sz="0" w:space="0" w:color="auto"/>
        <w:right w:val="none" w:sz="0" w:space="0" w:color="auto"/>
      </w:divBdr>
    </w:div>
    <w:div w:id="1650136742">
      <w:bodyDiv w:val="1"/>
      <w:marLeft w:val="0"/>
      <w:marRight w:val="0"/>
      <w:marTop w:val="0"/>
      <w:marBottom w:val="0"/>
      <w:divBdr>
        <w:top w:val="none" w:sz="0" w:space="0" w:color="auto"/>
        <w:left w:val="none" w:sz="0" w:space="0" w:color="auto"/>
        <w:bottom w:val="none" w:sz="0" w:space="0" w:color="auto"/>
        <w:right w:val="none" w:sz="0" w:space="0" w:color="auto"/>
      </w:divBdr>
    </w:div>
    <w:div w:id="1651982641">
      <w:bodyDiv w:val="1"/>
      <w:marLeft w:val="0"/>
      <w:marRight w:val="0"/>
      <w:marTop w:val="0"/>
      <w:marBottom w:val="0"/>
      <w:divBdr>
        <w:top w:val="none" w:sz="0" w:space="0" w:color="auto"/>
        <w:left w:val="none" w:sz="0" w:space="0" w:color="auto"/>
        <w:bottom w:val="none" w:sz="0" w:space="0" w:color="auto"/>
        <w:right w:val="none" w:sz="0" w:space="0" w:color="auto"/>
      </w:divBdr>
    </w:div>
    <w:div w:id="1688287610">
      <w:bodyDiv w:val="1"/>
      <w:marLeft w:val="0"/>
      <w:marRight w:val="0"/>
      <w:marTop w:val="0"/>
      <w:marBottom w:val="0"/>
      <w:divBdr>
        <w:top w:val="none" w:sz="0" w:space="0" w:color="auto"/>
        <w:left w:val="none" w:sz="0" w:space="0" w:color="auto"/>
        <w:bottom w:val="none" w:sz="0" w:space="0" w:color="auto"/>
        <w:right w:val="none" w:sz="0" w:space="0" w:color="auto"/>
      </w:divBdr>
    </w:div>
    <w:div w:id="1694189360">
      <w:bodyDiv w:val="1"/>
      <w:marLeft w:val="0"/>
      <w:marRight w:val="0"/>
      <w:marTop w:val="0"/>
      <w:marBottom w:val="0"/>
      <w:divBdr>
        <w:top w:val="none" w:sz="0" w:space="0" w:color="auto"/>
        <w:left w:val="none" w:sz="0" w:space="0" w:color="auto"/>
        <w:bottom w:val="none" w:sz="0" w:space="0" w:color="auto"/>
        <w:right w:val="none" w:sz="0" w:space="0" w:color="auto"/>
      </w:divBdr>
    </w:div>
    <w:div w:id="1694652905">
      <w:bodyDiv w:val="1"/>
      <w:marLeft w:val="0"/>
      <w:marRight w:val="0"/>
      <w:marTop w:val="0"/>
      <w:marBottom w:val="0"/>
      <w:divBdr>
        <w:top w:val="none" w:sz="0" w:space="0" w:color="auto"/>
        <w:left w:val="none" w:sz="0" w:space="0" w:color="auto"/>
        <w:bottom w:val="none" w:sz="0" w:space="0" w:color="auto"/>
        <w:right w:val="none" w:sz="0" w:space="0" w:color="auto"/>
      </w:divBdr>
    </w:div>
    <w:div w:id="1709647004">
      <w:bodyDiv w:val="1"/>
      <w:marLeft w:val="0"/>
      <w:marRight w:val="0"/>
      <w:marTop w:val="0"/>
      <w:marBottom w:val="0"/>
      <w:divBdr>
        <w:top w:val="none" w:sz="0" w:space="0" w:color="auto"/>
        <w:left w:val="none" w:sz="0" w:space="0" w:color="auto"/>
        <w:bottom w:val="none" w:sz="0" w:space="0" w:color="auto"/>
        <w:right w:val="none" w:sz="0" w:space="0" w:color="auto"/>
      </w:divBdr>
    </w:div>
    <w:div w:id="1712880010">
      <w:bodyDiv w:val="1"/>
      <w:marLeft w:val="0"/>
      <w:marRight w:val="0"/>
      <w:marTop w:val="0"/>
      <w:marBottom w:val="0"/>
      <w:divBdr>
        <w:top w:val="none" w:sz="0" w:space="0" w:color="auto"/>
        <w:left w:val="none" w:sz="0" w:space="0" w:color="auto"/>
        <w:bottom w:val="none" w:sz="0" w:space="0" w:color="auto"/>
        <w:right w:val="none" w:sz="0" w:space="0" w:color="auto"/>
      </w:divBdr>
    </w:div>
    <w:div w:id="1722947857">
      <w:bodyDiv w:val="1"/>
      <w:marLeft w:val="0"/>
      <w:marRight w:val="0"/>
      <w:marTop w:val="0"/>
      <w:marBottom w:val="0"/>
      <w:divBdr>
        <w:top w:val="none" w:sz="0" w:space="0" w:color="auto"/>
        <w:left w:val="none" w:sz="0" w:space="0" w:color="auto"/>
        <w:bottom w:val="none" w:sz="0" w:space="0" w:color="auto"/>
        <w:right w:val="none" w:sz="0" w:space="0" w:color="auto"/>
      </w:divBdr>
    </w:div>
    <w:div w:id="1723484314">
      <w:bodyDiv w:val="1"/>
      <w:marLeft w:val="0"/>
      <w:marRight w:val="0"/>
      <w:marTop w:val="0"/>
      <w:marBottom w:val="0"/>
      <w:divBdr>
        <w:top w:val="none" w:sz="0" w:space="0" w:color="auto"/>
        <w:left w:val="none" w:sz="0" w:space="0" w:color="auto"/>
        <w:bottom w:val="none" w:sz="0" w:space="0" w:color="auto"/>
        <w:right w:val="none" w:sz="0" w:space="0" w:color="auto"/>
      </w:divBdr>
    </w:div>
    <w:div w:id="1743259866">
      <w:bodyDiv w:val="1"/>
      <w:marLeft w:val="0"/>
      <w:marRight w:val="0"/>
      <w:marTop w:val="0"/>
      <w:marBottom w:val="0"/>
      <w:divBdr>
        <w:top w:val="none" w:sz="0" w:space="0" w:color="auto"/>
        <w:left w:val="none" w:sz="0" w:space="0" w:color="auto"/>
        <w:bottom w:val="none" w:sz="0" w:space="0" w:color="auto"/>
        <w:right w:val="none" w:sz="0" w:space="0" w:color="auto"/>
      </w:divBdr>
    </w:div>
    <w:div w:id="1756853307">
      <w:bodyDiv w:val="1"/>
      <w:marLeft w:val="0"/>
      <w:marRight w:val="0"/>
      <w:marTop w:val="0"/>
      <w:marBottom w:val="0"/>
      <w:divBdr>
        <w:top w:val="none" w:sz="0" w:space="0" w:color="auto"/>
        <w:left w:val="none" w:sz="0" w:space="0" w:color="auto"/>
        <w:bottom w:val="none" w:sz="0" w:space="0" w:color="auto"/>
        <w:right w:val="none" w:sz="0" w:space="0" w:color="auto"/>
      </w:divBdr>
    </w:div>
    <w:div w:id="1763183002">
      <w:bodyDiv w:val="1"/>
      <w:marLeft w:val="0"/>
      <w:marRight w:val="0"/>
      <w:marTop w:val="0"/>
      <w:marBottom w:val="0"/>
      <w:divBdr>
        <w:top w:val="none" w:sz="0" w:space="0" w:color="auto"/>
        <w:left w:val="none" w:sz="0" w:space="0" w:color="auto"/>
        <w:bottom w:val="none" w:sz="0" w:space="0" w:color="auto"/>
        <w:right w:val="none" w:sz="0" w:space="0" w:color="auto"/>
      </w:divBdr>
    </w:div>
    <w:div w:id="1773015347">
      <w:bodyDiv w:val="1"/>
      <w:marLeft w:val="0"/>
      <w:marRight w:val="0"/>
      <w:marTop w:val="0"/>
      <w:marBottom w:val="0"/>
      <w:divBdr>
        <w:top w:val="none" w:sz="0" w:space="0" w:color="auto"/>
        <w:left w:val="none" w:sz="0" w:space="0" w:color="auto"/>
        <w:bottom w:val="none" w:sz="0" w:space="0" w:color="auto"/>
        <w:right w:val="none" w:sz="0" w:space="0" w:color="auto"/>
      </w:divBdr>
    </w:div>
    <w:div w:id="1773889382">
      <w:bodyDiv w:val="1"/>
      <w:marLeft w:val="0"/>
      <w:marRight w:val="0"/>
      <w:marTop w:val="0"/>
      <w:marBottom w:val="0"/>
      <w:divBdr>
        <w:top w:val="none" w:sz="0" w:space="0" w:color="auto"/>
        <w:left w:val="none" w:sz="0" w:space="0" w:color="auto"/>
        <w:bottom w:val="none" w:sz="0" w:space="0" w:color="auto"/>
        <w:right w:val="none" w:sz="0" w:space="0" w:color="auto"/>
      </w:divBdr>
    </w:div>
    <w:div w:id="1774665589">
      <w:bodyDiv w:val="1"/>
      <w:marLeft w:val="0"/>
      <w:marRight w:val="0"/>
      <w:marTop w:val="0"/>
      <w:marBottom w:val="0"/>
      <w:divBdr>
        <w:top w:val="none" w:sz="0" w:space="0" w:color="auto"/>
        <w:left w:val="none" w:sz="0" w:space="0" w:color="auto"/>
        <w:bottom w:val="none" w:sz="0" w:space="0" w:color="auto"/>
        <w:right w:val="none" w:sz="0" w:space="0" w:color="auto"/>
      </w:divBdr>
    </w:div>
    <w:div w:id="1777360552">
      <w:bodyDiv w:val="1"/>
      <w:marLeft w:val="0"/>
      <w:marRight w:val="0"/>
      <w:marTop w:val="0"/>
      <w:marBottom w:val="0"/>
      <w:divBdr>
        <w:top w:val="none" w:sz="0" w:space="0" w:color="auto"/>
        <w:left w:val="none" w:sz="0" w:space="0" w:color="auto"/>
        <w:bottom w:val="none" w:sz="0" w:space="0" w:color="auto"/>
        <w:right w:val="none" w:sz="0" w:space="0" w:color="auto"/>
      </w:divBdr>
    </w:div>
    <w:div w:id="1779718705">
      <w:bodyDiv w:val="1"/>
      <w:marLeft w:val="0"/>
      <w:marRight w:val="0"/>
      <w:marTop w:val="0"/>
      <w:marBottom w:val="0"/>
      <w:divBdr>
        <w:top w:val="none" w:sz="0" w:space="0" w:color="auto"/>
        <w:left w:val="none" w:sz="0" w:space="0" w:color="auto"/>
        <w:bottom w:val="none" w:sz="0" w:space="0" w:color="auto"/>
        <w:right w:val="none" w:sz="0" w:space="0" w:color="auto"/>
      </w:divBdr>
    </w:div>
    <w:div w:id="1782064950">
      <w:bodyDiv w:val="1"/>
      <w:marLeft w:val="0"/>
      <w:marRight w:val="0"/>
      <w:marTop w:val="0"/>
      <w:marBottom w:val="0"/>
      <w:divBdr>
        <w:top w:val="none" w:sz="0" w:space="0" w:color="auto"/>
        <w:left w:val="none" w:sz="0" w:space="0" w:color="auto"/>
        <w:bottom w:val="none" w:sz="0" w:space="0" w:color="auto"/>
        <w:right w:val="none" w:sz="0" w:space="0" w:color="auto"/>
      </w:divBdr>
    </w:div>
    <w:div w:id="1785424386">
      <w:bodyDiv w:val="1"/>
      <w:marLeft w:val="0"/>
      <w:marRight w:val="0"/>
      <w:marTop w:val="0"/>
      <w:marBottom w:val="0"/>
      <w:divBdr>
        <w:top w:val="none" w:sz="0" w:space="0" w:color="auto"/>
        <w:left w:val="none" w:sz="0" w:space="0" w:color="auto"/>
        <w:bottom w:val="none" w:sz="0" w:space="0" w:color="auto"/>
        <w:right w:val="none" w:sz="0" w:space="0" w:color="auto"/>
      </w:divBdr>
    </w:div>
    <w:div w:id="1815221157">
      <w:bodyDiv w:val="1"/>
      <w:marLeft w:val="0"/>
      <w:marRight w:val="0"/>
      <w:marTop w:val="0"/>
      <w:marBottom w:val="0"/>
      <w:divBdr>
        <w:top w:val="none" w:sz="0" w:space="0" w:color="auto"/>
        <w:left w:val="none" w:sz="0" w:space="0" w:color="auto"/>
        <w:bottom w:val="none" w:sz="0" w:space="0" w:color="auto"/>
        <w:right w:val="none" w:sz="0" w:space="0" w:color="auto"/>
      </w:divBdr>
    </w:div>
    <w:div w:id="1815834036">
      <w:bodyDiv w:val="1"/>
      <w:marLeft w:val="0"/>
      <w:marRight w:val="0"/>
      <w:marTop w:val="0"/>
      <w:marBottom w:val="0"/>
      <w:divBdr>
        <w:top w:val="none" w:sz="0" w:space="0" w:color="auto"/>
        <w:left w:val="none" w:sz="0" w:space="0" w:color="auto"/>
        <w:bottom w:val="none" w:sz="0" w:space="0" w:color="auto"/>
        <w:right w:val="none" w:sz="0" w:space="0" w:color="auto"/>
      </w:divBdr>
    </w:div>
    <w:div w:id="1829243786">
      <w:bodyDiv w:val="1"/>
      <w:marLeft w:val="0"/>
      <w:marRight w:val="0"/>
      <w:marTop w:val="0"/>
      <w:marBottom w:val="0"/>
      <w:divBdr>
        <w:top w:val="none" w:sz="0" w:space="0" w:color="auto"/>
        <w:left w:val="none" w:sz="0" w:space="0" w:color="auto"/>
        <w:bottom w:val="none" w:sz="0" w:space="0" w:color="auto"/>
        <w:right w:val="none" w:sz="0" w:space="0" w:color="auto"/>
      </w:divBdr>
    </w:div>
    <w:div w:id="1853227056">
      <w:bodyDiv w:val="1"/>
      <w:marLeft w:val="0"/>
      <w:marRight w:val="0"/>
      <w:marTop w:val="0"/>
      <w:marBottom w:val="0"/>
      <w:divBdr>
        <w:top w:val="none" w:sz="0" w:space="0" w:color="auto"/>
        <w:left w:val="none" w:sz="0" w:space="0" w:color="auto"/>
        <w:bottom w:val="none" w:sz="0" w:space="0" w:color="auto"/>
        <w:right w:val="none" w:sz="0" w:space="0" w:color="auto"/>
      </w:divBdr>
    </w:div>
    <w:div w:id="1854804576">
      <w:bodyDiv w:val="1"/>
      <w:marLeft w:val="0"/>
      <w:marRight w:val="0"/>
      <w:marTop w:val="0"/>
      <w:marBottom w:val="0"/>
      <w:divBdr>
        <w:top w:val="none" w:sz="0" w:space="0" w:color="auto"/>
        <w:left w:val="none" w:sz="0" w:space="0" w:color="auto"/>
        <w:bottom w:val="none" w:sz="0" w:space="0" w:color="auto"/>
        <w:right w:val="none" w:sz="0" w:space="0" w:color="auto"/>
      </w:divBdr>
    </w:div>
    <w:div w:id="1873224581">
      <w:bodyDiv w:val="1"/>
      <w:marLeft w:val="0"/>
      <w:marRight w:val="0"/>
      <w:marTop w:val="0"/>
      <w:marBottom w:val="0"/>
      <w:divBdr>
        <w:top w:val="none" w:sz="0" w:space="0" w:color="auto"/>
        <w:left w:val="none" w:sz="0" w:space="0" w:color="auto"/>
        <w:bottom w:val="none" w:sz="0" w:space="0" w:color="auto"/>
        <w:right w:val="none" w:sz="0" w:space="0" w:color="auto"/>
      </w:divBdr>
    </w:div>
    <w:div w:id="1877890224">
      <w:bodyDiv w:val="1"/>
      <w:marLeft w:val="0"/>
      <w:marRight w:val="0"/>
      <w:marTop w:val="0"/>
      <w:marBottom w:val="0"/>
      <w:divBdr>
        <w:top w:val="none" w:sz="0" w:space="0" w:color="auto"/>
        <w:left w:val="none" w:sz="0" w:space="0" w:color="auto"/>
        <w:bottom w:val="none" w:sz="0" w:space="0" w:color="auto"/>
        <w:right w:val="none" w:sz="0" w:space="0" w:color="auto"/>
      </w:divBdr>
    </w:div>
    <w:div w:id="1902979016">
      <w:bodyDiv w:val="1"/>
      <w:marLeft w:val="0"/>
      <w:marRight w:val="0"/>
      <w:marTop w:val="0"/>
      <w:marBottom w:val="0"/>
      <w:divBdr>
        <w:top w:val="none" w:sz="0" w:space="0" w:color="auto"/>
        <w:left w:val="none" w:sz="0" w:space="0" w:color="auto"/>
        <w:bottom w:val="none" w:sz="0" w:space="0" w:color="auto"/>
        <w:right w:val="none" w:sz="0" w:space="0" w:color="auto"/>
      </w:divBdr>
    </w:div>
    <w:div w:id="1913614921">
      <w:bodyDiv w:val="1"/>
      <w:marLeft w:val="0"/>
      <w:marRight w:val="0"/>
      <w:marTop w:val="0"/>
      <w:marBottom w:val="0"/>
      <w:divBdr>
        <w:top w:val="none" w:sz="0" w:space="0" w:color="auto"/>
        <w:left w:val="none" w:sz="0" w:space="0" w:color="auto"/>
        <w:bottom w:val="none" w:sz="0" w:space="0" w:color="auto"/>
        <w:right w:val="none" w:sz="0" w:space="0" w:color="auto"/>
      </w:divBdr>
    </w:div>
    <w:div w:id="1914899047">
      <w:bodyDiv w:val="1"/>
      <w:marLeft w:val="0"/>
      <w:marRight w:val="0"/>
      <w:marTop w:val="0"/>
      <w:marBottom w:val="0"/>
      <w:divBdr>
        <w:top w:val="none" w:sz="0" w:space="0" w:color="auto"/>
        <w:left w:val="none" w:sz="0" w:space="0" w:color="auto"/>
        <w:bottom w:val="none" w:sz="0" w:space="0" w:color="auto"/>
        <w:right w:val="none" w:sz="0" w:space="0" w:color="auto"/>
      </w:divBdr>
    </w:div>
    <w:div w:id="1918244339">
      <w:bodyDiv w:val="1"/>
      <w:marLeft w:val="0"/>
      <w:marRight w:val="0"/>
      <w:marTop w:val="0"/>
      <w:marBottom w:val="0"/>
      <w:divBdr>
        <w:top w:val="none" w:sz="0" w:space="0" w:color="auto"/>
        <w:left w:val="none" w:sz="0" w:space="0" w:color="auto"/>
        <w:bottom w:val="none" w:sz="0" w:space="0" w:color="auto"/>
        <w:right w:val="none" w:sz="0" w:space="0" w:color="auto"/>
      </w:divBdr>
    </w:div>
    <w:div w:id="1935624931">
      <w:bodyDiv w:val="1"/>
      <w:marLeft w:val="0"/>
      <w:marRight w:val="0"/>
      <w:marTop w:val="0"/>
      <w:marBottom w:val="0"/>
      <w:divBdr>
        <w:top w:val="none" w:sz="0" w:space="0" w:color="auto"/>
        <w:left w:val="none" w:sz="0" w:space="0" w:color="auto"/>
        <w:bottom w:val="none" w:sz="0" w:space="0" w:color="auto"/>
        <w:right w:val="none" w:sz="0" w:space="0" w:color="auto"/>
      </w:divBdr>
    </w:div>
    <w:div w:id="1937322024">
      <w:bodyDiv w:val="1"/>
      <w:marLeft w:val="0"/>
      <w:marRight w:val="0"/>
      <w:marTop w:val="0"/>
      <w:marBottom w:val="0"/>
      <w:divBdr>
        <w:top w:val="none" w:sz="0" w:space="0" w:color="auto"/>
        <w:left w:val="none" w:sz="0" w:space="0" w:color="auto"/>
        <w:bottom w:val="none" w:sz="0" w:space="0" w:color="auto"/>
        <w:right w:val="none" w:sz="0" w:space="0" w:color="auto"/>
      </w:divBdr>
    </w:div>
    <w:div w:id="1967929649">
      <w:bodyDiv w:val="1"/>
      <w:marLeft w:val="0"/>
      <w:marRight w:val="0"/>
      <w:marTop w:val="0"/>
      <w:marBottom w:val="0"/>
      <w:divBdr>
        <w:top w:val="none" w:sz="0" w:space="0" w:color="auto"/>
        <w:left w:val="none" w:sz="0" w:space="0" w:color="auto"/>
        <w:bottom w:val="none" w:sz="0" w:space="0" w:color="auto"/>
        <w:right w:val="none" w:sz="0" w:space="0" w:color="auto"/>
      </w:divBdr>
    </w:div>
    <w:div w:id="1998068053">
      <w:bodyDiv w:val="1"/>
      <w:marLeft w:val="0"/>
      <w:marRight w:val="0"/>
      <w:marTop w:val="0"/>
      <w:marBottom w:val="0"/>
      <w:divBdr>
        <w:top w:val="none" w:sz="0" w:space="0" w:color="auto"/>
        <w:left w:val="none" w:sz="0" w:space="0" w:color="auto"/>
        <w:bottom w:val="none" w:sz="0" w:space="0" w:color="auto"/>
        <w:right w:val="none" w:sz="0" w:space="0" w:color="auto"/>
      </w:divBdr>
    </w:div>
    <w:div w:id="2010791259">
      <w:bodyDiv w:val="1"/>
      <w:marLeft w:val="0"/>
      <w:marRight w:val="0"/>
      <w:marTop w:val="0"/>
      <w:marBottom w:val="0"/>
      <w:divBdr>
        <w:top w:val="none" w:sz="0" w:space="0" w:color="auto"/>
        <w:left w:val="none" w:sz="0" w:space="0" w:color="auto"/>
        <w:bottom w:val="none" w:sz="0" w:space="0" w:color="auto"/>
        <w:right w:val="none" w:sz="0" w:space="0" w:color="auto"/>
      </w:divBdr>
    </w:div>
    <w:div w:id="2032611172">
      <w:bodyDiv w:val="1"/>
      <w:marLeft w:val="0"/>
      <w:marRight w:val="0"/>
      <w:marTop w:val="0"/>
      <w:marBottom w:val="0"/>
      <w:divBdr>
        <w:top w:val="none" w:sz="0" w:space="0" w:color="auto"/>
        <w:left w:val="none" w:sz="0" w:space="0" w:color="auto"/>
        <w:bottom w:val="none" w:sz="0" w:space="0" w:color="auto"/>
        <w:right w:val="none" w:sz="0" w:space="0" w:color="auto"/>
      </w:divBdr>
    </w:div>
    <w:div w:id="2036226752">
      <w:bodyDiv w:val="1"/>
      <w:marLeft w:val="0"/>
      <w:marRight w:val="0"/>
      <w:marTop w:val="0"/>
      <w:marBottom w:val="0"/>
      <w:divBdr>
        <w:top w:val="none" w:sz="0" w:space="0" w:color="auto"/>
        <w:left w:val="none" w:sz="0" w:space="0" w:color="auto"/>
        <w:bottom w:val="none" w:sz="0" w:space="0" w:color="auto"/>
        <w:right w:val="none" w:sz="0" w:space="0" w:color="auto"/>
      </w:divBdr>
    </w:div>
    <w:div w:id="2042437867">
      <w:bodyDiv w:val="1"/>
      <w:marLeft w:val="0"/>
      <w:marRight w:val="0"/>
      <w:marTop w:val="0"/>
      <w:marBottom w:val="0"/>
      <w:divBdr>
        <w:top w:val="none" w:sz="0" w:space="0" w:color="auto"/>
        <w:left w:val="none" w:sz="0" w:space="0" w:color="auto"/>
        <w:bottom w:val="none" w:sz="0" w:space="0" w:color="auto"/>
        <w:right w:val="none" w:sz="0" w:space="0" w:color="auto"/>
      </w:divBdr>
    </w:div>
    <w:div w:id="2055693391">
      <w:bodyDiv w:val="1"/>
      <w:marLeft w:val="0"/>
      <w:marRight w:val="0"/>
      <w:marTop w:val="0"/>
      <w:marBottom w:val="0"/>
      <w:divBdr>
        <w:top w:val="none" w:sz="0" w:space="0" w:color="auto"/>
        <w:left w:val="none" w:sz="0" w:space="0" w:color="auto"/>
        <w:bottom w:val="none" w:sz="0" w:space="0" w:color="auto"/>
        <w:right w:val="none" w:sz="0" w:space="0" w:color="auto"/>
      </w:divBdr>
    </w:div>
    <w:div w:id="2066828020">
      <w:bodyDiv w:val="1"/>
      <w:marLeft w:val="0"/>
      <w:marRight w:val="0"/>
      <w:marTop w:val="0"/>
      <w:marBottom w:val="0"/>
      <w:divBdr>
        <w:top w:val="none" w:sz="0" w:space="0" w:color="auto"/>
        <w:left w:val="none" w:sz="0" w:space="0" w:color="auto"/>
        <w:bottom w:val="none" w:sz="0" w:space="0" w:color="auto"/>
        <w:right w:val="none" w:sz="0" w:space="0" w:color="auto"/>
      </w:divBdr>
    </w:div>
    <w:div w:id="2074886662">
      <w:bodyDiv w:val="1"/>
      <w:marLeft w:val="0"/>
      <w:marRight w:val="0"/>
      <w:marTop w:val="0"/>
      <w:marBottom w:val="0"/>
      <w:divBdr>
        <w:top w:val="none" w:sz="0" w:space="0" w:color="auto"/>
        <w:left w:val="none" w:sz="0" w:space="0" w:color="auto"/>
        <w:bottom w:val="none" w:sz="0" w:space="0" w:color="auto"/>
        <w:right w:val="none" w:sz="0" w:space="0" w:color="auto"/>
      </w:divBdr>
    </w:div>
    <w:div w:id="2076733610">
      <w:bodyDiv w:val="1"/>
      <w:marLeft w:val="0"/>
      <w:marRight w:val="0"/>
      <w:marTop w:val="0"/>
      <w:marBottom w:val="0"/>
      <w:divBdr>
        <w:top w:val="none" w:sz="0" w:space="0" w:color="auto"/>
        <w:left w:val="none" w:sz="0" w:space="0" w:color="auto"/>
        <w:bottom w:val="none" w:sz="0" w:space="0" w:color="auto"/>
        <w:right w:val="none" w:sz="0" w:space="0" w:color="auto"/>
      </w:divBdr>
    </w:div>
    <w:div w:id="211216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nadrc.acl.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PensionHelp.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acl.gov/index.php/node/293"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napsa-now.org/the-napsa-certificate-progr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n4a.org/Files/UPDATE%20Information%20Technology%20in%20AAAs%20-%20Report%20from%202015%20National%20Survey.pdf" TargetMode="External"/><Relationship Id="rId5" Type="http://schemas.openxmlformats.org/officeDocument/2006/relationships/numbering" Target="numbering.xml"/><Relationship Id="rId15" Type="http://schemas.openxmlformats.org/officeDocument/2006/relationships/hyperlink" Target="https://acl.gov/sites/default/files/programs/2017-02/NFCSP_Final_Report-update.pdf" TargetMode="External"/><Relationship Id="rId23" Type="http://schemas.openxmlformats.org/officeDocument/2006/relationships/hyperlink" Target="https://www.n4a.org/2017aaasurvey" TargetMode="External"/><Relationship Id="rId10" Type="http://schemas.openxmlformats.org/officeDocument/2006/relationships/endnotes" Target="endnotes.xml"/><Relationship Id="rId19" Type="http://schemas.openxmlformats.org/officeDocument/2006/relationships/hyperlink" Target="https://webmail.hhs.gov/exchange/ste.whittier.aoa/Drafts/RE:%20VAW%20Steering%20Committee-Query%20HCP-2.EML/1_text.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ltcombudsman.org/"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jah.sagepub.com/cgi/content/abstract/22/3/267" TargetMode="External"/><Relationship Id="rId13" Type="http://schemas.openxmlformats.org/officeDocument/2006/relationships/hyperlink" Target="http://www.agid.acl.gov" TargetMode="External"/><Relationship Id="rId18" Type="http://schemas.openxmlformats.org/officeDocument/2006/relationships/hyperlink" Target="http://www.agid.acl.gov" TargetMode="External"/><Relationship Id="rId26" Type="http://schemas.openxmlformats.org/officeDocument/2006/relationships/hyperlink" Target="http://innovation.cms.gov/Files/reports/CommunityWellnessRTC.pdf" TargetMode="External"/><Relationship Id="rId39" Type="http://schemas.openxmlformats.org/officeDocument/2006/relationships/hyperlink" Target="https://ncea.acl.gov/resources/docs/archive/2004-Survey-St-Audit-APS-Abuse-18plus-2007.pdf" TargetMode="External"/><Relationship Id="rId3" Type="http://schemas.openxmlformats.org/officeDocument/2006/relationships/hyperlink" Target="http://www.agid.acl.gov" TargetMode="External"/><Relationship Id="rId21" Type="http://schemas.openxmlformats.org/officeDocument/2006/relationships/hyperlink" Target="http://www.pearlsprogram.org/" TargetMode="External"/><Relationship Id="rId34" Type="http://schemas.openxmlformats.org/officeDocument/2006/relationships/hyperlink" Target="http://www.agid.acl.gov" TargetMode="External"/><Relationship Id="rId7" Type="http://schemas.openxmlformats.org/officeDocument/2006/relationships/hyperlink" Target="http://www.agid.acl.gov" TargetMode="External"/><Relationship Id="rId12" Type="http://schemas.openxmlformats.org/officeDocument/2006/relationships/hyperlink" Target="https://www.cms.gov/Research-Statistics-Data-and-Systems/Research/MCBS/" TargetMode="External"/><Relationship Id="rId17" Type="http://schemas.openxmlformats.org/officeDocument/2006/relationships/hyperlink" Target="http://www.agid.acl.gov" TargetMode="External"/><Relationship Id="rId25" Type="http://schemas.openxmlformats.org/officeDocument/2006/relationships/hyperlink" Target="http://www.who.int/mediacentre/factsheets/fs381/en/" TargetMode="External"/><Relationship Id="rId33" Type="http://schemas.openxmlformats.org/officeDocument/2006/relationships/hyperlink" Target="https://www.census.gov/data/tables/2017/demo/popproj/2017-summary-tables.html.%20Accessed%20May%201" TargetMode="External"/><Relationship Id="rId38" Type="http://schemas.openxmlformats.org/officeDocument/2006/relationships/hyperlink" Target="https://aspe.hhs.gov/national-plan-address-alzheimers-disease-2015-update" TargetMode="External"/><Relationship Id="rId2" Type="http://schemas.openxmlformats.org/officeDocument/2006/relationships/hyperlink" Target="https://www.cms.gov/Research-Statistics-Data-and-Systems/Statistics-Trends-and-Reports/Chronic-Conditions/MCC_Main.html" TargetMode="External"/><Relationship Id="rId16" Type="http://schemas.openxmlformats.org/officeDocument/2006/relationships/hyperlink" Target="http://onlinelibrary.wiley.com/doi/10.1111/1475-6773.12015/abstract" TargetMode="External"/><Relationship Id="rId20" Type="http://schemas.openxmlformats.org/officeDocument/2006/relationships/hyperlink" Target="https://www.acl.gov/programs/strengthening-aging-and-disability-networks/aging-and-disability-evidence-based-programs" TargetMode="External"/><Relationship Id="rId29" Type="http://schemas.openxmlformats.org/officeDocument/2006/relationships/hyperlink" Target="http://www.aarp.org/ppi/info-2015/valuing-the-invaluable-2015-update.html" TargetMode="External"/><Relationship Id="rId41" Type="http://schemas.openxmlformats.org/officeDocument/2006/relationships/hyperlink" Target="https://fas.org/sgp/crs/misc/IF10343.pdf" TargetMode="External"/><Relationship Id="rId1" Type="http://schemas.openxmlformats.org/officeDocument/2006/relationships/hyperlink" Target="https://www.cdc.gov/nchs/data/nvsr/nvsr66/nvsr66_03.pdf" TargetMode="External"/><Relationship Id="rId6" Type="http://schemas.openxmlformats.org/officeDocument/2006/relationships/hyperlink" Target="https://www.cms.gov/Research-Statistics-Data-and-Systems/Research/MCBS/" TargetMode="External"/><Relationship Id="rId11" Type="http://schemas.openxmlformats.org/officeDocument/2006/relationships/hyperlink" Target="https://www.nal.usda.gov/fnic/dietary-reference-intakes" TargetMode="External"/><Relationship Id="rId24" Type="http://schemas.openxmlformats.org/officeDocument/2006/relationships/hyperlink" Target="https://www.ncoa.org/wp-content/uploads/Series-Overview-Issue-Brief-1.pdf" TargetMode="External"/><Relationship Id="rId32" Type="http://schemas.openxmlformats.org/officeDocument/2006/relationships/hyperlink" Target="http://www.agid.acl.gov" TargetMode="External"/><Relationship Id="rId37" Type="http://schemas.openxmlformats.org/officeDocument/2006/relationships/hyperlink" Target="http://www.agid.acl.gov" TargetMode="External"/><Relationship Id="rId40" Type="http://schemas.openxmlformats.org/officeDocument/2006/relationships/hyperlink" Target="https://nwd.acl.gov/docs/NWD-National-Elements.pdf" TargetMode="External"/><Relationship Id="rId5" Type="http://schemas.openxmlformats.org/officeDocument/2006/relationships/hyperlink" Target="https://www.cms.gov/Research-Statistics-Data-and-Systems/Research/MCBS/" TargetMode="External"/><Relationship Id="rId15" Type="http://schemas.openxmlformats.org/officeDocument/2006/relationships/hyperlink" Target="http://nfesh.org/research/" TargetMode="External"/><Relationship Id="rId23" Type="http://schemas.openxmlformats.org/officeDocument/2006/relationships/hyperlink" Target="http://www.biomedcentral.com/1471-2458/13/1141" TargetMode="External"/><Relationship Id="rId28" Type="http://schemas.openxmlformats.org/officeDocument/2006/relationships/hyperlink" Target="http://www.caregiving.org/wp-content/uploads/2015/05/2015_CaregivingintheUS_Care-Recipients-Over-50_WEB.pdf" TargetMode="External"/><Relationship Id="rId36" Type="http://schemas.openxmlformats.org/officeDocument/2006/relationships/hyperlink" Target="http://www.agid.acl.gov" TargetMode="External"/><Relationship Id="rId10" Type="http://schemas.openxmlformats.org/officeDocument/2006/relationships/hyperlink" Target="https://health.gov/dietaryguidelines/2015/guidelines/" TargetMode="External"/><Relationship Id="rId19" Type="http://schemas.openxmlformats.org/officeDocument/2006/relationships/hyperlink" Target="http://www.ncbi.nlm.nih.gov/pubmed/12383144" TargetMode="External"/><Relationship Id="rId31" Type="http://schemas.openxmlformats.org/officeDocument/2006/relationships/hyperlink" Target="https://www.aarp.org/content/dam/aarp/research/public_policy_institute/health/home-alone-family-caregivers-providing-complex-chronic-care-rev-AARP-ppi-health.pdf" TargetMode="External"/><Relationship Id="rId4" Type="http://schemas.openxmlformats.org/officeDocument/2006/relationships/hyperlink" Target="https://www.census.gov/data/tables/2017/demo/popproj/2017-summary-tables.html.%20Accessed%20May%201" TargetMode="External"/><Relationship Id="rId9" Type="http://schemas.openxmlformats.org/officeDocument/2006/relationships/hyperlink" Target="http://www.agid.acl.gov" TargetMode="External"/><Relationship Id="rId14" Type="http://schemas.openxmlformats.org/officeDocument/2006/relationships/hyperlink" Target="http://www.agid.acl.gov" TargetMode="External"/><Relationship Id="rId22" Type="http://schemas.openxmlformats.org/officeDocument/2006/relationships/hyperlink" Target="http://innovation.cms.gov/Files/reports/CommunityWellnessRTC.pdf" TargetMode="External"/><Relationship Id="rId27" Type="http://schemas.openxmlformats.org/officeDocument/2006/relationships/hyperlink" Target="http://www.cdc.gov/homeandrecreationalsafety/Falls/steadi/index.html" TargetMode="External"/><Relationship Id="rId30" Type="http://schemas.openxmlformats.org/officeDocument/2006/relationships/hyperlink" Target="http://www.rand.org/pubs/external_publications/EP66196.html" TargetMode="External"/><Relationship Id="rId35" Type="http://schemas.openxmlformats.org/officeDocument/2006/relationships/hyperlink" Target="http://www.caregiving.org/wp-content/uploads/2015/05/2015_CaregivingintheUS_Care-Recipients-Over-50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BEF6404866DB4D9982E0DAD74EB5A5" ma:contentTypeVersion="14" ma:contentTypeDescription="Create a new document." ma:contentTypeScope="" ma:versionID="3f4835c7fd9c92b412be3f1f371bcd3d">
  <xsd:schema xmlns:xsd="http://www.w3.org/2001/XMLSchema" xmlns:xs="http://www.w3.org/2001/XMLSchema" xmlns:p="http://schemas.microsoft.com/office/2006/metadata/properties" xmlns:ns2="9c4568af-78d6-4de7-8a7f-d4a1b22f7f5e" xmlns:ns3="cba8d4a1-0a1c-4299-93a5-2682bf5a17ad" targetNamespace="http://schemas.microsoft.com/office/2006/metadata/properties" ma:root="true" ma:fieldsID="8ee7d375acdf817f48b45adc8155071c" ns2:_="" ns3:_="">
    <xsd:import namespace="9c4568af-78d6-4de7-8a7f-d4a1b22f7f5e"/>
    <xsd:import namespace="cba8d4a1-0a1c-4299-93a5-2682bf5a17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TEST"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568af-78d6-4de7-8a7f-d4a1b22f7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8d4a1-0a1c-4299-93a5-2682bf5a17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TEST" ma:index="15" nillable="true" ma:displayName="TEST" ma:default="0" ma:internalName="TEST">
      <xsd:simpleType>
        <xsd:restriction base="dms:Boolea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 xmlns="cba8d4a1-0a1c-4299-93a5-2682bf5a17ad">false</TES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88537-5FA5-4524-89FA-5335FFD2F451}">
  <ds:schemaRefs>
    <ds:schemaRef ds:uri="http://schemas.microsoft.com/sharepoint/v3/contenttype/forms"/>
  </ds:schemaRefs>
</ds:datastoreItem>
</file>

<file path=customXml/itemProps2.xml><?xml version="1.0" encoding="utf-8"?>
<ds:datastoreItem xmlns:ds="http://schemas.openxmlformats.org/officeDocument/2006/customXml" ds:itemID="{51FBCF2D-759D-4A64-B871-7ED29B73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568af-78d6-4de7-8a7f-d4a1b22f7f5e"/>
    <ds:schemaRef ds:uri="cba8d4a1-0a1c-4299-93a5-2682bf5a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40181F-4032-42DC-ADE9-8BBBB980B72F}">
  <ds:schemaRefs>
    <ds:schemaRef ds:uri="http://schemas.microsoft.com/office/2006/metadata/properties"/>
    <ds:schemaRef ds:uri="http://schemas.microsoft.com/office/infopath/2007/PartnerControls"/>
    <ds:schemaRef ds:uri="cba8d4a1-0a1c-4299-93a5-2682bf5a17ad"/>
  </ds:schemaRefs>
</ds:datastoreItem>
</file>

<file path=customXml/itemProps4.xml><?xml version="1.0" encoding="utf-8"?>
<ds:datastoreItem xmlns:ds="http://schemas.openxmlformats.org/officeDocument/2006/customXml" ds:itemID="{663BA6A9-B817-49AC-AD7B-98C54674B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26096</Words>
  <Characters>148751</Characters>
  <Application>Microsoft Office Word</Application>
  <DocSecurity>0</DocSecurity>
  <Lines>1239</Lines>
  <Paragraphs>348</Paragraphs>
  <ScaleCrop>false</ScaleCrop>
  <HeadingPairs>
    <vt:vector size="2" baseType="variant">
      <vt:variant>
        <vt:lpstr>Title</vt:lpstr>
      </vt:variant>
      <vt:variant>
        <vt:i4>1</vt:i4>
      </vt:variant>
    </vt:vector>
  </HeadingPairs>
  <TitlesOfParts>
    <vt:vector size="1" baseType="lpstr">
      <vt:lpstr>OAA Report to Congress (2017)</vt:lpstr>
    </vt:vector>
  </TitlesOfParts>
  <Company/>
  <LinksUpToDate>false</LinksUpToDate>
  <CharactersWithSpaces>174499</CharactersWithSpaces>
  <SharedDoc>false</SharedDoc>
  <HLinks>
    <vt:vector size="414" baseType="variant">
      <vt:variant>
        <vt:i4>3080305</vt:i4>
      </vt:variant>
      <vt:variant>
        <vt:i4>204</vt:i4>
      </vt:variant>
      <vt:variant>
        <vt:i4>0</vt:i4>
      </vt:variant>
      <vt:variant>
        <vt:i4>5</vt:i4>
      </vt:variant>
      <vt:variant>
        <vt:lpwstr>http://www.pensionhelp.org/</vt:lpwstr>
      </vt:variant>
      <vt:variant>
        <vt:lpwstr/>
      </vt:variant>
      <vt:variant>
        <vt:i4>5832782</vt:i4>
      </vt:variant>
      <vt:variant>
        <vt:i4>201</vt:i4>
      </vt:variant>
      <vt:variant>
        <vt:i4>0</vt:i4>
      </vt:variant>
      <vt:variant>
        <vt:i4>5</vt:i4>
      </vt:variant>
      <vt:variant>
        <vt:lpwstr>http://www.nlrc.gov/</vt:lpwstr>
      </vt:variant>
      <vt:variant>
        <vt:lpwstr/>
      </vt:variant>
      <vt:variant>
        <vt:i4>6815770</vt:i4>
      </vt:variant>
      <vt:variant>
        <vt:i4>198</vt:i4>
      </vt:variant>
      <vt:variant>
        <vt:i4>0</vt:i4>
      </vt:variant>
      <vt:variant>
        <vt:i4>5</vt:i4>
      </vt:variant>
      <vt:variant>
        <vt:lpwstr>http://www.acl.gov/Get_Help/BrainHealth/Index.aspx</vt:lpwstr>
      </vt:variant>
      <vt:variant>
        <vt:lpwstr/>
      </vt:variant>
      <vt:variant>
        <vt:i4>1179705</vt:i4>
      </vt:variant>
      <vt:variant>
        <vt:i4>191</vt:i4>
      </vt:variant>
      <vt:variant>
        <vt:i4>0</vt:i4>
      </vt:variant>
      <vt:variant>
        <vt:i4>5</vt:i4>
      </vt:variant>
      <vt:variant>
        <vt:lpwstr/>
      </vt:variant>
      <vt:variant>
        <vt:lpwstr>_Toc436738898</vt:lpwstr>
      </vt:variant>
      <vt:variant>
        <vt:i4>1179705</vt:i4>
      </vt:variant>
      <vt:variant>
        <vt:i4>185</vt:i4>
      </vt:variant>
      <vt:variant>
        <vt:i4>0</vt:i4>
      </vt:variant>
      <vt:variant>
        <vt:i4>5</vt:i4>
      </vt:variant>
      <vt:variant>
        <vt:lpwstr/>
      </vt:variant>
      <vt:variant>
        <vt:lpwstr>_Toc436738897</vt:lpwstr>
      </vt:variant>
      <vt:variant>
        <vt:i4>1179705</vt:i4>
      </vt:variant>
      <vt:variant>
        <vt:i4>179</vt:i4>
      </vt:variant>
      <vt:variant>
        <vt:i4>0</vt:i4>
      </vt:variant>
      <vt:variant>
        <vt:i4>5</vt:i4>
      </vt:variant>
      <vt:variant>
        <vt:lpwstr/>
      </vt:variant>
      <vt:variant>
        <vt:lpwstr>_Toc436738896</vt:lpwstr>
      </vt:variant>
      <vt:variant>
        <vt:i4>1179705</vt:i4>
      </vt:variant>
      <vt:variant>
        <vt:i4>173</vt:i4>
      </vt:variant>
      <vt:variant>
        <vt:i4>0</vt:i4>
      </vt:variant>
      <vt:variant>
        <vt:i4>5</vt:i4>
      </vt:variant>
      <vt:variant>
        <vt:lpwstr/>
      </vt:variant>
      <vt:variant>
        <vt:lpwstr>_Toc436738895</vt:lpwstr>
      </vt:variant>
      <vt:variant>
        <vt:i4>1179705</vt:i4>
      </vt:variant>
      <vt:variant>
        <vt:i4>167</vt:i4>
      </vt:variant>
      <vt:variant>
        <vt:i4>0</vt:i4>
      </vt:variant>
      <vt:variant>
        <vt:i4>5</vt:i4>
      </vt:variant>
      <vt:variant>
        <vt:lpwstr/>
      </vt:variant>
      <vt:variant>
        <vt:lpwstr>_Toc436738894</vt:lpwstr>
      </vt:variant>
      <vt:variant>
        <vt:i4>1179705</vt:i4>
      </vt:variant>
      <vt:variant>
        <vt:i4>161</vt:i4>
      </vt:variant>
      <vt:variant>
        <vt:i4>0</vt:i4>
      </vt:variant>
      <vt:variant>
        <vt:i4>5</vt:i4>
      </vt:variant>
      <vt:variant>
        <vt:lpwstr/>
      </vt:variant>
      <vt:variant>
        <vt:lpwstr>_Toc436738893</vt:lpwstr>
      </vt:variant>
      <vt:variant>
        <vt:i4>1179705</vt:i4>
      </vt:variant>
      <vt:variant>
        <vt:i4>155</vt:i4>
      </vt:variant>
      <vt:variant>
        <vt:i4>0</vt:i4>
      </vt:variant>
      <vt:variant>
        <vt:i4>5</vt:i4>
      </vt:variant>
      <vt:variant>
        <vt:lpwstr/>
      </vt:variant>
      <vt:variant>
        <vt:lpwstr>_Toc436738892</vt:lpwstr>
      </vt:variant>
      <vt:variant>
        <vt:i4>1179705</vt:i4>
      </vt:variant>
      <vt:variant>
        <vt:i4>149</vt:i4>
      </vt:variant>
      <vt:variant>
        <vt:i4>0</vt:i4>
      </vt:variant>
      <vt:variant>
        <vt:i4>5</vt:i4>
      </vt:variant>
      <vt:variant>
        <vt:lpwstr/>
      </vt:variant>
      <vt:variant>
        <vt:lpwstr>_Toc436738891</vt:lpwstr>
      </vt:variant>
      <vt:variant>
        <vt:i4>1179705</vt:i4>
      </vt:variant>
      <vt:variant>
        <vt:i4>143</vt:i4>
      </vt:variant>
      <vt:variant>
        <vt:i4>0</vt:i4>
      </vt:variant>
      <vt:variant>
        <vt:i4>5</vt:i4>
      </vt:variant>
      <vt:variant>
        <vt:lpwstr/>
      </vt:variant>
      <vt:variant>
        <vt:lpwstr>_Toc436738890</vt:lpwstr>
      </vt:variant>
      <vt:variant>
        <vt:i4>1245241</vt:i4>
      </vt:variant>
      <vt:variant>
        <vt:i4>137</vt:i4>
      </vt:variant>
      <vt:variant>
        <vt:i4>0</vt:i4>
      </vt:variant>
      <vt:variant>
        <vt:i4>5</vt:i4>
      </vt:variant>
      <vt:variant>
        <vt:lpwstr/>
      </vt:variant>
      <vt:variant>
        <vt:lpwstr>_Toc436738889</vt:lpwstr>
      </vt:variant>
      <vt:variant>
        <vt:i4>1245241</vt:i4>
      </vt:variant>
      <vt:variant>
        <vt:i4>131</vt:i4>
      </vt:variant>
      <vt:variant>
        <vt:i4>0</vt:i4>
      </vt:variant>
      <vt:variant>
        <vt:i4>5</vt:i4>
      </vt:variant>
      <vt:variant>
        <vt:lpwstr/>
      </vt:variant>
      <vt:variant>
        <vt:lpwstr>_Toc436738888</vt:lpwstr>
      </vt:variant>
      <vt:variant>
        <vt:i4>1245241</vt:i4>
      </vt:variant>
      <vt:variant>
        <vt:i4>125</vt:i4>
      </vt:variant>
      <vt:variant>
        <vt:i4>0</vt:i4>
      </vt:variant>
      <vt:variant>
        <vt:i4>5</vt:i4>
      </vt:variant>
      <vt:variant>
        <vt:lpwstr/>
      </vt:variant>
      <vt:variant>
        <vt:lpwstr>_Toc436738887</vt:lpwstr>
      </vt:variant>
      <vt:variant>
        <vt:i4>1245241</vt:i4>
      </vt:variant>
      <vt:variant>
        <vt:i4>119</vt:i4>
      </vt:variant>
      <vt:variant>
        <vt:i4>0</vt:i4>
      </vt:variant>
      <vt:variant>
        <vt:i4>5</vt:i4>
      </vt:variant>
      <vt:variant>
        <vt:lpwstr/>
      </vt:variant>
      <vt:variant>
        <vt:lpwstr>_Toc436738886</vt:lpwstr>
      </vt:variant>
      <vt:variant>
        <vt:i4>1245241</vt:i4>
      </vt:variant>
      <vt:variant>
        <vt:i4>113</vt:i4>
      </vt:variant>
      <vt:variant>
        <vt:i4>0</vt:i4>
      </vt:variant>
      <vt:variant>
        <vt:i4>5</vt:i4>
      </vt:variant>
      <vt:variant>
        <vt:lpwstr/>
      </vt:variant>
      <vt:variant>
        <vt:lpwstr>_Toc436738885</vt:lpwstr>
      </vt:variant>
      <vt:variant>
        <vt:i4>1245241</vt:i4>
      </vt:variant>
      <vt:variant>
        <vt:i4>107</vt:i4>
      </vt:variant>
      <vt:variant>
        <vt:i4>0</vt:i4>
      </vt:variant>
      <vt:variant>
        <vt:i4>5</vt:i4>
      </vt:variant>
      <vt:variant>
        <vt:lpwstr/>
      </vt:variant>
      <vt:variant>
        <vt:lpwstr>_Toc436738884</vt:lpwstr>
      </vt:variant>
      <vt:variant>
        <vt:i4>1245241</vt:i4>
      </vt:variant>
      <vt:variant>
        <vt:i4>101</vt:i4>
      </vt:variant>
      <vt:variant>
        <vt:i4>0</vt:i4>
      </vt:variant>
      <vt:variant>
        <vt:i4>5</vt:i4>
      </vt:variant>
      <vt:variant>
        <vt:lpwstr/>
      </vt:variant>
      <vt:variant>
        <vt:lpwstr>_Toc436738883</vt:lpwstr>
      </vt:variant>
      <vt:variant>
        <vt:i4>1245241</vt:i4>
      </vt:variant>
      <vt:variant>
        <vt:i4>95</vt:i4>
      </vt:variant>
      <vt:variant>
        <vt:i4>0</vt:i4>
      </vt:variant>
      <vt:variant>
        <vt:i4>5</vt:i4>
      </vt:variant>
      <vt:variant>
        <vt:lpwstr/>
      </vt:variant>
      <vt:variant>
        <vt:lpwstr>_Toc436738882</vt:lpwstr>
      </vt:variant>
      <vt:variant>
        <vt:i4>1245241</vt:i4>
      </vt:variant>
      <vt:variant>
        <vt:i4>89</vt:i4>
      </vt:variant>
      <vt:variant>
        <vt:i4>0</vt:i4>
      </vt:variant>
      <vt:variant>
        <vt:i4>5</vt:i4>
      </vt:variant>
      <vt:variant>
        <vt:lpwstr/>
      </vt:variant>
      <vt:variant>
        <vt:lpwstr>_Toc436738881</vt:lpwstr>
      </vt:variant>
      <vt:variant>
        <vt:i4>1245241</vt:i4>
      </vt:variant>
      <vt:variant>
        <vt:i4>83</vt:i4>
      </vt:variant>
      <vt:variant>
        <vt:i4>0</vt:i4>
      </vt:variant>
      <vt:variant>
        <vt:i4>5</vt:i4>
      </vt:variant>
      <vt:variant>
        <vt:lpwstr/>
      </vt:variant>
      <vt:variant>
        <vt:lpwstr>_Toc436738880</vt:lpwstr>
      </vt:variant>
      <vt:variant>
        <vt:i4>1835065</vt:i4>
      </vt:variant>
      <vt:variant>
        <vt:i4>77</vt:i4>
      </vt:variant>
      <vt:variant>
        <vt:i4>0</vt:i4>
      </vt:variant>
      <vt:variant>
        <vt:i4>5</vt:i4>
      </vt:variant>
      <vt:variant>
        <vt:lpwstr/>
      </vt:variant>
      <vt:variant>
        <vt:lpwstr>_Toc436738879</vt:lpwstr>
      </vt:variant>
      <vt:variant>
        <vt:i4>1835065</vt:i4>
      </vt:variant>
      <vt:variant>
        <vt:i4>71</vt:i4>
      </vt:variant>
      <vt:variant>
        <vt:i4>0</vt:i4>
      </vt:variant>
      <vt:variant>
        <vt:i4>5</vt:i4>
      </vt:variant>
      <vt:variant>
        <vt:lpwstr/>
      </vt:variant>
      <vt:variant>
        <vt:lpwstr>_Toc436738878</vt:lpwstr>
      </vt:variant>
      <vt:variant>
        <vt:i4>1835065</vt:i4>
      </vt:variant>
      <vt:variant>
        <vt:i4>65</vt:i4>
      </vt:variant>
      <vt:variant>
        <vt:i4>0</vt:i4>
      </vt:variant>
      <vt:variant>
        <vt:i4>5</vt:i4>
      </vt:variant>
      <vt:variant>
        <vt:lpwstr/>
      </vt:variant>
      <vt:variant>
        <vt:lpwstr>_Toc436738877</vt:lpwstr>
      </vt:variant>
      <vt:variant>
        <vt:i4>1835065</vt:i4>
      </vt:variant>
      <vt:variant>
        <vt:i4>59</vt:i4>
      </vt:variant>
      <vt:variant>
        <vt:i4>0</vt:i4>
      </vt:variant>
      <vt:variant>
        <vt:i4>5</vt:i4>
      </vt:variant>
      <vt:variant>
        <vt:lpwstr/>
      </vt:variant>
      <vt:variant>
        <vt:lpwstr>_Toc436738876</vt:lpwstr>
      </vt:variant>
      <vt:variant>
        <vt:i4>1835065</vt:i4>
      </vt:variant>
      <vt:variant>
        <vt:i4>53</vt:i4>
      </vt:variant>
      <vt:variant>
        <vt:i4>0</vt:i4>
      </vt:variant>
      <vt:variant>
        <vt:i4>5</vt:i4>
      </vt:variant>
      <vt:variant>
        <vt:lpwstr/>
      </vt:variant>
      <vt:variant>
        <vt:lpwstr>_Toc436738875</vt:lpwstr>
      </vt:variant>
      <vt:variant>
        <vt:i4>1835065</vt:i4>
      </vt:variant>
      <vt:variant>
        <vt:i4>47</vt:i4>
      </vt:variant>
      <vt:variant>
        <vt:i4>0</vt:i4>
      </vt:variant>
      <vt:variant>
        <vt:i4>5</vt:i4>
      </vt:variant>
      <vt:variant>
        <vt:lpwstr/>
      </vt:variant>
      <vt:variant>
        <vt:lpwstr>_Toc436738874</vt:lpwstr>
      </vt:variant>
      <vt:variant>
        <vt:i4>1835065</vt:i4>
      </vt:variant>
      <vt:variant>
        <vt:i4>41</vt:i4>
      </vt:variant>
      <vt:variant>
        <vt:i4>0</vt:i4>
      </vt:variant>
      <vt:variant>
        <vt:i4>5</vt:i4>
      </vt:variant>
      <vt:variant>
        <vt:lpwstr/>
      </vt:variant>
      <vt:variant>
        <vt:lpwstr>_Toc436738873</vt:lpwstr>
      </vt:variant>
      <vt:variant>
        <vt:i4>1835065</vt:i4>
      </vt:variant>
      <vt:variant>
        <vt:i4>35</vt:i4>
      </vt:variant>
      <vt:variant>
        <vt:i4>0</vt:i4>
      </vt:variant>
      <vt:variant>
        <vt:i4>5</vt:i4>
      </vt:variant>
      <vt:variant>
        <vt:lpwstr/>
      </vt:variant>
      <vt:variant>
        <vt:lpwstr>_Toc436738872</vt:lpwstr>
      </vt:variant>
      <vt:variant>
        <vt:i4>1835065</vt:i4>
      </vt:variant>
      <vt:variant>
        <vt:i4>29</vt:i4>
      </vt:variant>
      <vt:variant>
        <vt:i4>0</vt:i4>
      </vt:variant>
      <vt:variant>
        <vt:i4>5</vt:i4>
      </vt:variant>
      <vt:variant>
        <vt:lpwstr/>
      </vt:variant>
      <vt:variant>
        <vt:lpwstr>_Toc436738871</vt:lpwstr>
      </vt:variant>
      <vt:variant>
        <vt:i4>1835065</vt:i4>
      </vt:variant>
      <vt:variant>
        <vt:i4>23</vt:i4>
      </vt:variant>
      <vt:variant>
        <vt:i4>0</vt:i4>
      </vt:variant>
      <vt:variant>
        <vt:i4>5</vt:i4>
      </vt:variant>
      <vt:variant>
        <vt:lpwstr/>
      </vt:variant>
      <vt:variant>
        <vt:lpwstr>_Toc436738870</vt:lpwstr>
      </vt:variant>
      <vt:variant>
        <vt:i4>1900601</vt:i4>
      </vt:variant>
      <vt:variant>
        <vt:i4>17</vt:i4>
      </vt:variant>
      <vt:variant>
        <vt:i4>0</vt:i4>
      </vt:variant>
      <vt:variant>
        <vt:i4>5</vt:i4>
      </vt:variant>
      <vt:variant>
        <vt:lpwstr/>
      </vt:variant>
      <vt:variant>
        <vt:lpwstr>_Toc436738869</vt:lpwstr>
      </vt:variant>
      <vt:variant>
        <vt:i4>1900601</vt:i4>
      </vt:variant>
      <vt:variant>
        <vt:i4>11</vt:i4>
      </vt:variant>
      <vt:variant>
        <vt:i4>0</vt:i4>
      </vt:variant>
      <vt:variant>
        <vt:i4>5</vt:i4>
      </vt:variant>
      <vt:variant>
        <vt:lpwstr/>
      </vt:variant>
      <vt:variant>
        <vt:lpwstr>_Toc436738868</vt:lpwstr>
      </vt:variant>
      <vt:variant>
        <vt:i4>1900601</vt:i4>
      </vt:variant>
      <vt:variant>
        <vt:i4>5</vt:i4>
      </vt:variant>
      <vt:variant>
        <vt:i4>0</vt:i4>
      </vt:variant>
      <vt:variant>
        <vt:i4>5</vt:i4>
      </vt:variant>
      <vt:variant>
        <vt:lpwstr/>
      </vt:variant>
      <vt:variant>
        <vt:lpwstr>_Toc436738867</vt:lpwstr>
      </vt:variant>
      <vt:variant>
        <vt:i4>1638517</vt:i4>
      </vt:variant>
      <vt:variant>
        <vt:i4>108</vt:i4>
      </vt:variant>
      <vt:variant>
        <vt:i4>0</vt:i4>
      </vt:variant>
      <vt:variant>
        <vt:i4>5</vt:i4>
      </vt:variant>
      <vt:variant>
        <vt:lpwstr>http://www.aarp.org/research/surveys/care/ltc/hc/articles/caregiving_09.html</vt:lpwstr>
      </vt:variant>
      <vt:variant>
        <vt:lpwstr/>
      </vt:variant>
      <vt:variant>
        <vt:i4>79</vt:i4>
      </vt:variant>
      <vt:variant>
        <vt:i4>105</vt:i4>
      </vt:variant>
      <vt:variant>
        <vt:i4>0</vt:i4>
      </vt:variant>
      <vt:variant>
        <vt:i4>5</vt:i4>
      </vt:variant>
      <vt:variant>
        <vt:lpwstr>http://www.agid.acl.gov/</vt:lpwstr>
      </vt:variant>
      <vt:variant>
        <vt:lpwstr/>
      </vt:variant>
      <vt:variant>
        <vt:i4>79</vt:i4>
      </vt:variant>
      <vt:variant>
        <vt:i4>102</vt:i4>
      </vt:variant>
      <vt:variant>
        <vt:i4>0</vt:i4>
      </vt:variant>
      <vt:variant>
        <vt:i4>5</vt:i4>
      </vt:variant>
      <vt:variant>
        <vt:lpwstr>http://www.agid.acl.gov/</vt:lpwstr>
      </vt:variant>
      <vt:variant>
        <vt:lpwstr/>
      </vt:variant>
      <vt:variant>
        <vt:i4>79</vt:i4>
      </vt:variant>
      <vt:variant>
        <vt:i4>99</vt:i4>
      </vt:variant>
      <vt:variant>
        <vt:i4>0</vt:i4>
      </vt:variant>
      <vt:variant>
        <vt:i4>5</vt:i4>
      </vt:variant>
      <vt:variant>
        <vt:lpwstr>http://www.agid.acl.gov/</vt:lpwstr>
      </vt:variant>
      <vt:variant>
        <vt:lpwstr/>
      </vt:variant>
      <vt:variant>
        <vt:i4>5505038</vt:i4>
      </vt:variant>
      <vt:variant>
        <vt:i4>96</vt:i4>
      </vt:variant>
      <vt:variant>
        <vt:i4>0</vt:i4>
      </vt:variant>
      <vt:variant>
        <vt:i4>5</vt:i4>
      </vt:variant>
      <vt:variant>
        <vt:lpwstr>http://www.cms.gov/Research-Statistics-Data-and-Systems/Research/MCBS/Data-Tables-Items/2012CNP.html</vt:lpwstr>
      </vt:variant>
      <vt:variant>
        <vt:lpwstr/>
      </vt:variant>
      <vt:variant>
        <vt:i4>2031682</vt:i4>
      </vt:variant>
      <vt:variant>
        <vt:i4>93</vt:i4>
      </vt:variant>
      <vt:variant>
        <vt:i4>0</vt:i4>
      </vt:variant>
      <vt:variant>
        <vt:i4>5</vt:i4>
      </vt:variant>
      <vt:variant>
        <vt:lpwstr>http://www.census.gov/population/projections/data/national/2014/downloadablefiles.html. Accessed 08 January 2015</vt:lpwstr>
      </vt:variant>
      <vt:variant>
        <vt:lpwstr/>
      </vt:variant>
      <vt:variant>
        <vt:i4>79</vt:i4>
      </vt:variant>
      <vt:variant>
        <vt:i4>90</vt:i4>
      </vt:variant>
      <vt:variant>
        <vt:i4>0</vt:i4>
      </vt:variant>
      <vt:variant>
        <vt:i4>5</vt:i4>
      </vt:variant>
      <vt:variant>
        <vt:lpwstr>http://www.agid.acl.gov/</vt:lpwstr>
      </vt:variant>
      <vt:variant>
        <vt:lpwstr/>
      </vt:variant>
      <vt:variant>
        <vt:i4>6684789</vt:i4>
      </vt:variant>
      <vt:variant>
        <vt:i4>87</vt:i4>
      </vt:variant>
      <vt:variant>
        <vt:i4>0</vt:i4>
      </vt:variant>
      <vt:variant>
        <vt:i4>5</vt:i4>
      </vt:variant>
      <vt:variant>
        <vt:lpwstr>http://www.aarp.org/content/dam/aarp/research/public_policy_institute/health/home-alone-family-caregivers-providing-complex-chronic-care-rev-AARP-ppi-health.pdf</vt:lpwstr>
      </vt:variant>
      <vt:variant>
        <vt:lpwstr/>
      </vt:variant>
      <vt:variant>
        <vt:i4>589851</vt:i4>
      </vt:variant>
      <vt:variant>
        <vt:i4>84</vt:i4>
      </vt:variant>
      <vt:variant>
        <vt:i4>0</vt:i4>
      </vt:variant>
      <vt:variant>
        <vt:i4>5</vt:i4>
      </vt:variant>
      <vt:variant>
        <vt:lpwstr>http://www.aarp.org/ppi/info-2015/valuing-the-invaluable-2015-update.html</vt:lpwstr>
      </vt:variant>
      <vt:variant>
        <vt:lpwstr/>
      </vt:variant>
      <vt:variant>
        <vt:i4>3145845</vt:i4>
      </vt:variant>
      <vt:variant>
        <vt:i4>81</vt:i4>
      </vt:variant>
      <vt:variant>
        <vt:i4>0</vt:i4>
      </vt:variant>
      <vt:variant>
        <vt:i4>5</vt:i4>
      </vt:variant>
      <vt:variant>
        <vt:lpwstr>http://www.caregiving.org/pdf/research/FINALRegularExSum50plus.pdf</vt:lpwstr>
      </vt:variant>
      <vt:variant>
        <vt:lpwstr/>
      </vt:variant>
      <vt:variant>
        <vt:i4>6160412</vt:i4>
      </vt:variant>
      <vt:variant>
        <vt:i4>78</vt:i4>
      </vt:variant>
      <vt:variant>
        <vt:i4>0</vt:i4>
      </vt:variant>
      <vt:variant>
        <vt:i4>5</vt:i4>
      </vt:variant>
      <vt:variant>
        <vt:lpwstr>http://www.pearlsprogram.org/</vt:lpwstr>
      </vt:variant>
      <vt:variant>
        <vt:lpwstr/>
      </vt:variant>
      <vt:variant>
        <vt:i4>6488161</vt:i4>
      </vt:variant>
      <vt:variant>
        <vt:i4>75</vt:i4>
      </vt:variant>
      <vt:variant>
        <vt:i4>0</vt:i4>
      </vt:variant>
      <vt:variant>
        <vt:i4>5</vt:i4>
      </vt:variant>
      <vt:variant>
        <vt:lpwstr>http://www.acl.gov/Programs/CDAP/OPE/ADEPP.aspx</vt:lpwstr>
      </vt:variant>
      <vt:variant>
        <vt:lpwstr/>
      </vt:variant>
      <vt:variant>
        <vt:i4>3473453</vt:i4>
      </vt:variant>
      <vt:variant>
        <vt:i4>72</vt:i4>
      </vt:variant>
      <vt:variant>
        <vt:i4>0</vt:i4>
      </vt:variant>
      <vt:variant>
        <vt:i4>5</vt:i4>
      </vt:variant>
      <vt:variant>
        <vt:lpwstr>http://www.ncbi.nlm.nih.gov/pubmed/12383144</vt:lpwstr>
      </vt:variant>
      <vt:variant>
        <vt:lpwstr/>
      </vt:variant>
      <vt:variant>
        <vt:i4>8192127</vt:i4>
      </vt:variant>
      <vt:variant>
        <vt:i4>69</vt:i4>
      </vt:variant>
      <vt:variant>
        <vt:i4>0</vt:i4>
      </vt:variant>
      <vt:variant>
        <vt:i4>5</vt:i4>
      </vt:variant>
      <vt:variant>
        <vt:lpwstr>http://www.census.gov/population/projections/data/national/2014/downloadablefiles.html</vt:lpwstr>
      </vt:variant>
      <vt:variant>
        <vt:lpwstr/>
      </vt:variant>
      <vt:variant>
        <vt:i4>3932217</vt:i4>
      </vt:variant>
      <vt:variant>
        <vt:i4>66</vt:i4>
      </vt:variant>
      <vt:variant>
        <vt:i4>0</vt:i4>
      </vt:variant>
      <vt:variant>
        <vt:i4>5</vt:i4>
      </vt:variant>
      <vt:variant>
        <vt:lpwstr>http://www.cdc.gov/nchs/hus.htm</vt:lpwstr>
      </vt:variant>
      <vt:variant>
        <vt:lpwstr/>
      </vt:variant>
      <vt:variant>
        <vt:i4>79</vt:i4>
      </vt:variant>
      <vt:variant>
        <vt:i4>63</vt:i4>
      </vt:variant>
      <vt:variant>
        <vt:i4>0</vt:i4>
      </vt:variant>
      <vt:variant>
        <vt:i4>5</vt:i4>
      </vt:variant>
      <vt:variant>
        <vt:lpwstr>http://www.agid.acl.gov/</vt:lpwstr>
      </vt:variant>
      <vt:variant>
        <vt:lpwstr/>
      </vt:variant>
      <vt:variant>
        <vt:i4>79</vt:i4>
      </vt:variant>
      <vt:variant>
        <vt:i4>60</vt:i4>
      </vt:variant>
      <vt:variant>
        <vt:i4>0</vt:i4>
      </vt:variant>
      <vt:variant>
        <vt:i4>5</vt:i4>
      </vt:variant>
      <vt:variant>
        <vt:lpwstr>http://www.agid.acl.gov/</vt:lpwstr>
      </vt:variant>
      <vt:variant>
        <vt:lpwstr/>
      </vt:variant>
      <vt:variant>
        <vt:i4>3539044</vt:i4>
      </vt:variant>
      <vt:variant>
        <vt:i4>57</vt:i4>
      </vt:variant>
      <vt:variant>
        <vt:i4>0</vt:i4>
      </vt:variant>
      <vt:variant>
        <vt:i4>5</vt:i4>
      </vt:variant>
      <vt:variant>
        <vt:lpwstr>http://onlinelibrary.wiley.com/doi/10.1111/1475-6773.12015/abstract</vt:lpwstr>
      </vt:variant>
      <vt:variant>
        <vt:lpwstr/>
      </vt:variant>
      <vt:variant>
        <vt:i4>79</vt:i4>
      </vt:variant>
      <vt:variant>
        <vt:i4>54</vt:i4>
      </vt:variant>
      <vt:variant>
        <vt:i4>0</vt:i4>
      </vt:variant>
      <vt:variant>
        <vt:i4>5</vt:i4>
      </vt:variant>
      <vt:variant>
        <vt:lpwstr>http://www.agid.acl.gov/</vt:lpwstr>
      </vt:variant>
      <vt:variant>
        <vt:lpwstr/>
      </vt:variant>
      <vt:variant>
        <vt:i4>79</vt:i4>
      </vt:variant>
      <vt:variant>
        <vt:i4>51</vt:i4>
      </vt:variant>
      <vt:variant>
        <vt:i4>0</vt:i4>
      </vt:variant>
      <vt:variant>
        <vt:i4>5</vt:i4>
      </vt:variant>
      <vt:variant>
        <vt:lpwstr>http://www.agid.acl.gov/</vt:lpwstr>
      </vt:variant>
      <vt:variant>
        <vt:lpwstr/>
      </vt:variant>
      <vt:variant>
        <vt:i4>4259848</vt:i4>
      </vt:variant>
      <vt:variant>
        <vt:i4>48</vt:i4>
      </vt:variant>
      <vt:variant>
        <vt:i4>0</vt:i4>
      </vt:variant>
      <vt:variant>
        <vt:i4>5</vt:i4>
      </vt:variant>
      <vt:variant>
        <vt:lpwstr>http://www.census.gov/popest/data/index.html</vt:lpwstr>
      </vt:variant>
      <vt:variant>
        <vt:lpwstr/>
      </vt:variant>
      <vt:variant>
        <vt:i4>79</vt:i4>
      </vt:variant>
      <vt:variant>
        <vt:i4>36</vt:i4>
      </vt:variant>
      <vt:variant>
        <vt:i4>0</vt:i4>
      </vt:variant>
      <vt:variant>
        <vt:i4>5</vt:i4>
      </vt:variant>
      <vt:variant>
        <vt:lpwstr>http://www.agid.acl.gov/</vt:lpwstr>
      </vt:variant>
      <vt:variant>
        <vt:lpwstr/>
      </vt:variant>
      <vt:variant>
        <vt:i4>79</vt:i4>
      </vt:variant>
      <vt:variant>
        <vt:i4>33</vt:i4>
      </vt:variant>
      <vt:variant>
        <vt:i4>0</vt:i4>
      </vt:variant>
      <vt:variant>
        <vt:i4>5</vt:i4>
      </vt:variant>
      <vt:variant>
        <vt:lpwstr>http://www.agid.acl.gov/</vt:lpwstr>
      </vt:variant>
      <vt:variant>
        <vt:lpwstr/>
      </vt:variant>
      <vt:variant>
        <vt:i4>79</vt:i4>
      </vt:variant>
      <vt:variant>
        <vt:i4>30</vt:i4>
      </vt:variant>
      <vt:variant>
        <vt:i4>0</vt:i4>
      </vt:variant>
      <vt:variant>
        <vt:i4>5</vt:i4>
      </vt:variant>
      <vt:variant>
        <vt:lpwstr>http://www.agid.acl.gov/</vt:lpwstr>
      </vt:variant>
      <vt:variant>
        <vt:lpwstr/>
      </vt:variant>
      <vt:variant>
        <vt:i4>5505038</vt:i4>
      </vt:variant>
      <vt:variant>
        <vt:i4>27</vt:i4>
      </vt:variant>
      <vt:variant>
        <vt:i4>0</vt:i4>
      </vt:variant>
      <vt:variant>
        <vt:i4>5</vt:i4>
      </vt:variant>
      <vt:variant>
        <vt:lpwstr>http://www.cms.gov/Research-Statistics-Data-and-Systems/Research/MCBS/Data-Tables-Items/2012CNP.html</vt:lpwstr>
      </vt:variant>
      <vt:variant>
        <vt:lpwstr/>
      </vt:variant>
      <vt:variant>
        <vt:i4>5505038</vt:i4>
      </vt:variant>
      <vt:variant>
        <vt:i4>24</vt:i4>
      </vt:variant>
      <vt:variant>
        <vt:i4>0</vt:i4>
      </vt:variant>
      <vt:variant>
        <vt:i4>5</vt:i4>
      </vt:variant>
      <vt:variant>
        <vt:lpwstr>http://www.cms.gov/Research-Statistics-Data-and-Systems/Research/MCBS/Data-Tables-Items/2012CNP.html</vt:lpwstr>
      </vt:variant>
      <vt:variant>
        <vt:lpwstr/>
      </vt:variant>
      <vt:variant>
        <vt:i4>5505038</vt:i4>
      </vt:variant>
      <vt:variant>
        <vt:i4>21</vt:i4>
      </vt:variant>
      <vt:variant>
        <vt:i4>0</vt:i4>
      </vt:variant>
      <vt:variant>
        <vt:i4>5</vt:i4>
      </vt:variant>
      <vt:variant>
        <vt:lpwstr>http://www.cms.gov/Research-Statistics-Data-and-Systems/Research/MCBS/Data-Tables-Items/2012CNP.html</vt:lpwstr>
      </vt:variant>
      <vt:variant>
        <vt:lpwstr/>
      </vt:variant>
      <vt:variant>
        <vt:i4>8192127</vt:i4>
      </vt:variant>
      <vt:variant>
        <vt:i4>18</vt:i4>
      </vt:variant>
      <vt:variant>
        <vt:i4>0</vt:i4>
      </vt:variant>
      <vt:variant>
        <vt:i4>5</vt:i4>
      </vt:variant>
      <vt:variant>
        <vt:lpwstr>http://www.census.gov/population/projections/data/national/2014/downloadablefiles.html</vt:lpwstr>
      </vt:variant>
      <vt:variant>
        <vt:lpwstr/>
      </vt:variant>
      <vt:variant>
        <vt:i4>4259848</vt:i4>
      </vt:variant>
      <vt:variant>
        <vt:i4>15</vt:i4>
      </vt:variant>
      <vt:variant>
        <vt:i4>0</vt:i4>
      </vt:variant>
      <vt:variant>
        <vt:i4>5</vt:i4>
      </vt:variant>
      <vt:variant>
        <vt:lpwstr>http://www.census.gov/popest/data/index.html</vt:lpwstr>
      </vt:variant>
      <vt:variant>
        <vt:lpwstr/>
      </vt:variant>
      <vt:variant>
        <vt:i4>79</vt:i4>
      </vt:variant>
      <vt:variant>
        <vt:i4>12</vt:i4>
      </vt:variant>
      <vt:variant>
        <vt:i4>0</vt:i4>
      </vt:variant>
      <vt:variant>
        <vt:i4>5</vt:i4>
      </vt:variant>
      <vt:variant>
        <vt:lpwstr>http://www.agid.acl.gov/</vt:lpwstr>
      </vt:variant>
      <vt:variant>
        <vt:lpwstr/>
      </vt:variant>
      <vt:variant>
        <vt:i4>79</vt:i4>
      </vt:variant>
      <vt:variant>
        <vt:i4>9</vt:i4>
      </vt:variant>
      <vt:variant>
        <vt:i4>0</vt:i4>
      </vt:variant>
      <vt:variant>
        <vt:i4>5</vt:i4>
      </vt:variant>
      <vt:variant>
        <vt:lpwstr>http://www.agid.acl.gov/</vt:lpwstr>
      </vt:variant>
      <vt:variant>
        <vt:lpwstr/>
      </vt:variant>
      <vt:variant>
        <vt:i4>5505038</vt:i4>
      </vt:variant>
      <vt:variant>
        <vt:i4>6</vt:i4>
      </vt:variant>
      <vt:variant>
        <vt:i4>0</vt:i4>
      </vt:variant>
      <vt:variant>
        <vt:i4>5</vt:i4>
      </vt:variant>
      <vt:variant>
        <vt:lpwstr>http://www.cms.gov/Research-Statistics-Data-and-Systems/Research/MCBS/Data-Tables-Items/2012CNP.html</vt:lpwstr>
      </vt:variant>
      <vt:variant>
        <vt:lpwstr/>
      </vt:variant>
      <vt:variant>
        <vt:i4>8192127</vt:i4>
      </vt:variant>
      <vt:variant>
        <vt:i4>3</vt:i4>
      </vt:variant>
      <vt:variant>
        <vt:i4>0</vt:i4>
      </vt:variant>
      <vt:variant>
        <vt:i4>5</vt:i4>
      </vt:variant>
      <vt:variant>
        <vt:lpwstr>http://www.census.gov/population/projections/data/national/2014/downloadablefiles.html</vt:lpwstr>
      </vt:variant>
      <vt:variant>
        <vt:lpwstr/>
      </vt:variant>
      <vt:variant>
        <vt:i4>4259848</vt:i4>
      </vt:variant>
      <vt:variant>
        <vt:i4>0</vt:i4>
      </vt:variant>
      <vt:variant>
        <vt:i4>0</vt:i4>
      </vt:variant>
      <vt:variant>
        <vt:i4>5</vt:i4>
      </vt:variant>
      <vt:variant>
        <vt:lpwstr>http://www.census.gov/popest/data/index.html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OAA Report to Congress (2017)</dc:title>
  <dc:creator/>
  <cp:lastModifiedBy/>
  <cp:revision>1</cp:revision>
  <dcterms:created xsi:type="dcterms:W3CDTF">2021-06-14T13:25:00Z</dcterms:created>
  <dcterms:modified xsi:type="dcterms:W3CDTF">2021-06-14T13:25:00Z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0x010100C0BEF6404866DB4D9982E0DAD74EB5A5</vt:lpwstr>
  </property>
</Properties>
</file>