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77D56" w14:textId="77777777" w:rsidR="007F116B" w:rsidRPr="00810096" w:rsidRDefault="007F116B" w:rsidP="007F116B">
      <w:pPr>
        <w:shd w:val="clear" w:color="auto" w:fill="FFFFFF"/>
        <w:rPr>
          <w:rFonts w:asciiTheme="minorHAnsi" w:eastAsia="Times New Roman" w:hAnsiTheme="minorHAnsi" w:cstheme="minorHAnsi"/>
          <w:b/>
          <w:sz w:val="22"/>
          <w:szCs w:val="22"/>
          <w:shd w:val="clear" w:color="auto" w:fill="FFFFFF"/>
        </w:rPr>
      </w:pPr>
      <w:bookmarkStart w:id="0" w:name="_GoBack"/>
      <w:bookmarkEnd w:id="0"/>
      <w:r>
        <w:rPr>
          <w:rFonts w:asciiTheme="minorHAnsi" w:eastAsia="Times New Roman" w:hAnsiTheme="minorHAnsi" w:cstheme="minorHAnsi"/>
          <w:b/>
          <w:sz w:val="22"/>
          <w:szCs w:val="22"/>
          <w:shd w:val="clear" w:color="auto" w:fill="FFFFFF"/>
        </w:rPr>
        <w:t>FAQs re:  HOME AND COMMUNITY-BASED SUPPORTIVE SERVICES</w:t>
      </w:r>
      <w:r w:rsidR="00CE2FBA">
        <w:rPr>
          <w:rFonts w:asciiTheme="minorHAnsi" w:eastAsia="Times New Roman" w:hAnsiTheme="minorHAnsi" w:cstheme="minorHAnsi"/>
          <w:b/>
          <w:sz w:val="22"/>
          <w:szCs w:val="22"/>
          <w:shd w:val="clear" w:color="auto" w:fill="FFFFFF"/>
        </w:rPr>
        <w:t xml:space="preserve"> and ELDER RIGHTS</w:t>
      </w:r>
    </w:p>
    <w:p w14:paraId="44500EC7" w14:textId="6E7DC670" w:rsidR="007F116B" w:rsidRDefault="00354F51" w:rsidP="007F116B">
      <w:pPr>
        <w:rPr>
          <w:rFonts w:asciiTheme="minorHAnsi" w:hAnsiTheme="minorHAnsi" w:cstheme="minorHAnsi"/>
          <w:sz w:val="22"/>
          <w:szCs w:val="22"/>
        </w:rPr>
      </w:pPr>
      <w:r>
        <w:rPr>
          <w:rFonts w:asciiTheme="minorHAnsi" w:hAnsiTheme="minorHAnsi" w:cs="Calibri"/>
          <w:i/>
          <w:sz w:val="22"/>
          <w:szCs w:val="22"/>
        </w:rPr>
        <w:t>As of March 12</w:t>
      </w:r>
      <w:r w:rsidR="007F116B">
        <w:rPr>
          <w:rFonts w:asciiTheme="minorHAnsi" w:hAnsiTheme="minorHAnsi" w:cs="Calibri"/>
          <w:i/>
          <w:sz w:val="22"/>
          <w:szCs w:val="22"/>
        </w:rPr>
        <w:t>, 2020</w:t>
      </w:r>
    </w:p>
    <w:p w14:paraId="4E53CD85" w14:textId="77777777" w:rsidR="00FE1EA7" w:rsidRDefault="00FE1EA7" w:rsidP="007F116B">
      <w:pPr>
        <w:pStyle w:val="NoSpacing"/>
      </w:pPr>
    </w:p>
    <w:p w14:paraId="0000505F" w14:textId="77777777" w:rsidR="00805900" w:rsidRPr="00805900" w:rsidRDefault="00805900" w:rsidP="00805900">
      <w:pPr>
        <w:pStyle w:val="NoSpacing"/>
        <w:numPr>
          <w:ilvl w:val="0"/>
          <w:numId w:val="1"/>
        </w:numPr>
        <w:rPr>
          <w:b/>
        </w:rPr>
      </w:pPr>
      <w:r w:rsidRPr="00805900">
        <w:rPr>
          <w:b/>
        </w:rPr>
        <w:t>How will COVID-19 impact the ability of providers to maintain in-home services and transportation?</w:t>
      </w:r>
    </w:p>
    <w:p w14:paraId="2717F2F4" w14:textId="77777777" w:rsidR="00805900" w:rsidRDefault="00805900" w:rsidP="00805900">
      <w:pPr>
        <w:pStyle w:val="NoSpacing"/>
        <w:ind w:left="720"/>
        <w:rPr>
          <w:b/>
        </w:rPr>
      </w:pPr>
    </w:p>
    <w:p w14:paraId="5CD03516" w14:textId="03A46EBF" w:rsidR="00805900" w:rsidRDefault="00805900" w:rsidP="00805900">
      <w:pPr>
        <w:pStyle w:val="NoSpacing"/>
        <w:ind w:left="720"/>
        <w:rPr>
          <w:rFonts w:eastAsia="Times New Roman" w:cstheme="minorHAnsi"/>
        </w:rPr>
      </w:pPr>
      <w:r w:rsidRPr="00AA072C">
        <w:rPr>
          <w:rFonts w:eastAsia="Times New Roman" w:cstheme="minorHAnsi"/>
        </w:rPr>
        <w:t xml:space="preserve">ACL recommends the local network follow state and local health department/local emergency management communications for the best information and accurate instructions for your community. </w:t>
      </w:r>
      <w:r w:rsidR="00354F51">
        <w:rPr>
          <w:rFonts w:eastAsia="Times New Roman" w:cstheme="minorHAnsi"/>
        </w:rPr>
        <w:t xml:space="preserve"> </w:t>
      </w:r>
      <w:r w:rsidRPr="00AA072C">
        <w:rPr>
          <w:rFonts w:eastAsia="Times New Roman" w:cstheme="minorHAnsi"/>
        </w:rPr>
        <w:t xml:space="preserve">The network should already have emergency protocol and </w:t>
      </w:r>
      <w:r w:rsidR="00E33B8A" w:rsidRPr="00AA072C">
        <w:rPr>
          <w:rFonts w:eastAsia="Times New Roman" w:cstheme="minorHAnsi"/>
        </w:rPr>
        <w:t>C</w:t>
      </w:r>
      <w:r w:rsidR="00E33B8A">
        <w:rPr>
          <w:rFonts w:eastAsia="Times New Roman" w:cstheme="minorHAnsi"/>
        </w:rPr>
        <w:t>ontinuity of Operations Plans (C</w:t>
      </w:r>
      <w:r w:rsidR="00E33B8A" w:rsidRPr="00AA072C">
        <w:rPr>
          <w:rFonts w:eastAsia="Times New Roman" w:cstheme="minorHAnsi"/>
        </w:rPr>
        <w:t>OOP</w:t>
      </w:r>
      <w:r w:rsidR="00E33B8A">
        <w:rPr>
          <w:rFonts w:eastAsia="Times New Roman" w:cstheme="minorHAnsi"/>
        </w:rPr>
        <w:t>)</w:t>
      </w:r>
      <w:r w:rsidR="00354F51">
        <w:rPr>
          <w:rFonts w:eastAsia="Times New Roman" w:cstheme="minorHAnsi"/>
        </w:rPr>
        <w:t xml:space="preserve"> </w:t>
      </w:r>
      <w:r w:rsidRPr="00AA072C">
        <w:rPr>
          <w:rFonts w:eastAsia="Times New Roman" w:cstheme="minorHAnsi"/>
        </w:rPr>
        <w:t>established.</w:t>
      </w:r>
      <w:r w:rsidR="00354F51">
        <w:rPr>
          <w:rFonts w:eastAsia="Times New Roman" w:cstheme="minorHAnsi"/>
        </w:rPr>
        <w:t xml:space="preserve"> </w:t>
      </w:r>
      <w:r w:rsidRPr="00AA072C">
        <w:rPr>
          <w:rFonts w:eastAsia="Times New Roman" w:cstheme="minorHAnsi"/>
        </w:rPr>
        <w:t xml:space="preserve"> Many policies should address situations such as suspension </w:t>
      </w:r>
      <w:r>
        <w:rPr>
          <w:rFonts w:eastAsia="Times New Roman" w:cstheme="minorHAnsi"/>
        </w:rPr>
        <w:t xml:space="preserve">of services </w:t>
      </w:r>
      <w:r w:rsidRPr="00AA072C">
        <w:rPr>
          <w:rFonts w:eastAsia="Times New Roman" w:cstheme="minorHAnsi"/>
        </w:rPr>
        <w:t>(due to inclement weather, for example) that can be adapted in the event your community requires a quarantine</w:t>
      </w:r>
      <w:r>
        <w:rPr>
          <w:rFonts w:eastAsia="Times New Roman" w:cstheme="minorHAnsi"/>
        </w:rPr>
        <w:t xml:space="preserve">. </w:t>
      </w:r>
    </w:p>
    <w:p w14:paraId="3A916855" w14:textId="77777777" w:rsidR="00AF5752" w:rsidRDefault="00AF5752" w:rsidP="00805900">
      <w:pPr>
        <w:pStyle w:val="NoSpacing"/>
        <w:ind w:left="720"/>
        <w:rPr>
          <w:rFonts w:eastAsia="Times New Roman" w:cstheme="minorHAnsi"/>
        </w:rPr>
      </w:pPr>
    </w:p>
    <w:p w14:paraId="775C4876" w14:textId="77777777" w:rsidR="00E33B8A" w:rsidRDefault="00E33B8A" w:rsidP="00E33B8A">
      <w:pPr>
        <w:pStyle w:val="NoSpacing"/>
        <w:ind w:left="720"/>
        <w:rPr>
          <w:rFonts w:eastAsia="Times New Roman" w:cstheme="minorHAnsi"/>
        </w:rPr>
      </w:pPr>
      <w:r>
        <w:rPr>
          <w:rFonts w:eastAsia="Times New Roman" w:cstheme="minorHAnsi"/>
        </w:rPr>
        <w:t>There may be a shortage of in-home workers due to their own illness, childcare issues, or a concern about serving multiple clients in one day.  You may wish to think about triaging your in-home clients and focusing on those activities, which are essential to completing activities of daily living and focus on those clients without informal support.  Similarly, transportation to essential activities (dialysis, medical treatments) should be prioritized and “group trips” minimized whenever possible.</w:t>
      </w:r>
    </w:p>
    <w:p w14:paraId="2A54D0ED" w14:textId="77777777" w:rsidR="00AF5752" w:rsidRDefault="00AF5752" w:rsidP="00805900">
      <w:pPr>
        <w:pStyle w:val="NoSpacing"/>
        <w:ind w:left="720"/>
        <w:rPr>
          <w:rFonts w:eastAsia="Times New Roman" w:cstheme="minorHAnsi"/>
        </w:rPr>
      </w:pPr>
    </w:p>
    <w:p w14:paraId="12DFE9E5" w14:textId="77777777" w:rsidR="00AF5752" w:rsidRPr="00AF5752" w:rsidRDefault="00AF5752" w:rsidP="00AF5752">
      <w:pPr>
        <w:pStyle w:val="NoSpacing"/>
        <w:numPr>
          <w:ilvl w:val="0"/>
          <w:numId w:val="1"/>
        </w:numPr>
        <w:rPr>
          <w:b/>
        </w:rPr>
      </w:pPr>
      <w:r w:rsidRPr="00AF5752">
        <w:rPr>
          <w:rFonts w:eastAsia="Times New Roman" w:cstheme="minorHAnsi"/>
          <w:b/>
        </w:rPr>
        <w:t>Does ACL have protocols or procedures for maintaining Privacy and Confidentiality (collecting and storing or processing private information from home computers on unsecured networks); Data Collection; and Assessments?</w:t>
      </w:r>
    </w:p>
    <w:p w14:paraId="331CA8D8" w14:textId="77777777" w:rsidR="00AF5752" w:rsidRDefault="00AF5752" w:rsidP="00AF5752">
      <w:pPr>
        <w:pStyle w:val="NoSpacing"/>
        <w:rPr>
          <w:rFonts w:eastAsia="Times New Roman" w:cstheme="minorHAnsi"/>
        </w:rPr>
      </w:pPr>
    </w:p>
    <w:p w14:paraId="6D863837" w14:textId="46D3EAEA" w:rsidR="00AF5752" w:rsidRDefault="00AF5752" w:rsidP="00AF5752">
      <w:pPr>
        <w:pStyle w:val="NoSpacing"/>
        <w:ind w:left="720"/>
        <w:rPr>
          <w:rFonts w:eastAsia="Times New Roman" w:cstheme="minorHAnsi"/>
        </w:rPr>
      </w:pPr>
      <w:r>
        <w:rPr>
          <w:rFonts w:eastAsia="Times New Roman" w:cstheme="minorHAnsi"/>
        </w:rPr>
        <w:t xml:space="preserve">No, ACL does not prescribe protocols for these areas.  Please check with your </w:t>
      </w:r>
      <w:r w:rsidR="00BF1A08">
        <w:rPr>
          <w:rFonts w:eastAsia="Times New Roman" w:cstheme="minorHAnsi"/>
        </w:rPr>
        <w:t>Chief Information Officer for guidance.</w:t>
      </w:r>
    </w:p>
    <w:p w14:paraId="71F3B1DB" w14:textId="77777777" w:rsidR="00BF1A08" w:rsidRDefault="00BF1A08" w:rsidP="00354F51">
      <w:pPr>
        <w:pStyle w:val="NoSpacing"/>
        <w:rPr>
          <w:rFonts w:eastAsia="Times New Roman" w:cstheme="minorHAnsi"/>
        </w:rPr>
      </w:pPr>
    </w:p>
    <w:p w14:paraId="2CFB1EFD" w14:textId="77777777" w:rsidR="00BF1A08" w:rsidRPr="00BF1A08" w:rsidRDefault="00BF1A08" w:rsidP="00BF1A08">
      <w:pPr>
        <w:pStyle w:val="NoSpacing"/>
        <w:numPr>
          <w:ilvl w:val="0"/>
          <w:numId w:val="1"/>
        </w:numPr>
        <w:rPr>
          <w:b/>
        </w:rPr>
      </w:pPr>
      <w:r w:rsidRPr="00BF1A08">
        <w:rPr>
          <w:rFonts w:eastAsia="Times New Roman" w:cstheme="minorHAnsi"/>
          <w:b/>
        </w:rPr>
        <w:t>Will ACL be issuing waivers to allow business functions to continue?</w:t>
      </w:r>
    </w:p>
    <w:p w14:paraId="3E6D1AFD" w14:textId="4F29CB3C" w:rsidR="00E33B8A" w:rsidRDefault="00E33B8A" w:rsidP="00354F51">
      <w:pPr>
        <w:pStyle w:val="NoSpacing"/>
        <w:rPr>
          <w:rFonts w:eastAsia="Times New Roman" w:cstheme="minorHAnsi"/>
        </w:rPr>
      </w:pPr>
    </w:p>
    <w:p w14:paraId="7AB13FA3" w14:textId="77777777" w:rsidR="00E33B8A" w:rsidRDefault="00E33B8A" w:rsidP="00E33B8A">
      <w:pPr>
        <w:pStyle w:val="NoSpacing"/>
        <w:ind w:left="720"/>
        <w:rPr>
          <w:rFonts w:eastAsia="Times New Roman" w:cstheme="minorHAnsi"/>
        </w:rPr>
      </w:pPr>
      <w:r>
        <w:rPr>
          <w:rFonts w:eastAsia="Times New Roman" w:cstheme="minorHAnsi"/>
        </w:rPr>
        <w:t xml:space="preserve">ACL will review submission deadlines and will provide flexibility as States indicate the need for additional time for required activities due to their inability to comply because of the impact of COVID-19. </w:t>
      </w:r>
    </w:p>
    <w:p w14:paraId="36351A58" w14:textId="77777777" w:rsidR="00CE2FBA" w:rsidRDefault="00CE2FBA" w:rsidP="00354F51">
      <w:pPr>
        <w:pStyle w:val="NoSpacing"/>
        <w:rPr>
          <w:rFonts w:eastAsia="Times New Roman" w:cstheme="minorHAnsi"/>
        </w:rPr>
      </w:pPr>
    </w:p>
    <w:p w14:paraId="2E4062EF" w14:textId="77777777" w:rsidR="00CE2FBA" w:rsidRPr="00CE2FBA" w:rsidRDefault="00CE2FBA" w:rsidP="00CE2FBA">
      <w:pPr>
        <w:pStyle w:val="NoSpacing"/>
        <w:numPr>
          <w:ilvl w:val="0"/>
          <w:numId w:val="1"/>
        </w:numPr>
        <w:rPr>
          <w:b/>
        </w:rPr>
      </w:pPr>
      <w:r w:rsidRPr="00CE2FBA">
        <w:rPr>
          <w:rFonts w:eastAsia="Times New Roman" w:cstheme="minorHAnsi"/>
          <w:b/>
        </w:rPr>
        <w:t>Are APS workers going to be considered law enforcement so that they get masks?</w:t>
      </w:r>
    </w:p>
    <w:p w14:paraId="772030CE" w14:textId="77777777" w:rsidR="00CE2FBA" w:rsidRDefault="00CE2FBA" w:rsidP="00CE2FBA">
      <w:pPr>
        <w:pStyle w:val="NoSpacing"/>
        <w:rPr>
          <w:rFonts w:eastAsia="Times New Roman" w:cstheme="minorHAnsi"/>
          <w:b/>
        </w:rPr>
      </w:pPr>
    </w:p>
    <w:p w14:paraId="28FD41B4" w14:textId="6343AB6F" w:rsidR="00CE2FBA" w:rsidRDefault="00CE2FBA" w:rsidP="00CE2FBA">
      <w:pPr>
        <w:pStyle w:val="NoSpacing"/>
        <w:ind w:left="720"/>
        <w:rPr>
          <w:rFonts w:eastAsia="Times New Roman" w:cstheme="minorHAnsi"/>
        </w:rPr>
      </w:pPr>
      <w:r>
        <w:rPr>
          <w:rFonts w:eastAsia="Times New Roman" w:cstheme="minorHAnsi"/>
        </w:rPr>
        <w:t>No, APS workers will not be considered law enforcement</w:t>
      </w:r>
      <w:r w:rsidR="00E33B8A">
        <w:rPr>
          <w:rFonts w:eastAsia="Times New Roman" w:cstheme="minorHAnsi"/>
        </w:rPr>
        <w:t xml:space="preserve">.  </w:t>
      </w:r>
      <w:r w:rsidR="00354F51">
        <w:rPr>
          <w:rFonts w:eastAsia="Times New Roman" w:cstheme="minorHAnsi"/>
        </w:rPr>
        <w:t>However, we</w:t>
      </w:r>
      <w:r>
        <w:rPr>
          <w:rFonts w:eastAsia="Times New Roman" w:cstheme="minorHAnsi"/>
        </w:rPr>
        <w:t xml:space="preserve"> are advocating that direct care workers and providers, APS workers and caregivers of the aging and disability networks are consider</w:t>
      </w:r>
      <w:r w:rsidR="003571B8">
        <w:rPr>
          <w:rFonts w:eastAsia="Times New Roman" w:cstheme="minorHAnsi"/>
        </w:rPr>
        <w:t>ed</w:t>
      </w:r>
      <w:r>
        <w:rPr>
          <w:rFonts w:eastAsia="Times New Roman" w:cstheme="minorHAnsi"/>
        </w:rPr>
        <w:t xml:space="preserve"> part of the overall healthcare workforce</w:t>
      </w:r>
      <w:r w:rsidR="00E33B8A">
        <w:rPr>
          <w:rFonts w:eastAsia="Times New Roman" w:cstheme="minorHAnsi"/>
        </w:rPr>
        <w:t>.  This is important</w:t>
      </w:r>
      <w:r>
        <w:rPr>
          <w:rFonts w:eastAsia="Times New Roman" w:cstheme="minorHAnsi"/>
        </w:rPr>
        <w:t xml:space="preserve"> for purposes of planning for federal support to states needing personal protective equipment</w:t>
      </w:r>
      <w:r w:rsidR="00354F51">
        <w:rPr>
          <w:rFonts w:eastAsia="Times New Roman" w:cstheme="minorHAnsi"/>
        </w:rPr>
        <w:t xml:space="preserve"> (PPE)</w:t>
      </w:r>
      <w:r>
        <w:rPr>
          <w:rFonts w:eastAsia="Times New Roman" w:cstheme="minorHAnsi"/>
        </w:rPr>
        <w:t xml:space="preserve">, such as </w:t>
      </w:r>
      <w:r w:rsidR="00354F51">
        <w:rPr>
          <w:rFonts w:eastAsia="Times New Roman" w:cstheme="minorHAnsi"/>
        </w:rPr>
        <w:t>facemasks</w:t>
      </w:r>
      <w:r w:rsidR="00E33B8A">
        <w:rPr>
          <w:rFonts w:eastAsia="Times New Roman" w:cstheme="minorHAnsi"/>
        </w:rPr>
        <w:t>, gloves and gowns.</w:t>
      </w:r>
      <w:r w:rsidR="00354F51">
        <w:rPr>
          <w:rFonts w:eastAsia="Times New Roman" w:cstheme="minorHAnsi"/>
        </w:rPr>
        <w:t xml:space="preserve">  State and local officials will make final decisions regarding distribution of PPE. </w:t>
      </w:r>
    </w:p>
    <w:p w14:paraId="16CE5B67" w14:textId="77777777" w:rsidR="00CE2FBA" w:rsidRDefault="00CE2FBA" w:rsidP="00CE2FBA">
      <w:pPr>
        <w:pStyle w:val="NoSpacing"/>
        <w:ind w:left="720"/>
        <w:rPr>
          <w:rFonts w:eastAsia="Times New Roman" w:cstheme="minorHAnsi"/>
        </w:rPr>
      </w:pPr>
    </w:p>
    <w:p w14:paraId="05953D10" w14:textId="77777777" w:rsidR="00CE2FBA" w:rsidRPr="00CE2FBA" w:rsidRDefault="00CE2FBA" w:rsidP="00CE2FBA">
      <w:pPr>
        <w:pStyle w:val="NoSpacing"/>
        <w:numPr>
          <w:ilvl w:val="0"/>
          <w:numId w:val="1"/>
        </w:numPr>
        <w:rPr>
          <w:b/>
        </w:rPr>
      </w:pPr>
      <w:r w:rsidRPr="00CE2FBA">
        <w:rPr>
          <w:rFonts w:eastAsia="Times New Roman" w:cstheme="minorHAnsi"/>
          <w:b/>
        </w:rPr>
        <w:t>Has ACL ever used its waiver authority for an emergency?</w:t>
      </w:r>
    </w:p>
    <w:p w14:paraId="49543C98" w14:textId="77777777" w:rsidR="00CE2FBA" w:rsidRDefault="00CE2FBA" w:rsidP="00CE2FBA">
      <w:pPr>
        <w:pStyle w:val="NoSpacing"/>
        <w:ind w:left="720"/>
        <w:rPr>
          <w:rFonts w:eastAsia="Times New Roman" w:cstheme="minorHAnsi"/>
        </w:rPr>
      </w:pPr>
    </w:p>
    <w:p w14:paraId="3FA56C62" w14:textId="4FB7E4CA" w:rsidR="00CE2FBA" w:rsidRPr="00CE2FBA" w:rsidRDefault="00CE2FBA" w:rsidP="00CE2FBA">
      <w:pPr>
        <w:pStyle w:val="NoSpacing"/>
        <w:ind w:left="720"/>
        <w:rPr>
          <w:b/>
        </w:rPr>
      </w:pPr>
      <w:r>
        <w:rPr>
          <w:rFonts w:eastAsia="Times New Roman" w:cstheme="minorHAnsi"/>
        </w:rPr>
        <w:t>The OAA waiver authority in Section 316 provides broad authority to waive</w:t>
      </w:r>
      <w:r w:rsidR="00FA2180">
        <w:rPr>
          <w:rFonts w:eastAsia="Times New Roman" w:cstheme="minorHAnsi"/>
        </w:rPr>
        <w:t xml:space="preserve"> (upon receiving an application from the state agency with sufficient documentation)</w:t>
      </w:r>
      <w:r>
        <w:rPr>
          <w:rFonts w:eastAsia="Times New Roman" w:cstheme="minorHAnsi"/>
        </w:rPr>
        <w:t xml:space="preserve"> state and area plan requirements requiring statewide uniformity or to promote innovations or improve service delivery.  In addition, Section 316(b</w:t>
      </w:r>
      <w:proofErr w:type="gramStart"/>
      <w:r>
        <w:rPr>
          <w:rFonts w:eastAsia="Times New Roman" w:cstheme="minorHAnsi"/>
        </w:rPr>
        <w:t>)(</w:t>
      </w:r>
      <w:proofErr w:type="gramEnd"/>
      <w:r>
        <w:rPr>
          <w:rFonts w:eastAsia="Times New Roman" w:cstheme="minorHAnsi"/>
        </w:rPr>
        <w:t xml:space="preserve">4) permits the waiver of any restriction of amounts related </w:t>
      </w:r>
      <w:r>
        <w:rPr>
          <w:rFonts w:eastAsia="Times New Roman" w:cstheme="minorHAnsi"/>
        </w:rPr>
        <w:lastRenderedPageBreak/>
        <w:t>to transfers between Parts B &amp; C.  In this regard, states have great flexibility to transfer funding to address needs beyond the 30% limit on transfers for these parts found in Section 308(b)(5)</w:t>
      </w:r>
      <w:r w:rsidR="00FD5BE2">
        <w:rPr>
          <w:rFonts w:eastAsia="Times New Roman" w:cstheme="minorHAnsi"/>
        </w:rPr>
        <w:t xml:space="preserve">(A). </w:t>
      </w:r>
    </w:p>
    <w:sectPr w:rsidR="00CE2FBA" w:rsidRPr="00CE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4347"/>
    <w:multiLevelType w:val="hybridMultilevel"/>
    <w:tmpl w:val="7598A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6B"/>
    <w:rsid w:val="00054705"/>
    <w:rsid w:val="00354F51"/>
    <w:rsid w:val="003571B8"/>
    <w:rsid w:val="003A0F30"/>
    <w:rsid w:val="007F116B"/>
    <w:rsid w:val="00805900"/>
    <w:rsid w:val="00AF5752"/>
    <w:rsid w:val="00BF1A08"/>
    <w:rsid w:val="00C25616"/>
    <w:rsid w:val="00CE2FBA"/>
    <w:rsid w:val="00D1091D"/>
    <w:rsid w:val="00E33B8A"/>
    <w:rsid w:val="00F15EA8"/>
    <w:rsid w:val="00FA2180"/>
    <w:rsid w:val="00FD5BE2"/>
    <w:rsid w:val="00FE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6CE7"/>
  <w15:chartTrackingRefBased/>
  <w15:docId w15:val="{84BB9AB9-65BD-4815-84A2-DAEC0D4F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16B"/>
    <w:pPr>
      <w:spacing w:after="0" w:line="240" w:lineRule="auto"/>
    </w:pPr>
  </w:style>
  <w:style w:type="paragraph" w:styleId="BalloonText">
    <w:name w:val="Balloon Text"/>
    <w:basedOn w:val="Normal"/>
    <w:link w:val="BalloonTextChar"/>
    <w:uiPriority w:val="99"/>
    <w:semiHidden/>
    <w:unhideWhenUsed/>
    <w:rsid w:val="00CE2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BA"/>
    <w:rPr>
      <w:rFonts w:ascii="Segoe UI" w:hAnsi="Segoe UI" w:cs="Segoe UI"/>
      <w:sz w:val="18"/>
      <w:szCs w:val="18"/>
    </w:rPr>
  </w:style>
  <w:style w:type="character" w:styleId="CommentReference">
    <w:name w:val="annotation reference"/>
    <w:basedOn w:val="DefaultParagraphFont"/>
    <w:uiPriority w:val="99"/>
    <w:semiHidden/>
    <w:unhideWhenUsed/>
    <w:rsid w:val="00E33B8A"/>
    <w:rPr>
      <w:sz w:val="16"/>
      <w:szCs w:val="16"/>
    </w:rPr>
  </w:style>
  <w:style w:type="paragraph" w:styleId="CommentText">
    <w:name w:val="annotation text"/>
    <w:basedOn w:val="Normal"/>
    <w:link w:val="CommentTextChar"/>
    <w:uiPriority w:val="99"/>
    <w:semiHidden/>
    <w:unhideWhenUsed/>
    <w:rsid w:val="00E33B8A"/>
    <w:rPr>
      <w:sz w:val="20"/>
      <w:szCs w:val="20"/>
    </w:rPr>
  </w:style>
  <w:style w:type="character" w:customStyle="1" w:styleId="CommentTextChar">
    <w:name w:val="Comment Text Char"/>
    <w:basedOn w:val="DefaultParagraphFont"/>
    <w:link w:val="CommentText"/>
    <w:uiPriority w:val="99"/>
    <w:semiHidden/>
    <w:rsid w:val="00E33B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B8A"/>
    <w:rPr>
      <w:b/>
      <w:bCs/>
    </w:rPr>
  </w:style>
  <w:style w:type="character" w:customStyle="1" w:styleId="CommentSubjectChar">
    <w:name w:val="Comment Subject Char"/>
    <w:basedOn w:val="CommentTextChar"/>
    <w:link w:val="CommentSubject"/>
    <w:uiPriority w:val="99"/>
    <w:semiHidden/>
    <w:rsid w:val="00E33B8A"/>
    <w:rPr>
      <w:rFonts w:ascii="Times New Roman" w:hAnsi="Times New Roman" w:cs="Times New Roman"/>
      <w:b/>
      <w:bCs/>
      <w:sz w:val="20"/>
      <w:szCs w:val="20"/>
    </w:rPr>
  </w:style>
  <w:style w:type="paragraph" w:styleId="Revision">
    <w:name w:val="Revision"/>
    <w:hidden/>
    <w:uiPriority w:val="99"/>
    <w:semiHidden/>
    <w:rsid w:val="00E33B8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B1E9-6E44-438B-AC5C-DF9B66E1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Edwin L. (ACL)</dc:creator>
  <cp:keywords/>
  <dc:description/>
  <cp:lastModifiedBy>Walker, Edwin L. (ACL)</cp:lastModifiedBy>
  <cp:revision>2</cp:revision>
  <cp:lastPrinted>2020-03-12T19:06:00Z</cp:lastPrinted>
  <dcterms:created xsi:type="dcterms:W3CDTF">2020-03-12T20:52:00Z</dcterms:created>
  <dcterms:modified xsi:type="dcterms:W3CDTF">2020-03-12T20:52:00Z</dcterms:modified>
</cp:coreProperties>
</file>