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56" w:rsidRDefault="00D70929" w:rsidP="00517B56">
      <w:pPr>
        <w:jc w:val="center"/>
        <w:rPr>
          <w:rFonts w:ascii="Century Gothic" w:hAnsi="Century Gothic"/>
          <w:b/>
          <w:sz w:val="44"/>
          <w:szCs w:val="44"/>
        </w:rPr>
      </w:pPr>
      <w:r w:rsidRPr="0051655F">
        <w:rPr>
          <w:rFonts w:ascii="Century Gothic" w:hAnsi="Century Gothic"/>
          <w:b/>
          <w:sz w:val="44"/>
          <w:szCs w:val="44"/>
        </w:rPr>
        <w:t>CORONAVIRUS DISEASE (COVID)-</w:t>
      </w:r>
      <w:r w:rsidR="00517B56" w:rsidRPr="0051655F">
        <w:rPr>
          <w:rFonts w:ascii="Century Gothic" w:hAnsi="Century Gothic"/>
          <w:b/>
          <w:sz w:val="44"/>
          <w:szCs w:val="44"/>
        </w:rPr>
        <w:t>19 GRANTS FREQUENTLY ASKED QUESTIONS</w:t>
      </w:r>
    </w:p>
    <w:p w:rsidR="00517B56" w:rsidRDefault="0051655F" w:rsidP="0051655F">
      <w:pPr>
        <w:spacing w:after="360"/>
        <w:rPr>
          <w:sz w:val="24"/>
          <w:szCs w:val="24"/>
        </w:rPr>
      </w:pPr>
      <w:r>
        <w:rPr>
          <w:rStyle w:val="SubtleEmphasis"/>
        </w:rPr>
        <w:t>March 30, 2020</w:t>
      </w:r>
    </w:p>
    <w:p w:rsidR="00517B56" w:rsidRPr="0051655F" w:rsidRDefault="00517B56" w:rsidP="00FF7B88">
      <w:pPr>
        <w:spacing w:line="276" w:lineRule="auto"/>
        <w:rPr>
          <w:rFonts w:cstheme="minorHAnsi"/>
        </w:rPr>
      </w:pPr>
      <w:r w:rsidRPr="0051655F">
        <w:rPr>
          <w:rFonts w:cstheme="minorHAnsi"/>
        </w:rPr>
        <w:t xml:space="preserve">The purpose of this document is to provide guidance to the ACL recipient community in response to questions related to Coronavirus Disease 2019 (COVD-19).  The list of Frequently Asked Questions below address questions raised by our recipient community.  We will continue to provide updated guidance and information as it becomes available. </w:t>
      </w:r>
    </w:p>
    <w:p w:rsidR="0000079C" w:rsidRPr="00C7414C" w:rsidRDefault="0000079C" w:rsidP="00C7414C">
      <w:pPr>
        <w:spacing w:after="0" w:line="240" w:lineRule="auto"/>
        <w:jc w:val="left"/>
        <w:rPr>
          <w:rFonts w:cstheme="minorHAnsi"/>
          <w:sz w:val="24"/>
          <w:szCs w:val="24"/>
        </w:rPr>
      </w:pPr>
    </w:p>
    <w:p w:rsidR="00D70929" w:rsidRPr="0051655F" w:rsidRDefault="006C088F" w:rsidP="00C7414C">
      <w:pPr>
        <w:pStyle w:val="ListParagraph"/>
        <w:numPr>
          <w:ilvl w:val="0"/>
          <w:numId w:val="12"/>
        </w:numPr>
        <w:spacing w:after="0" w:line="240" w:lineRule="auto"/>
        <w:jc w:val="left"/>
        <w:rPr>
          <w:rFonts w:ascii="Century Gothic" w:hAnsi="Century Gothic" w:cstheme="minorHAnsi"/>
          <w:b/>
          <w:i/>
        </w:rPr>
      </w:pPr>
      <w:r w:rsidRPr="0051655F">
        <w:rPr>
          <w:rFonts w:ascii="Century Gothic" w:hAnsi="Century Gothic" w:cstheme="minorHAnsi"/>
          <w:b/>
          <w:i/>
        </w:rPr>
        <w:t xml:space="preserve">If my </w:t>
      </w:r>
      <w:r w:rsidR="003D52D5" w:rsidRPr="0051655F">
        <w:rPr>
          <w:rFonts w:ascii="Century Gothic" w:hAnsi="Century Gothic" w:cstheme="minorHAnsi"/>
          <w:b/>
          <w:i/>
        </w:rPr>
        <w:t>System of Award Management (</w:t>
      </w:r>
      <w:r w:rsidR="00D70929" w:rsidRPr="0051655F">
        <w:rPr>
          <w:rFonts w:ascii="Century Gothic" w:hAnsi="Century Gothic" w:cstheme="minorHAnsi"/>
          <w:b/>
          <w:i/>
        </w:rPr>
        <w:t>SAM</w:t>
      </w:r>
      <w:r w:rsidR="003D52D5" w:rsidRPr="0051655F">
        <w:rPr>
          <w:rFonts w:ascii="Century Gothic" w:hAnsi="Century Gothic" w:cstheme="minorHAnsi"/>
          <w:b/>
          <w:i/>
        </w:rPr>
        <w:t>)</w:t>
      </w:r>
      <w:r w:rsidR="00D70929" w:rsidRPr="0051655F">
        <w:rPr>
          <w:rFonts w:ascii="Century Gothic" w:hAnsi="Century Gothic" w:cstheme="minorHAnsi"/>
          <w:b/>
          <w:i/>
        </w:rPr>
        <w:t xml:space="preserve"> registration</w:t>
      </w:r>
      <w:r w:rsidRPr="0051655F">
        <w:rPr>
          <w:rFonts w:ascii="Century Gothic" w:hAnsi="Century Gothic" w:cstheme="minorHAnsi"/>
          <w:b/>
          <w:i/>
        </w:rPr>
        <w:t xml:space="preserve"> is not active at the time of application, do I need to request an extension</w:t>
      </w:r>
      <w:r w:rsidR="00D70929" w:rsidRPr="0051655F">
        <w:rPr>
          <w:rFonts w:ascii="Century Gothic" w:hAnsi="Century Gothic" w:cstheme="minorHAnsi"/>
          <w:b/>
          <w:i/>
        </w:rPr>
        <w:t>?</w:t>
      </w:r>
    </w:p>
    <w:p w:rsidR="00D70929" w:rsidRDefault="00D70929" w:rsidP="00BD7FB8">
      <w:pPr>
        <w:spacing w:after="0" w:line="240" w:lineRule="auto"/>
        <w:jc w:val="left"/>
        <w:rPr>
          <w:rFonts w:cstheme="minorHAnsi"/>
          <w:sz w:val="24"/>
          <w:szCs w:val="24"/>
        </w:rPr>
      </w:pPr>
      <w:r w:rsidRPr="00C7414C">
        <w:rPr>
          <w:rFonts w:cstheme="minorHAnsi"/>
          <w:sz w:val="24"/>
          <w:szCs w:val="24"/>
        </w:rPr>
        <w:t xml:space="preserve">The General Services Administration (GSA) </w:t>
      </w:r>
      <w:r w:rsidR="003D52D5" w:rsidRPr="00C7414C">
        <w:rPr>
          <w:rFonts w:cstheme="minorHAnsi"/>
          <w:sz w:val="24"/>
          <w:szCs w:val="24"/>
        </w:rPr>
        <w:t>will automatically issue a 60 day extension</w:t>
      </w:r>
      <w:r w:rsidRPr="00C7414C">
        <w:rPr>
          <w:rFonts w:cstheme="minorHAnsi"/>
          <w:sz w:val="24"/>
          <w:szCs w:val="24"/>
        </w:rPr>
        <w:t xml:space="preserve"> to entities wit</w:t>
      </w:r>
      <w:r w:rsidR="003D52D5" w:rsidRPr="00C7414C">
        <w:rPr>
          <w:rFonts w:cstheme="minorHAnsi"/>
          <w:sz w:val="24"/>
          <w:szCs w:val="24"/>
        </w:rPr>
        <w:t xml:space="preserve">h </w:t>
      </w:r>
      <w:r w:rsidRPr="00C7414C">
        <w:rPr>
          <w:rFonts w:cstheme="minorHAnsi"/>
          <w:sz w:val="24"/>
          <w:szCs w:val="24"/>
        </w:rPr>
        <w:t xml:space="preserve">SAM </w:t>
      </w:r>
      <w:r w:rsidR="003D52D5" w:rsidRPr="00C7414C">
        <w:rPr>
          <w:rFonts w:cstheme="minorHAnsi"/>
          <w:sz w:val="24"/>
          <w:szCs w:val="24"/>
        </w:rPr>
        <w:t>expiration dates</w:t>
      </w:r>
      <w:r w:rsidRPr="00C7414C">
        <w:rPr>
          <w:rFonts w:cstheme="minorHAnsi"/>
          <w:sz w:val="24"/>
          <w:szCs w:val="24"/>
        </w:rPr>
        <w:t xml:space="preserve"> between Ma</w:t>
      </w:r>
      <w:r w:rsidR="00BD7FB8">
        <w:rPr>
          <w:rFonts w:cstheme="minorHAnsi"/>
          <w:sz w:val="24"/>
          <w:szCs w:val="24"/>
        </w:rPr>
        <w:t>rch 19, 2020 and May 17, 2020.</w:t>
      </w:r>
    </w:p>
    <w:p w:rsidR="00BD7FB8" w:rsidRPr="00BD7FB8" w:rsidRDefault="00BD7FB8" w:rsidP="00BD7FB8">
      <w:pPr>
        <w:spacing w:after="0" w:line="240" w:lineRule="auto"/>
        <w:jc w:val="left"/>
        <w:rPr>
          <w:rFonts w:cstheme="minorHAnsi"/>
          <w:sz w:val="24"/>
          <w:szCs w:val="24"/>
        </w:rPr>
      </w:pPr>
    </w:p>
    <w:p w:rsidR="001F4469" w:rsidRPr="0051655F" w:rsidRDefault="00E00C61" w:rsidP="0051655F">
      <w:pPr>
        <w:pStyle w:val="ListParagraph"/>
        <w:numPr>
          <w:ilvl w:val="0"/>
          <w:numId w:val="12"/>
        </w:numPr>
        <w:spacing w:after="0" w:line="240" w:lineRule="auto"/>
        <w:jc w:val="left"/>
        <w:rPr>
          <w:rFonts w:ascii="Century Gothic" w:hAnsi="Century Gothic" w:cstheme="minorHAnsi"/>
          <w:b/>
          <w:i/>
        </w:rPr>
      </w:pPr>
      <w:r w:rsidRPr="0051655F">
        <w:rPr>
          <w:rFonts w:ascii="Century Gothic" w:hAnsi="Century Gothic" w:cstheme="minorHAnsi"/>
          <w:b/>
          <w:i/>
        </w:rPr>
        <w:t>Is there guidance for the temporary reassignment of state, tribal, and local personnel during a declared federal public health emergency?</w:t>
      </w:r>
    </w:p>
    <w:p w:rsidR="001F4469" w:rsidRPr="00C7414C" w:rsidRDefault="001F4469" w:rsidP="00C7414C">
      <w:pPr>
        <w:spacing w:after="0" w:line="276" w:lineRule="auto"/>
        <w:jc w:val="left"/>
        <w:rPr>
          <w:rFonts w:cstheme="minorHAnsi"/>
          <w:sz w:val="24"/>
          <w:szCs w:val="24"/>
        </w:rPr>
      </w:pPr>
      <w:r w:rsidRPr="0051655F">
        <w:rPr>
          <w:rFonts w:cstheme="minorHAnsi"/>
          <w:sz w:val="24"/>
          <w:szCs w:val="24"/>
        </w:rPr>
        <w:t>A Governor of a state, local or tribal organization or their designee may request to temporarily reassign state and local public health department, tribal, or agency personnel funded in whole or in part through programs authorized under the PHS Act to immediately address a public health emergency in the state or Indian tribe during the period of the emergency. Detailed information, including Guidance for Temporary Reassignment of State and Local Personnel during a Public Health Emergency, is available on the</w:t>
      </w:r>
      <w:r w:rsidRPr="0051655F">
        <w:rPr>
          <w:rFonts w:cstheme="minorHAnsi"/>
          <w:color w:val="000000"/>
          <w:sz w:val="24"/>
          <w:szCs w:val="24"/>
        </w:rPr>
        <w:t> </w:t>
      </w:r>
      <w:hyperlink r:id="rId5" w:history="1">
        <w:r w:rsidRPr="0051655F">
          <w:rPr>
            <w:rStyle w:val="Hyperlink"/>
            <w:rFonts w:cstheme="minorHAnsi"/>
            <w:sz w:val="24"/>
            <w:szCs w:val="24"/>
            <w:bdr w:val="none" w:sz="0" w:space="0" w:color="auto" w:frame="1"/>
          </w:rPr>
          <w:t>Assistant Secretary for Preparedness and Response (ASPR)</w:t>
        </w:r>
      </w:hyperlink>
      <w:r w:rsidRPr="00C7414C">
        <w:rPr>
          <w:rFonts w:cstheme="minorHAnsi"/>
          <w:color w:val="000000"/>
          <w:sz w:val="24"/>
          <w:szCs w:val="24"/>
        </w:rPr>
        <w:t> </w:t>
      </w:r>
      <w:r w:rsidRPr="0051655F">
        <w:rPr>
          <w:rFonts w:cstheme="minorHAnsi"/>
          <w:sz w:val="24"/>
          <w:szCs w:val="24"/>
        </w:rPr>
        <w:t xml:space="preserve">website. To request the temporary reassignment of personnel, a state governor, tribal leader, or designee must complete the Request for the Temporary Reassignment of State, Tribal, and Local Personnel </w:t>
      </w:r>
      <w:r w:rsidR="00D821A4" w:rsidRPr="0051655F">
        <w:rPr>
          <w:rFonts w:cstheme="minorHAnsi"/>
          <w:sz w:val="24"/>
          <w:szCs w:val="24"/>
        </w:rPr>
        <w:t>during</w:t>
      </w:r>
      <w:r w:rsidRPr="0051655F">
        <w:rPr>
          <w:rFonts w:cstheme="minorHAnsi"/>
          <w:sz w:val="24"/>
          <w:szCs w:val="24"/>
        </w:rPr>
        <w:t xml:space="preserve"> a Public Health Emergency Declared by the HHS Secretary and submit it to </w:t>
      </w:r>
      <w:hyperlink r:id="rId6" w:history="1">
        <w:r w:rsidRPr="0051655F">
          <w:rPr>
            <w:rStyle w:val="Hyperlink"/>
            <w:rFonts w:cstheme="minorHAnsi"/>
            <w:sz w:val="24"/>
            <w:szCs w:val="24"/>
            <w:bdr w:val="none" w:sz="0" w:space="0" w:color="auto" w:frame="1"/>
          </w:rPr>
          <w:t>TemporaryReassignment@hhs.gov</w:t>
        </w:r>
      </w:hyperlink>
      <w:r w:rsidRPr="0051655F">
        <w:rPr>
          <w:rFonts w:cstheme="minorHAnsi"/>
          <w:color w:val="000000"/>
          <w:sz w:val="24"/>
          <w:szCs w:val="24"/>
        </w:rPr>
        <w:t xml:space="preserve">. </w:t>
      </w:r>
      <w:r w:rsidRPr="0051655F">
        <w:rPr>
          <w:rFonts w:cstheme="minorHAnsi"/>
          <w:sz w:val="24"/>
          <w:szCs w:val="24"/>
        </w:rPr>
        <w:t>Please ensure that the authorizing program legislation does not prohibit this provision.</w:t>
      </w:r>
    </w:p>
    <w:p w:rsidR="001F4469" w:rsidRPr="00C7414C" w:rsidRDefault="001F4469" w:rsidP="00C7414C">
      <w:pPr>
        <w:spacing w:after="0"/>
        <w:jc w:val="left"/>
        <w:rPr>
          <w:rFonts w:cstheme="minorHAnsi"/>
          <w:sz w:val="24"/>
          <w:szCs w:val="24"/>
        </w:rPr>
      </w:pPr>
    </w:p>
    <w:p w:rsidR="00E00C61" w:rsidRPr="0051655F" w:rsidRDefault="00503B35" w:rsidP="00503B35">
      <w:pPr>
        <w:shd w:val="clear" w:color="auto" w:fill="FFFFFF"/>
        <w:spacing w:before="100" w:beforeAutospacing="1" w:after="100" w:afterAutospacing="1" w:line="276" w:lineRule="auto"/>
        <w:jc w:val="left"/>
        <w:rPr>
          <w:rFonts w:cstheme="minorHAnsi"/>
          <w:sz w:val="24"/>
          <w:szCs w:val="24"/>
        </w:rPr>
      </w:pPr>
      <w:r w:rsidRPr="00C7414C">
        <w:rPr>
          <w:rFonts w:cstheme="minorHAnsi"/>
          <w:b/>
          <w:bCs/>
          <w:color w:val="000000"/>
          <w:sz w:val="24"/>
          <w:szCs w:val="24"/>
        </w:rPr>
        <w:t>3</w:t>
      </w:r>
      <w:r w:rsidR="001811D7" w:rsidRPr="00C7414C">
        <w:rPr>
          <w:rFonts w:cstheme="minorHAnsi"/>
          <w:b/>
          <w:bCs/>
          <w:color w:val="000000"/>
          <w:sz w:val="24"/>
          <w:szCs w:val="24"/>
        </w:rPr>
        <w:t xml:space="preserve">. </w:t>
      </w:r>
      <w:r w:rsidRPr="00C7414C">
        <w:rPr>
          <w:rFonts w:cstheme="minorHAnsi"/>
          <w:b/>
          <w:bCs/>
          <w:color w:val="000000"/>
          <w:sz w:val="24"/>
          <w:szCs w:val="24"/>
        </w:rPr>
        <w:t xml:space="preserve"> </w:t>
      </w:r>
      <w:r w:rsidR="00E00C61" w:rsidRPr="0051655F">
        <w:rPr>
          <w:rFonts w:ascii="Century Gothic" w:hAnsi="Century Gothic" w:cstheme="minorHAnsi"/>
          <w:b/>
          <w:i/>
        </w:rPr>
        <w:t>Can recipients redirect funds within their cooperative agreement to COVID-19 activities?</w:t>
      </w:r>
      <w:r w:rsidR="00E00C61" w:rsidRPr="0051655F">
        <w:rPr>
          <w:rFonts w:ascii="Century Gothic" w:hAnsi="Century Gothic" w:cstheme="minorHAnsi"/>
          <w:b/>
          <w:i/>
        </w:rPr>
        <w:br/>
      </w:r>
      <w:r w:rsidR="00E00C61" w:rsidRPr="0051655F">
        <w:rPr>
          <w:rFonts w:cstheme="minorHAnsi"/>
          <w:sz w:val="24"/>
          <w:szCs w:val="24"/>
        </w:rPr>
        <w:t xml:space="preserve">Redirection of funds may be allowable when the funds that will be redirected for COVID-19 activities are within the scope of the current award and the award’s statutory authority and do not duplicate activities with other </w:t>
      </w:r>
      <w:r w:rsidR="00850B41" w:rsidRPr="0051655F">
        <w:rPr>
          <w:rFonts w:cstheme="minorHAnsi"/>
          <w:sz w:val="24"/>
          <w:szCs w:val="24"/>
        </w:rPr>
        <w:t xml:space="preserve">ACL </w:t>
      </w:r>
      <w:r w:rsidR="00E00C61" w:rsidRPr="0051655F">
        <w:rPr>
          <w:rFonts w:cstheme="minorHAnsi"/>
          <w:sz w:val="24"/>
          <w:szCs w:val="24"/>
        </w:rPr>
        <w:t xml:space="preserve">funded and federally funded activities.  Please contact your assigned </w:t>
      </w:r>
      <w:r w:rsidR="005710F5" w:rsidRPr="0051655F">
        <w:rPr>
          <w:rFonts w:cstheme="minorHAnsi"/>
          <w:sz w:val="24"/>
          <w:szCs w:val="24"/>
        </w:rPr>
        <w:t xml:space="preserve">Project Officer for </w:t>
      </w:r>
      <w:r w:rsidR="00E00C61" w:rsidRPr="0051655F">
        <w:rPr>
          <w:rFonts w:cstheme="minorHAnsi"/>
          <w:sz w:val="24"/>
          <w:szCs w:val="24"/>
        </w:rPr>
        <w:t>further guidance.</w:t>
      </w:r>
    </w:p>
    <w:p w:rsidR="00C7414C" w:rsidRDefault="001811D7" w:rsidP="00D07548">
      <w:pPr>
        <w:shd w:val="clear" w:color="auto" w:fill="FFFFFF"/>
        <w:spacing w:beforeAutospacing="1" w:afterAutospacing="1" w:line="276" w:lineRule="auto"/>
        <w:jc w:val="left"/>
        <w:rPr>
          <w:rFonts w:cstheme="minorHAnsi"/>
          <w:sz w:val="24"/>
          <w:szCs w:val="24"/>
        </w:rPr>
      </w:pPr>
      <w:r w:rsidRPr="00C7414C">
        <w:rPr>
          <w:rFonts w:cstheme="minorHAnsi"/>
          <w:b/>
          <w:bCs/>
          <w:color w:val="000000"/>
          <w:sz w:val="24"/>
          <w:szCs w:val="24"/>
        </w:rPr>
        <w:t xml:space="preserve">4. </w:t>
      </w:r>
      <w:r w:rsidR="00B45260" w:rsidRPr="0051655F">
        <w:rPr>
          <w:rFonts w:ascii="Century Gothic" w:hAnsi="Century Gothic" w:cstheme="minorHAnsi"/>
          <w:b/>
          <w:i/>
        </w:rPr>
        <w:t xml:space="preserve">Will </w:t>
      </w:r>
      <w:r w:rsidR="002E0592" w:rsidRPr="0051655F">
        <w:rPr>
          <w:rFonts w:ascii="Century Gothic" w:hAnsi="Century Gothic" w:cstheme="minorHAnsi"/>
          <w:b/>
          <w:i/>
        </w:rPr>
        <w:t>recipients be reimbursed for costs incurred for cancel</w:t>
      </w:r>
      <w:r w:rsidR="00E00C61" w:rsidRPr="0051655F">
        <w:rPr>
          <w:rFonts w:ascii="Century Gothic" w:hAnsi="Century Gothic" w:cstheme="minorHAnsi"/>
          <w:b/>
          <w:i/>
        </w:rPr>
        <w:t>l</w:t>
      </w:r>
      <w:r w:rsidR="002E0592" w:rsidRPr="0051655F">
        <w:rPr>
          <w:rFonts w:ascii="Century Gothic" w:hAnsi="Century Gothic" w:cstheme="minorHAnsi"/>
          <w:b/>
          <w:i/>
        </w:rPr>
        <w:t>ed meetings, travel, conferences?</w:t>
      </w:r>
      <w:r w:rsidR="002E0592" w:rsidRPr="0051655F">
        <w:rPr>
          <w:rFonts w:ascii="Century Gothic" w:hAnsi="Century Gothic" w:cstheme="minorHAnsi"/>
          <w:b/>
          <w:i/>
        </w:rPr>
        <w:br/>
      </w:r>
      <w:r w:rsidR="002E0592" w:rsidRPr="00C7414C">
        <w:rPr>
          <w:rFonts w:cstheme="minorHAnsi"/>
          <w:sz w:val="24"/>
          <w:szCs w:val="24"/>
        </w:rPr>
        <w:t>On March 19, 2020, the Office of Management and Budget (OMB) issued Memorandum </w:t>
      </w:r>
    </w:p>
    <w:p w:rsidR="002E0592" w:rsidRPr="0051655F" w:rsidRDefault="00BB65D2" w:rsidP="00D07548">
      <w:pPr>
        <w:shd w:val="clear" w:color="auto" w:fill="FFFFFF"/>
        <w:spacing w:beforeAutospacing="1" w:afterAutospacing="1" w:line="276" w:lineRule="auto"/>
        <w:jc w:val="left"/>
        <w:rPr>
          <w:rFonts w:cstheme="minorHAnsi"/>
          <w:sz w:val="24"/>
          <w:szCs w:val="24"/>
        </w:rPr>
      </w:pPr>
      <w:hyperlink r:id="rId7" w:tgtFrame="new" w:history="1">
        <w:r w:rsidR="002E0592" w:rsidRPr="00C7414C">
          <w:rPr>
            <w:rFonts w:cstheme="minorHAnsi"/>
            <w:sz w:val="24"/>
            <w:szCs w:val="24"/>
          </w:rPr>
          <w:t>M-20-17</w:t>
        </w:r>
      </w:hyperlink>
      <w:r w:rsidR="00D07548" w:rsidRPr="00C7414C">
        <w:rPr>
          <w:rFonts w:cstheme="minorHAnsi"/>
          <w:sz w:val="24"/>
          <w:szCs w:val="24"/>
        </w:rPr>
        <w:t xml:space="preserve"> </w:t>
      </w:r>
      <w:r w:rsidR="002E0592" w:rsidRPr="00C7414C">
        <w:rPr>
          <w:rFonts w:cstheme="minorHAnsi"/>
          <w:sz w:val="24"/>
          <w:szCs w:val="24"/>
        </w:rPr>
        <w:t xml:space="preserve">that </w:t>
      </w:r>
      <w:r w:rsidR="002E0592" w:rsidRPr="0051655F">
        <w:rPr>
          <w:rFonts w:cstheme="minorHAnsi"/>
          <w:sz w:val="24"/>
          <w:szCs w:val="24"/>
        </w:rPr>
        <w:t xml:space="preserve">provides administrative, financial management, and audit reporting relief for recipients and applicants of federal financial assistance directly impacted by COVID-19. </w:t>
      </w:r>
      <w:r w:rsidR="00527C09" w:rsidRPr="0051655F">
        <w:rPr>
          <w:rFonts w:cstheme="minorHAnsi"/>
          <w:sz w:val="24"/>
          <w:szCs w:val="24"/>
        </w:rPr>
        <w:t xml:space="preserve">ACL </w:t>
      </w:r>
      <w:r w:rsidR="002E0592" w:rsidRPr="0051655F">
        <w:rPr>
          <w:rFonts w:cstheme="minorHAnsi"/>
          <w:sz w:val="24"/>
          <w:szCs w:val="24"/>
        </w:rPr>
        <w:t xml:space="preserve">can allow recipients to charge costs to the award such as the cancellation of events, travel, or the pausing and restarting of grant-funded activities due to the public health emergency. Recipients are required to maintain records and documentation to substantiate the cost.  </w:t>
      </w:r>
    </w:p>
    <w:p w:rsidR="002E0592" w:rsidRPr="0051655F" w:rsidRDefault="001811D7" w:rsidP="00D07548">
      <w:pPr>
        <w:shd w:val="clear" w:color="auto" w:fill="FFFFFF"/>
        <w:spacing w:before="100" w:beforeAutospacing="1" w:after="100" w:afterAutospacing="1" w:line="276" w:lineRule="auto"/>
        <w:jc w:val="left"/>
        <w:rPr>
          <w:rFonts w:cstheme="minorHAnsi"/>
          <w:sz w:val="24"/>
          <w:szCs w:val="24"/>
        </w:rPr>
      </w:pPr>
      <w:r w:rsidRPr="00C7414C">
        <w:rPr>
          <w:rFonts w:cstheme="minorHAnsi"/>
          <w:b/>
          <w:bCs/>
          <w:color w:val="000000"/>
          <w:sz w:val="24"/>
          <w:szCs w:val="24"/>
        </w:rPr>
        <w:t>5.</w:t>
      </w:r>
      <w:r w:rsidRPr="0051655F">
        <w:rPr>
          <w:rFonts w:ascii="Century Gothic" w:hAnsi="Century Gothic" w:cstheme="minorHAnsi"/>
          <w:b/>
          <w:i/>
        </w:rPr>
        <w:t xml:space="preserve"> </w:t>
      </w:r>
      <w:r w:rsidR="002E0592" w:rsidRPr="0051655F">
        <w:rPr>
          <w:rFonts w:ascii="Century Gothic" w:hAnsi="Century Gothic" w:cstheme="minorHAnsi"/>
          <w:b/>
          <w:i/>
        </w:rPr>
        <w:t>Can recipients charge salaries to federal awards when personnel are not able to work due</w:t>
      </w:r>
      <w:r w:rsidR="00D32231" w:rsidRPr="0051655F">
        <w:rPr>
          <w:rFonts w:ascii="Century Gothic" w:hAnsi="Century Gothic" w:cstheme="minorHAnsi"/>
          <w:b/>
          <w:i/>
        </w:rPr>
        <w:t xml:space="preserve"> </w:t>
      </w:r>
      <w:r w:rsidR="002E0592" w:rsidRPr="0051655F">
        <w:rPr>
          <w:rFonts w:ascii="Century Gothic" w:hAnsi="Century Gothic" w:cstheme="minorHAnsi"/>
          <w:b/>
          <w:i/>
        </w:rPr>
        <w:t>to COVID-19 office closures or similar disruptions?</w:t>
      </w:r>
      <w:r w:rsidR="002E0592" w:rsidRPr="0051655F">
        <w:rPr>
          <w:rFonts w:ascii="Century Gothic" w:hAnsi="Century Gothic" w:cstheme="minorHAnsi"/>
          <w:b/>
          <w:i/>
        </w:rPr>
        <w:br/>
      </w:r>
      <w:r w:rsidR="002E0592" w:rsidRPr="0051655F">
        <w:rPr>
          <w:rFonts w:cstheme="minorHAnsi"/>
          <w:sz w:val="24"/>
          <w:szCs w:val="24"/>
        </w:rPr>
        <w:t xml:space="preserve">On March </w:t>
      </w:r>
      <w:r w:rsidR="002E0592" w:rsidRPr="00C7414C">
        <w:rPr>
          <w:rFonts w:cstheme="minorHAnsi"/>
          <w:sz w:val="24"/>
          <w:szCs w:val="24"/>
        </w:rPr>
        <w:t>19, 2020, the Office of Management and Budget (OMB) issued Memorandum </w:t>
      </w:r>
      <w:hyperlink r:id="rId8" w:tgtFrame="new" w:history="1">
        <w:r w:rsidR="002E0592" w:rsidRPr="00C7414C">
          <w:rPr>
            <w:rFonts w:cstheme="minorHAnsi"/>
            <w:sz w:val="24"/>
            <w:szCs w:val="24"/>
          </w:rPr>
          <w:t>M-20-17</w:t>
        </w:r>
        <w:r w:rsidR="00527C09" w:rsidRPr="00C7414C">
          <w:rPr>
            <w:rFonts w:cstheme="minorHAnsi"/>
            <w:sz w:val="24"/>
            <w:szCs w:val="24"/>
          </w:rPr>
          <w:t xml:space="preserve"> </w:t>
        </w:r>
      </w:hyperlink>
      <w:r w:rsidR="002E0592" w:rsidRPr="0051655F">
        <w:rPr>
          <w:rFonts w:cstheme="minorHAnsi"/>
          <w:sz w:val="24"/>
          <w:szCs w:val="24"/>
        </w:rPr>
        <w:t xml:space="preserve">that provides administrative, financial management, and audit reporting relief for recipients and applicants of federal financial assistance directly impacted by COVID-19. Recipients may continue to charge salaries and benefits to currently active federal awards consistent with the recipients’ policy of paying salaries (under unexpected or extraordinary circumstances) from all funding sources. Recipients are required to maintain records and documentation to substantiate the cost, including reference to the recipients’ salary policy. </w:t>
      </w:r>
    </w:p>
    <w:p w:rsidR="001F4469" w:rsidRPr="0051655F" w:rsidRDefault="001811D7" w:rsidP="00D07548">
      <w:pPr>
        <w:pStyle w:val="NormalWeb"/>
        <w:spacing w:before="0" w:beforeAutospacing="0" w:after="0" w:afterAutospacing="0" w:line="336" w:lineRule="atLeast"/>
        <w:jc w:val="left"/>
        <w:textAlignment w:val="baseline"/>
        <w:rPr>
          <w:rFonts w:ascii="Century Gothic" w:eastAsiaTheme="minorEastAsia" w:hAnsi="Century Gothic" w:cstheme="minorHAnsi"/>
          <w:b/>
          <w:i/>
          <w:sz w:val="22"/>
          <w:szCs w:val="22"/>
        </w:rPr>
      </w:pPr>
      <w:r w:rsidRPr="00C7414C">
        <w:rPr>
          <w:rStyle w:val="Strong"/>
          <w:rFonts w:asciiTheme="minorHAnsi" w:hAnsiTheme="minorHAnsi" w:cstheme="minorHAnsi"/>
          <w:color w:val="000000"/>
          <w:bdr w:val="none" w:sz="0" w:space="0" w:color="auto" w:frame="1"/>
        </w:rPr>
        <w:t xml:space="preserve">6. </w:t>
      </w:r>
      <w:r w:rsidR="00035AE1" w:rsidRPr="0051655F">
        <w:rPr>
          <w:rFonts w:ascii="Century Gothic" w:eastAsiaTheme="minorEastAsia" w:hAnsi="Century Gothic"/>
          <w:b/>
          <w:bCs/>
          <w:i/>
          <w:sz w:val="22"/>
          <w:szCs w:val="22"/>
        </w:rPr>
        <w:t xml:space="preserve">Will grant application submission deadlines be extended? </w:t>
      </w:r>
    </w:p>
    <w:p w:rsidR="001F4469" w:rsidRPr="0051655F" w:rsidRDefault="001F4469" w:rsidP="007A271F">
      <w:pPr>
        <w:pStyle w:val="NormalWeb"/>
        <w:spacing w:before="0" w:beforeAutospacing="0" w:after="0" w:afterAutospacing="0" w:line="336" w:lineRule="atLeast"/>
        <w:jc w:val="left"/>
        <w:textAlignment w:val="baseline"/>
        <w:rPr>
          <w:rFonts w:asciiTheme="minorHAnsi" w:eastAsiaTheme="minorEastAsia" w:hAnsiTheme="minorHAnsi" w:cstheme="minorHAnsi"/>
        </w:rPr>
      </w:pPr>
      <w:r w:rsidRPr="0051655F">
        <w:rPr>
          <w:rFonts w:asciiTheme="minorHAnsi" w:eastAsiaTheme="minorEastAsia" w:hAnsiTheme="minorHAnsi" w:cstheme="minorHAnsi"/>
        </w:rPr>
        <w:t xml:space="preserve">At this </w:t>
      </w:r>
      <w:r w:rsidR="00035AE1" w:rsidRPr="0051655F">
        <w:rPr>
          <w:rFonts w:asciiTheme="minorHAnsi" w:eastAsiaTheme="minorEastAsia" w:hAnsiTheme="minorHAnsi" w:cstheme="minorHAnsi"/>
        </w:rPr>
        <w:t>time, the submission deadline for ACL NOFOs remain unchanged.  We encourage you</w:t>
      </w:r>
      <w:r w:rsidR="00337207" w:rsidRPr="0051655F">
        <w:rPr>
          <w:rFonts w:asciiTheme="minorHAnsi" w:eastAsiaTheme="minorEastAsia" w:hAnsiTheme="minorHAnsi" w:cstheme="minorHAnsi"/>
        </w:rPr>
        <w:t xml:space="preserve"> </w:t>
      </w:r>
      <w:r w:rsidR="003E14C3" w:rsidRPr="0051655F">
        <w:rPr>
          <w:rFonts w:asciiTheme="minorHAnsi" w:eastAsiaTheme="minorEastAsia" w:hAnsiTheme="minorHAnsi" w:cstheme="minorHAnsi"/>
        </w:rPr>
        <w:t>to submit</w:t>
      </w:r>
      <w:r w:rsidRPr="0051655F">
        <w:rPr>
          <w:rFonts w:asciiTheme="minorHAnsi" w:eastAsiaTheme="minorEastAsia" w:hAnsiTheme="minorHAnsi" w:cstheme="minorHAnsi"/>
        </w:rPr>
        <w:t xml:space="preserve"> an application prior to the published deadline in Grants.gov. We will continue to monitor and assess if</w:t>
      </w:r>
      <w:r w:rsidR="00035AE1" w:rsidRPr="0051655F">
        <w:rPr>
          <w:rFonts w:asciiTheme="minorHAnsi" w:eastAsiaTheme="minorEastAsia" w:hAnsiTheme="minorHAnsi" w:cstheme="minorHAnsi"/>
        </w:rPr>
        <w:t xml:space="preserve"> </w:t>
      </w:r>
      <w:r w:rsidR="0074446B" w:rsidRPr="0051655F">
        <w:rPr>
          <w:rFonts w:asciiTheme="minorHAnsi" w:eastAsiaTheme="minorEastAsia" w:hAnsiTheme="minorHAnsi" w:cstheme="minorHAnsi"/>
        </w:rPr>
        <w:t>d</w:t>
      </w:r>
      <w:r w:rsidR="00035AE1" w:rsidRPr="0051655F">
        <w:rPr>
          <w:rFonts w:asciiTheme="minorHAnsi" w:eastAsiaTheme="minorEastAsia" w:hAnsiTheme="minorHAnsi" w:cstheme="minorHAnsi"/>
        </w:rPr>
        <w:t>eadline</w:t>
      </w:r>
      <w:r w:rsidR="0074446B" w:rsidRPr="0051655F">
        <w:rPr>
          <w:rFonts w:asciiTheme="minorHAnsi" w:eastAsiaTheme="minorEastAsia" w:hAnsiTheme="minorHAnsi" w:cstheme="minorHAnsi"/>
        </w:rPr>
        <w:t>s</w:t>
      </w:r>
      <w:r w:rsidR="00035AE1" w:rsidRPr="0051655F">
        <w:rPr>
          <w:rFonts w:asciiTheme="minorHAnsi" w:eastAsiaTheme="minorEastAsia" w:hAnsiTheme="minorHAnsi" w:cstheme="minorHAnsi"/>
        </w:rPr>
        <w:t xml:space="preserve"> for </w:t>
      </w:r>
      <w:r w:rsidR="0074446B" w:rsidRPr="0051655F">
        <w:rPr>
          <w:rFonts w:asciiTheme="minorHAnsi" w:eastAsiaTheme="minorEastAsia" w:hAnsiTheme="minorHAnsi" w:cstheme="minorHAnsi"/>
        </w:rPr>
        <w:t xml:space="preserve">grant application submissions </w:t>
      </w:r>
      <w:r w:rsidR="00035AE1" w:rsidRPr="0051655F">
        <w:rPr>
          <w:rFonts w:asciiTheme="minorHAnsi" w:eastAsiaTheme="minorEastAsia" w:hAnsiTheme="minorHAnsi" w:cstheme="minorHAnsi"/>
        </w:rPr>
        <w:t xml:space="preserve">need to be extended.  </w:t>
      </w:r>
      <w:r w:rsidR="0074446B" w:rsidRPr="0051655F">
        <w:rPr>
          <w:rFonts w:asciiTheme="minorHAnsi" w:eastAsiaTheme="minorEastAsia" w:hAnsiTheme="minorHAnsi" w:cstheme="minorHAnsi"/>
        </w:rPr>
        <w:t xml:space="preserve">Please contact your Program Officer for additional guidance. </w:t>
      </w:r>
    </w:p>
    <w:p w:rsidR="00035AE1" w:rsidRPr="00C7414C" w:rsidRDefault="00035AE1" w:rsidP="007A271F">
      <w:pPr>
        <w:pStyle w:val="NormalWeb"/>
        <w:spacing w:before="0" w:beforeAutospacing="0" w:after="0" w:afterAutospacing="0" w:line="336" w:lineRule="atLeast"/>
        <w:jc w:val="left"/>
        <w:textAlignment w:val="baseline"/>
        <w:rPr>
          <w:rFonts w:asciiTheme="minorHAnsi" w:hAnsiTheme="minorHAnsi" w:cstheme="minorHAnsi"/>
          <w:color w:val="000000"/>
        </w:rPr>
      </w:pPr>
    </w:p>
    <w:p w:rsidR="00884164" w:rsidRPr="00C7414C" w:rsidRDefault="00E82CEA" w:rsidP="00D07548">
      <w:pPr>
        <w:pStyle w:val="NormalWeb"/>
        <w:spacing w:before="0" w:beforeAutospacing="0" w:after="0" w:afterAutospacing="0" w:line="336" w:lineRule="atLeast"/>
        <w:jc w:val="left"/>
        <w:textAlignment w:val="baseline"/>
        <w:rPr>
          <w:rFonts w:asciiTheme="minorHAnsi" w:hAnsiTheme="minorHAnsi" w:cstheme="minorHAnsi"/>
          <w:b/>
          <w:color w:val="000000"/>
        </w:rPr>
      </w:pPr>
      <w:r w:rsidRPr="00C7414C">
        <w:rPr>
          <w:rFonts w:asciiTheme="minorHAnsi" w:hAnsiTheme="minorHAnsi" w:cstheme="minorHAnsi"/>
          <w:b/>
          <w:color w:val="000000"/>
        </w:rPr>
        <w:t xml:space="preserve">7. </w:t>
      </w:r>
      <w:r w:rsidR="00884164" w:rsidRPr="0051655F">
        <w:rPr>
          <w:rFonts w:ascii="Century Gothic" w:eastAsiaTheme="minorEastAsia" w:hAnsi="Century Gothic"/>
          <w:b/>
          <w:bCs/>
          <w:i/>
          <w:sz w:val="22"/>
          <w:szCs w:val="22"/>
        </w:rPr>
        <w:t>Will recipients be granted an extension of financial and other reporting requirements?</w:t>
      </w:r>
    </w:p>
    <w:p w:rsidR="00884164" w:rsidRPr="0051655F" w:rsidRDefault="00884164" w:rsidP="007A271F">
      <w:pPr>
        <w:pStyle w:val="NormalWeb"/>
        <w:spacing w:before="0" w:beforeAutospacing="0" w:after="0" w:afterAutospacing="0" w:line="336" w:lineRule="atLeast"/>
        <w:jc w:val="left"/>
        <w:textAlignment w:val="baseline"/>
        <w:rPr>
          <w:rFonts w:asciiTheme="minorHAnsi" w:eastAsiaTheme="minorEastAsia" w:hAnsiTheme="minorHAnsi" w:cstheme="minorHAnsi"/>
        </w:rPr>
      </w:pPr>
      <w:r w:rsidRPr="0051655F">
        <w:rPr>
          <w:rFonts w:asciiTheme="minorHAnsi" w:eastAsiaTheme="minorEastAsia" w:hAnsiTheme="minorHAnsi" w:cstheme="minorHAnsi"/>
        </w:rPr>
        <w:t>ACL will allow up to a three (3) month extension, beyond the normal due date for the submission of their financial and performance reports. The reports must be submitted at the end of the postponed period.  Recipients should contact their Pro</w:t>
      </w:r>
      <w:r w:rsidR="005710F5" w:rsidRPr="0051655F">
        <w:rPr>
          <w:rFonts w:asciiTheme="minorHAnsi" w:eastAsiaTheme="minorEastAsia" w:hAnsiTheme="minorHAnsi" w:cstheme="minorHAnsi"/>
        </w:rPr>
        <w:t xml:space="preserve">ject Officer </w:t>
      </w:r>
      <w:r w:rsidRPr="0051655F">
        <w:rPr>
          <w:rFonts w:asciiTheme="minorHAnsi" w:eastAsiaTheme="minorEastAsia" w:hAnsiTheme="minorHAnsi" w:cstheme="minorHAnsi"/>
        </w:rPr>
        <w:t xml:space="preserve">for additional guidance. </w:t>
      </w:r>
    </w:p>
    <w:p w:rsidR="008A5933" w:rsidRPr="00C7414C" w:rsidRDefault="008A5933" w:rsidP="001F4469">
      <w:pPr>
        <w:pStyle w:val="NormalWeb"/>
        <w:spacing w:before="0" w:beforeAutospacing="0" w:after="0" w:afterAutospacing="0" w:line="336" w:lineRule="atLeast"/>
        <w:textAlignment w:val="baseline"/>
        <w:rPr>
          <w:rFonts w:asciiTheme="minorHAnsi" w:hAnsiTheme="minorHAnsi" w:cstheme="minorHAnsi"/>
          <w:color w:val="000000"/>
        </w:rPr>
      </w:pPr>
    </w:p>
    <w:p w:rsidR="00D32231" w:rsidRPr="0051655F" w:rsidRDefault="007A271F" w:rsidP="00213DD1">
      <w:pPr>
        <w:pStyle w:val="BodyText"/>
        <w:kinsoku w:val="0"/>
        <w:overflowPunct w:val="0"/>
        <w:spacing w:line="254" w:lineRule="auto"/>
        <w:ind w:left="0"/>
        <w:rPr>
          <w:rFonts w:ascii="Century Gothic" w:hAnsi="Century Gothic" w:cstheme="minorBidi"/>
          <w:b/>
          <w:bCs/>
          <w:i/>
          <w:sz w:val="22"/>
          <w:szCs w:val="22"/>
        </w:rPr>
      </w:pPr>
      <w:r w:rsidRPr="00C7414C">
        <w:rPr>
          <w:rFonts w:asciiTheme="minorHAnsi" w:hAnsiTheme="minorHAnsi" w:cstheme="minorHAnsi"/>
          <w:b/>
        </w:rPr>
        <w:t xml:space="preserve">8. </w:t>
      </w:r>
      <w:r w:rsidR="00D32231" w:rsidRPr="0051655F">
        <w:rPr>
          <w:rFonts w:ascii="Century Gothic" w:hAnsi="Century Gothic" w:cstheme="minorBidi"/>
          <w:b/>
          <w:bCs/>
          <w:i/>
          <w:sz w:val="22"/>
          <w:szCs w:val="22"/>
        </w:rPr>
        <w:t>Extension of currently approved indirect</w:t>
      </w:r>
      <w:r w:rsidR="005710F5" w:rsidRPr="0051655F">
        <w:rPr>
          <w:rFonts w:ascii="Century Gothic" w:hAnsi="Century Gothic" w:cstheme="minorBidi"/>
          <w:b/>
          <w:bCs/>
          <w:i/>
          <w:sz w:val="22"/>
          <w:szCs w:val="22"/>
        </w:rPr>
        <w:t xml:space="preserve"> costs rates</w:t>
      </w:r>
    </w:p>
    <w:p w:rsidR="00D07548" w:rsidRDefault="00D32231" w:rsidP="00BD7FB8">
      <w:pPr>
        <w:pStyle w:val="BodyText"/>
        <w:kinsoku w:val="0"/>
        <w:overflowPunct w:val="0"/>
        <w:spacing w:line="254" w:lineRule="auto"/>
        <w:ind w:left="0"/>
        <w:rPr>
          <w:rFonts w:asciiTheme="minorHAnsi" w:hAnsiTheme="minorHAnsi" w:cstheme="minorHAnsi"/>
        </w:rPr>
      </w:pPr>
      <w:r w:rsidRPr="00C7414C">
        <w:rPr>
          <w:rFonts w:asciiTheme="minorHAnsi" w:hAnsiTheme="minorHAnsi" w:cstheme="minorHAnsi"/>
        </w:rPr>
        <w:t>If exercising this flexibility, recipients should contact their Project</w:t>
      </w:r>
      <w:r w:rsidR="00BD7FB8">
        <w:rPr>
          <w:rFonts w:asciiTheme="minorHAnsi" w:hAnsiTheme="minorHAnsi" w:cstheme="minorHAnsi"/>
        </w:rPr>
        <w:t xml:space="preserve"> Officer for further guidance.</w:t>
      </w:r>
    </w:p>
    <w:p w:rsidR="00BD7FB8" w:rsidRPr="00BD7FB8" w:rsidRDefault="00BD7FB8" w:rsidP="00BD7FB8">
      <w:pPr>
        <w:pStyle w:val="BodyText"/>
        <w:kinsoku w:val="0"/>
        <w:overflowPunct w:val="0"/>
        <w:spacing w:line="254" w:lineRule="auto"/>
        <w:ind w:left="0"/>
        <w:rPr>
          <w:rFonts w:asciiTheme="minorHAnsi" w:hAnsiTheme="minorHAnsi" w:cstheme="minorHAnsi"/>
        </w:rPr>
      </w:pPr>
    </w:p>
    <w:p w:rsidR="00D32231" w:rsidRPr="0051655F" w:rsidRDefault="007A271F" w:rsidP="00213DD1">
      <w:pPr>
        <w:pStyle w:val="BodyText"/>
        <w:kinsoku w:val="0"/>
        <w:overflowPunct w:val="0"/>
        <w:spacing w:line="254" w:lineRule="auto"/>
        <w:ind w:left="0"/>
        <w:rPr>
          <w:rFonts w:ascii="Century Gothic" w:hAnsi="Century Gothic" w:cstheme="minorBidi"/>
          <w:b/>
          <w:bCs/>
          <w:i/>
          <w:sz w:val="22"/>
          <w:szCs w:val="22"/>
        </w:rPr>
      </w:pPr>
      <w:r w:rsidRPr="00C7414C">
        <w:rPr>
          <w:rFonts w:asciiTheme="minorHAnsi" w:hAnsiTheme="minorHAnsi" w:cstheme="minorHAnsi"/>
          <w:b/>
        </w:rPr>
        <w:t xml:space="preserve">9. </w:t>
      </w:r>
      <w:r w:rsidR="00D32231" w:rsidRPr="0051655F">
        <w:rPr>
          <w:rFonts w:ascii="Century Gothic" w:hAnsi="Century Gothic" w:cstheme="minorBidi"/>
          <w:b/>
          <w:bCs/>
          <w:i/>
          <w:sz w:val="22"/>
          <w:szCs w:val="22"/>
        </w:rPr>
        <w:t>Extension of Closeout</w:t>
      </w:r>
      <w:r w:rsidR="005710F5" w:rsidRPr="0051655F">
        <w:rPr>
          <w:rFonts w:ascii="Century Gothic" w:hAnsi="Century Gothic" w:cstheme="minorBidi"/>
          <w:b/>
          <w:bCs/>
          <w:i/>
          <w:sz w:val="22"/>
          <w:szCs w:val="22"/>
        </w:rPr>
        <w:t xml:space="preserve"> </w:t>
      </w:r>
    </w:p>
    <w:p w:rsidR="00D32231" w:rsidRPr="0051655F" w:rsidRDefault="00D32231" w:rsidP="00213DD1">
      <w:pPr>
        <w:pStyle w:val="BodyText"/>
        <w:kinsoku w:val="0"/>
        <w:overflowPunct w:val="0"/>
        <w:spacing w:line="254" w:lineRule="auto"/>
        <w:ind w:left="0"/>
        <w:rPr>
          <w:rFonts w:asciiTheme="minorHAnsi" w:hAnsiTheme="minorHAnsi" w:cstheme="minorHAnsi"/>
        </w:rPr>
      </w:pPr>
      <w:r w:rsidRPr="00C7414C">
        <w:rPr>
          <w:rFonts w:asciiTheme="minorHAnsi" w:hAnsiTheme="minorHAnsi" w:cstheme="minorHAnsi"/>
        </w:rPr>
        <w:t xml:space="preserve">Awarding agencies may allow a recipient to delay submission of any pending financial, performance and other reports required by the terms of the award for the closeout of expired projects. </w:t>
      </w:r>
      <w:r w:rsidR="005710F5" w:rsidRPr="00C7414C">
        <w:rPr>
          <w:rFonts w:asciiTheme="minorHAnsi" w:hAnsiTheme="minorHAnsi" w:cstheme="minorHAnsi"/>
        </w:rPr>
        <w:t xml:space="preserve"> </w:t>
      </w:r>
      <w:r w:rsidR="004E3DC8" w:rsidRPr="00C7414C">
        <w:rPr>
          <w:rFonts w:asciiTheme="minorHAnsi" w:hAnsiTheme="minorHAnsi" w:cstheme="minorHAnsi"/>
        </w:rPr>
        <w:t>R</w:t>
      </w:r>
      <w:r w:rsidR="004E3DC8" w:rsidRPr="0051655F">
        <w:rPr>
          <w:rFonts w:asciiTheme="minorHAnsi" w:hAnsiTheme="minorHAnsi" w:cstheme="minorHAnsi"/>
        </w:rPr>
        <w:t>ecipients</w:t>
      </w:r>
      <w:r w:rsidRPr="0051655F">
        <w:rPr>
          <w:rFonts w:asciiTheme="minorHAnsi" w:hAnsiTheme="minorHAnsi" w:cstheme="minorHAnsi"/>
        </w:rPr>
        <w:t xml:space="preserve"> should contact their Pro</w:t>
      </w:r>
      <w:r w:rsidR="005710F5" w:rsidRPr="0051655F">
        <w:rPr>
          <w:rFonts w:asciiTheme="minorHAnsi" w:hAnsiTheme="minorHAnsi" w:cstheme="minorHAnsi"/>
        </w:rPr>
        <w:t xml:space="preserve">ject Officer </w:t>
      </w:r>
      <w:r w:rsidRPr="0051655F">
        <w:rPr>
          <w:rFonts w:asciiTheme="minorHAnsi" w:hAnsiTheme="minorHAnsi" w:cstheme="minorHAnsi"/>
        </w:rPr>
        <w:t xml:space="preserve">for </w:t>
      </w:r>
      <w:r w:rsidR="005710F5" w:rsidRPr="0051655F">
        <w:rPr>
          <w:rFonts w:asciiTheme="minorHAnsi" w:hAnsiTheme="minorHAnsi" w:cstheme="minorHAnsi"/>
        </w:rPr>
        <w:t>further guidance</w:t>
      </w:r>
      <w:r w:rsidR="002642D0" w:rsidRPr="0051655F">
        <w:rPr>
          <w:rFonts w:asciiTheme="minorHAnsi" w:hAnsiTheme="minorHAnsi" w:cstheme="minorHAnsi"/>
        </w:rPr>
        <w:t>.</w:t>
      </w:r>
    </w:p>
    <w:p w:rsidR="00D07548" w:rsidRPr="00C7414C" w:rsidRDefault="00D07548" w:rsidP="00D32231">
      <w:pPr>
        <w:pStyle w:val="BodyText"/>
        <w:kinsoku w:val="0"/>
        <w:overflowPunct w:val="0"/>
        <w:spacing w:before="158" w:line="254" w:lineRule="auto"/>
        <w:ind w:left="0"/>
        <w:rPr>
          <w:rFonts w:asciiTheme="minorHAnsi" w:hAnsiTheme="minorHAnsi" w:cstheme="minorHAnsi"/>
        </w:rPr>
      </w:pPr>
    </w:p>
    <w:p w:rsidR="00D32231" w:rsidRPr="0051655F" w:rsidRDefault="00D07548" w:rsidP="00213DD1">
      <w:pPr>
        <w:pStyle w:val="BodyText"/>
        <w:kinsoku w:val="0"/>
        <w:overflowPunct w:val="0"/>
        <w:spacing w:line="254" w:lineRule="auto"/>
        <w:ind w:left="0"/>
        <w:rPr>
          <w:rFonts w:ascii="Century Gothic" w:hAnsi="Century Gothic" w:cstheme="minorBidi"/>
          <w:b/>
          <w:bCs/>
          <w:i/>
          <w:sz w:val="22"/>
          <w:szCs w:val="22"/>
        </w:rPr>
      </w:pPr>
      <w:r w:rsidRPr="00C7414C">
        <w:rPr>
          <w:rFonts w:asciiTheme="minorHAnsi" w:hAnsiTheme="minorHAnsi" w:cstheme="minorHAnsi"/>
          <w:b/>
        </w:rPr>
        <w:t xml:space="preserve">10.  </w:t>
      </w:r>
      <w:r w:rsidR="00D32231" w:rsidRPr="0051655F">
        <w:rPr>
          <w:rFonts w:ascii="Century Gothic" w:hAnsi="Century Gothic" w:cstheme="minorBidi"/>
          <w:b/>
          <w:bCs/>
          <w:i/>
          <w:sz w:val="22"/>
          <w:szCs w:val="22"/>
        </w:rPr>
        <w:t>Exten</w:t>
      </w:r>
      <w:r w:rsidR="005710F5" w:rsidRPr="0051655F">
        <w:rPr>
          <w:rFonts w:ascii="Century Gothic" w:hAnsi="Century Gothic" w:cstheme="minorBidi"/>
          <w:b/>
          <w:bCs/>
          <w:i/>
          <w:sz w:val="22"/>
          <w:szCs w:val="22"/>
        </w:rPr>
        <w:t>sion of Single Audit Submission</w:t>
      </w:r>
    </w:p>
    <w:p w:rsidR="00D32231" w:rsidRPr="00C7414C" w:rsidRDefault="00D32231" w:rsidP="00213DD1">
      <w:pPr>
        <w:pStyle w:val="BodyText"/>
        <w:kinsoku w:val="0"/>
        <w:overflowPunct w:val="0"/>
        <w:spacing w:line="254" w:lineRule="auto"/>
        <w:ind w:left="0"/>
        <w:rPr>
          <w:rFonts w:asciiTheme="minorHAnsi" w:hAnsiTheme="minorHAnsi" w:cstheme="minorHAnsi"/>
        </w:rPr>
      </w:pPr>
      <w:r w:rsidRPr="00C7414C">
        <w:rPr>
          <w:rFonts w:asciiTheme="minorHAnsi" w:hAnsiTheme="minorHAnsi" w:cstheme="minorHAnsi"/>
        </w:rPr>
        <w:t xml:space="preserve">Both sets of guidance apply to this flexibility but differ with regard to the amount of time allowed for an extension.  OMB M-20-17, which applies to federal awards impacted by COVID-19 provides a </w:t>
      </w:r>
      <w:r w:rsidRPr="0051655F">
        <w:rPr>
          <w:rFonts w:asciiTheme="minorHAnsi" w:hAnsiTheme="minorHAnsi" w:cstheme="minorHAnsi"/>
        </w:rPr>
        <w:t>6-month extension</w:t>
      </w:r>
      <w:r w:rsidRPr="00C7414C">
        <w:rPr>
          <w:rFonts w:asciiTheme="minorHAnsi" w:hAnsiTheme="minorHAnsi" w:cstheme="minorHAnsi"/>
        </w:rPr>
        <w:t xml:space="preserve"> whereas OMB M-20-11 applies to federal awards issued in response to COVID-19 provides a </w:t>
      </w:r>
      <w:r w:rsidRPr="0051655F">
        <w:rPr>
          <w:rFonts w:asciiTheme="minorHAnsi" w:hAnsiTheme="minorHAnsi" w:cstheme="minorHAnsi"/>
        </w:rPr>
        <w:t>12-month extension</w:t>
      </w:r>
      <w:r w:rsidRPr="00C7414C">
        <w:rPr>
          <w:rFonts w:asciiTheme="minorHAnsi" w:hAnsiTheme="minorHAnsi" w:cstheme="minorHAnsi"/>
        </w:rPr>
        <w:t xml:space="preserve">. </w:t>
      </w:r>
      <w:r w:rsidR="005710F5" w:rsidRPr="00C7414C">
        <w:rPr>
          <w:rFonts w:asciiTheme="minorHAnsi" w:hAnsiTheme="minorHAnsi" w:cstheme="minorHAnsi"/>
        </w:rPr>
        <w:t xml:space="preserve">Recipients should contact their Project Officer for further guidance. </w:t>
      </w:r>
    </w:p>
    <w:p w:rsidR="00EA1C63" w:rsidRPr="00C7414C" w:rsidRDefault="00EA1C63" w:rsidP="00213DD1">
      <w:pPr>
        <w:pStyle w:val="BodyText"/>
        <w:kinsoku w:val="0"/>
        <w:overflowPunct w:val="0"/>
        <w:spacing w:line="254" w:lineRule="auto"/>
        <w:ind w:left="0"/>
        <w:rPr>
          <w:rFonts w:asciiTheme="minorHAnsi" w:hAnsiTheme="minorHAnsi" w:cstheme="minorHAnsi"/>
        </w:rPr>
      </w:pPr>
    </w:p>
    <w:p w:rsidR="00EA1C63" w:rsidRPr="00C7414C" w:rsidRDefault="00164838" w:rsidP="00213DD1">
      <w:pPr>
        <w:pStyle w:val="BodyText"/>
        <w:kinsoku w:val="0"/>
        <w:overflowPunct w:val="0"/>
        <w:ind w:left="0"/>
        <w:rPr>
          <w:rFonts w:asciiTheme="minorHAnsi" w:hAnsiTheme="minorHAnsi" w:cstheme="minorHAnsi"/>
          <w:b/>
        </w:rPr>
      </w:pPr>
      <w:r w:rsidRPr="00C7414C">
        <w:rPr>
          <w:rFonts w:asciiTheme="minorHAnsi" w:hAnsiTheme="minorHAnsi" w:cstheme="minorHAnsi"/>
          <w:b/>
        </w:rPr>
        <w:t xml:space="preserve">11.  </w:t>
      </w:r>
      <w:r w:rsidR="00EA1C63" w:rsidRPr="0051655F">
        <w:rPr>
          <w:rFonts w:ascii="Century Gothic" w:hAnsi="Century Gothic" w:cstheme="minorBidi"/>
          <w:b/>
          <w:bCs/>
          <w:i/>
          <w:sz w:val="22"/>
          <w:szCs w:val="22"/>
        </w:rPr>
        <w:t>Prior approval requirement waivers</w:t>
      </w:r>
    </w:p>
    <w:p w:rsidR="00EA1C63" w:rsidRPr="0051655F" w:rsidRDefault="00EA1C63" w:rsidP="00213DD1">
      <w:pPr>
        <w:pStyle w:val="BodyText"/>
        <w:kinsoku w:val="0"/>
        <w:overflowPunct w:val="0"/>
        <w:ind w:left="0"/>
        <w:rPr>
          <w:rFonts w:asciiTheme="minorHAnsi" w:hAnsiTheme="minorHAnsi" w:cstheme="minorHAnsi"/>
        </w:rPr>
      </w:pPr>
      <w:r w:rsidRPr="00C7414C">
        <w:rPr>
          <w:rFonts w:asciiTheme="minorHAnsi" w:hAnsiTheme="minorHAnsi" w:cstheme="minorHAnsi"/>
        </w:rPr>
        <w:t>ACL is reviewing the OMB and HHS guidance and exploring possible waivers for prior approvals that may reduce administrative burden but still maintain the integrity of federal funding.  Recipients should contact their Project Officer for further guidance.</w:t>
      </w:r>
    </w:p>
    <w:p w:rsidR="00D32231" w:rsidRPr="00C7414C" w:rsidRDefault="00D32231" w:rsidP="001F4469">
      <w:pPr>
        <w:pStyle w:val="NormalWeb"/>
        <w:spacing w:before="0" w:beforeAutospacing="0" w:after="0" w:afterAutospacing="0" w:line="336" w:lineRule="atLeast"/>
        <w:textAlignment w:val="baseline"/>
        <w:rPr>
          <w:rFonts w:asciiTheme="minorHAnsi" w:hAnsiTheme="minorHAnsi" w:cstheme="minorHAnsi"/>
          <w:color w:val="000000"/>
        </w:rPr>
      </w:pPr>
    </w:p>
    <w:p w:rsidR="00DE4788" w:rsidRPr="0051655F" w:rsidRDefault="00164838" w:rsidP="00213DD1">
      <w:pPr>
        <w:pStyle w:val="NormalWeb"/>
        <w:spacing w:before="0" w:beforeAutospacing="0" w:after="0" w:afterAutospacing="0" w:line="240" w:lineRule="auto"/>
        <w:jc w:val="left"/>
        <w:textAlignment w:val="baseline"/>
        <w:rPr>
          <w:rFonts w:ascii="Century Gothic" w:eastAsiaTheme="minorEastAsia" w:hAnsi="Century Gothic"/>
          <w:b/>
          <w:bCs/>
          <w:i/>
          <w:sz w:val="22"/>
          <w:szCs w:val="22"/>
        </w:rPr>
      </w:pPr>
      <w:r w:rsidRPr="00C7414C">
        <w:rPr>
          <w:rFonts w:asciiTheme="minorHAnsi" w:hAnsiTheme="minorHAnsi" w:cstheme="minorHAnsi"/>
          <w:b/>
          <w:color w:val="000000"/>
        </w:rPr>
        <w:t xml:space="preserve">12.  </w:t>
      </w:r>
      <w:r w:rsidR="00DE4788" w:rsidRPr="0051655F">
        <w:rPr>
          <w:rFonts w:ascii="Century Gothic" w:eastAsiaTheme="minorEastAsia" w:hAnsi="Century Gothic"/>
          <w:b/>
          <w:bCs/>
          <w:i/>
          <w:sz w:val="22"/>
          <w:szCs w:val="22"/>
        </w:rPr>
        <w:t>Waiver for Notice of Funding Opportunities (NOFOS)</w:t>
      </w:r>
    </w:p>
    <w:p w:rsidR="005D3FAF" w:rsidRDefault="00DE4788" w:rsidP="00213DD1">
      <w:pPr>
        <w:pStyle w:val="NormalWeb"/>
        <w:spacing w:before="0" w:beforeAutospacing="0" w:after="0" w:afterAutospacing="0" w:line="240" w:lineRule="auto"/>
        <w:textAlignment w:val="baseline"/>
        <w:rPr>
          <w:rFonts w:asciiTheme="minorHAnsi" w:eastAsiaTheme="minorEastAsia" w:hAnsiTheme="minorHAnsi" w:cstheme="minorHAnsi"/>
        </w:rPr>
      </w:pPr>
      <w:r w:rsidRPr="0051655F">
        <w:rPr>
          <w:rFonts w:asciiTheme="minorHAnsi" w:eastAsiaTheme="minorEastAsia" w:hAnsiTheme="minorHAnsi" w:cstheme="minorHAnsi"/>
        </w:rPr>
        <w:t xml:space="preserve">ACL will publish emergency NOFOs for less than 30 </w:t>
      </w:r>
      <w:r w:rsidR="005D3FAF" w:rsidRPr="0051655F">
        <w:rPr>
          <w:rFonts w:asciiTheme="minorHAnsi" w:eastAsiaTheme="minorEastAsia" w:hAnsiTheme="minorHAnsi" w:cstheme="minorHAnsi"/>
        </w:rPr>
        <w:t xml:space="preserve">days, on a case by case basis. </w:t>
      </w:r>
      <w:r w:rsidRPr="0051655F">
        <w:rPr>
          <w:rFonts w:asciiTheme="minorHAnsi" w:eastAsiaTheme="minorEastAsia" w:hAnsiTheme="minorHAnsi" w:cstheme="minorHAnsi"/>
        </w:rPr>
        <w:t>Recipients should contact their Projec</w:t>
      </w:r>
      <w:r w:rsidR="00BD7FB8" w:rsidRPr="0051655F">
        <w:rPr>
          <w:rFonts w:asciiTheme="minorHAnsi" w:eastAsiaTheme="minorEastAsia" w:hAnsiTheme="minorHAnsi" w:cstheme="minorHAnsi"/>
        </w:rPr>
        <w:t>t Officer for further guidance.</w:t>
      </w:r>
    </w:p>
    <w:p w:rsidR="0051655F" w:rsidRPr="0051655F" w:rsidRDefault="0051655F" w:rsidP="00213DD1">
      <w:pPr>
        <w:pStyle w:val="NormalWeb"/>
        <w:spacing w:before="0" w:beforeAutospacing="0" w:after="0" w:afterAutospacing="0" w:line="240" w:lineRule="auto"/>
        <w:textAlignment w:val="baseline"/>
        <w:rPr>
          <w:rFonts w:asciiTheme="minorHAnsi" w:eastAsiaTheme="minorEastAsia" w:hAnsiTheme="minorHAnsi" w:cstheme="minorHAnsi"/>
        </w:rPr>
      </w:pPr>
    </w:p>
    <w:p w:rsidR="005D3FAF" w:rsidRPr="00C7414C" w:rsidRDefault="00057CE3" w:rsidP="00057CE3">
      <w:pPr>
        <w:pStyle w:val="NormalWeb"/>
        <w:numPr>
          <w:ilvl w:val="0"/>
          <w:numId w:val="22"/>
        </w:numPr>
        <w:spacing w:before="0" w:beforeAutospacing="0" w:after="0" w:afterAutospacing="0" w:line="336" w:lineRule="atLeast"/>
        <w:textAlignment w:val="baseline"/>
        <w:rPr>
          <w:rFonts w:asciiTheme="minorHAnsi" w:hAnsiTheme="minorHAnsi" w:cstheme="minorHAnsi"/>
          <w:b/>
          <w:color w:val="000000"/>
        </w:rPr>
      </w:pPr>
      <w:r w:rsidRPr="00C7414C">
        <w:rPr>
          <w:rFonts w:asciiTheme="minorHAnsi" w:hAnsiTheme="minorHAnsi" w:cstheme="minorHAnsi"/>
          <w:b/>
          <w:color w:val="000000"/>
        </w:rPr>
        <w:t xml:space="preserve"> </w:t>
      </w:r>
      <w:r w:rsidR="005D3FAF" w:rsidRPr="0051655F">
        <w:rPr>
          <w:rFonts w:ascii="Century Gothic" w:eastAsiaTheme="minorEastAsia" w:hAnsi="Century Gothic"/>
          <w:b/>
          <w:bCs/>
          <w:i/>
          <w:sz w:val="22"/>
          <w:szCs w:val="22"/>
        </w:rPr>
        <w:t>No-cost extension on expiring awards</w:t>
      </w:r>
    </w:p>
    <w:p w:rsidR="00D32231" w:rsidRPr="00BD7FB8" w:rsidRDefault="005D3FAF" w:rsidP="00BD7FB8">
      <w:pPr>
        <w:pStyle w:val="BodyText"/>
        <w:kinsoku w:val="0"/>
        <w:overflowPunct w:val="0"/>
        <w:spacing w:line="254" w:lineRule="auto"/>
        <w:ind w:left="0" w:right="169"/>
        <w:rPr>
          <w:rFonts w:asciiTheme="minorHAnsi" w:hAnsiTheme="minorHAnsi" w:cstheme="minorHAnsi"/>
        </w:rPr>
      </w:pPr>
      <w:r w:rsidRPr="00C7414C">
        <w:rPr>
          <w:rFonts w:asciiTheme="minorHAnsi" w:hAnsiTheme="minorHAnsi" w:cstheme="minorHAnsi"/>
        </w:rPr>
        <w:t>For awards that are active as of March 31, 2020 and scheduled to expire prior or up to December 31, 2020, ACL will grant an extension for up to twelve (12) months as long as the extension is not prohibited by statute, regulation, or terms and conditions of the award.  No cost extension requests must include a justification for the request, which should include sufficient explanation regarding the impact of C</w:t>
      </w:r>
      <w:r w:rsidR="00BD7FB8">
        <w:rPr>
          <w:rFonts w:asciiTheme="minorHAnsi" w:hAnsiTheme="minorHAnsi" w:cstheme="minorHAnsi"/>
        </w:rPr>
        <w:t>OVID-19 on program activities.</w:t>
      </w:r>
    </w:p>
    <w:sectPr w:rsidR="00D32231" w:rsidRPr="00BD7FB8" w:rsidSect="007A271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24E9"/>
    <w:multiLevelType w:val="hybridMultilevel"/>
    <w:tmpl w:val="5DC4BD9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F480060"/>
    <w:multiLevelType w:val="hybridMultilevel"/>
    <w:tmpl w:val="DDACB69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C45D0"/>
    <w:multiLevelType w:val="hybridMultilevel"/>
    <w:tmpl w:val="BD620426"/>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10259"/>
    <w:multiLevelType w:val="multilevel"/>
    <w:tmpl w:val="9FC4BE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57152"/>
    <w:multiLevelType w:val="hybridMultilevel"/>
    <w:tmpl w:val="D2023E7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24682"/>
    <w:multiLevelType w:val="hybridMultilevel"/>
    <w:tmpl w:val="369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4343B"/>
    <w:multiLevelType w:val="hybridMultilevel"/>
    <w:tmpl w:val="7D025C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D377E"/>
    <w:multiLevelType w:val="hybridMultilevel"/>
    <w:tmpl w:val="36DAC63A"/>
    <w:lvl w:ilvl="0" w:tplc="3F867382">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132400E"/>
    <w:multiLevelType w:val="hybridMultilevel"/>
    <w:tmpl w:val="1272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D01DE"/>
    <w:multiLevelType w:val="hybridMultilevel"/>
    <w:tmpl w:val="080E7B4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2A3854"/>
    <w:multiLevelType w:val="hybridMultilevel"/>
    <w:tmpl w:val="675CB6C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C7905"/>
    <w:multiLevelType w:val="hybridMultilevel"/>
    <w:tmpl w:val="9FA0625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D202F"/>
    <w:multiLevelType w:val="multilevel"/>
    <w:tmpl w:val="E970FE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CB6D51"/>
    <w:multiLevelType w:val="hybridMultilevel"/>
    <w:tmpl w:val="FBC68F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12E1D"/>
    <w:multiLevelType w:val="hybridMultilevel"/>
    <w:tmpl w:val="C534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1597E"/>
    <w:multiLevelType w:val="multilevel"/>
    <w:tmpl w:val="F3F6AA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721B16"/>
    <w:multiLevelType w:val="hybridMultilevel"/>
    <w:tmpl w:val="71DEBF40"/>
    <w:lvl w:ilvl="0" w:tplc="5508826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852471"/>
    <w:multiLevelType w:val="hybridMultilevel"/>
    <w:tmpl w:val="90A0C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15142"/>
    <w:multiLevelType w:val="multilevel"/>
    <w:tmpl w:val="4544BA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1320AB"/>
    <w:multiLevelType w:val="hybridMultilevel"/>
    <w:tmpl w:val="7FF8AC2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44470"/>
    <w:multiLevelType w:val="hybridMultilevel"/>
    <w:tmpl w:val="B13CC2AE"/>
    <w:lvl w:ilvl="0" w:tplc="D5FA991E">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8"/>
  </w:num>
  <w:num w:numId="4">
    <w:abstractNumId w:val="3"/>
  </w:num>
  <w:num w:numId="5">
    <w:abstractNumId w:val="12"/>
  </w:num>
  <w:num w:numId="6">
    <w:abstractNumId w:val="5"/>
  </w:num>
  <w:num w:numId="7">
    <w:abstractNumId w:val="14"/>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num>
  <w:num w:numId="12">
    <w:abstractNumId w:val="9"/>
  </w:num>
  <w:num w:numId="13">
    <w:abstractNumId w:val="6"/>
  </w:num>
  <w:num w:numId="14">
    <w:abstractNumId w:val="1"/>
  </w:num>
  <w:num w:numId="15">
    <w:abstractNumId w:val="4"/>
  </w:num>
  <w:num w:numId="16">
    <w:abstractNumId w:val="0"/>
  </w:num>
  <w:num w:numId="17">
    <w:abstractNumId w:val="10"/>
  </w:num>
  <w:num w:numId="18">
    <w:abstractNumId w:val="13"/>
  </w:num>
  <w:num w:numId="19">
    <w:abstractNumId w:val="19"/>
  </w:num>
  <w:num w:numId="20">
    <w:abstractNumId w:val="1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73"/>
    <w:rsid w:val="0000079C"/>
    <w:rsid w:val="00035AE1"/>
    <w:rsid w:val="000540C0"/>
    <w:rsid w:val="00057CE3"/>
    <w:rsid w:val="000F4E97"/>
    <w:rsid w:val="000F6264"/>
    <w:rsid w:val="00164838"/>
    <w:rsid w:val="001811D7"/>
    <w:rsid w:val="001F4469"/>
    <w:rsid w:val="00213DD1"/>
    <w:rsid w:val="002642D0"/>
    <w:rsid w:val="002E0592"/>
    <w:rsid w:val="00337207"/>
    <w:rsid w:val="003D52D5"/>
    <w:rsid w:val="003D563F"/>
    <w:rsid w:val="003E14C3"/>
    <w:rsid w:val="004E3DC8"/>
    <w:rsid w:val="00503B35"/>
    <w:rsid w:val="00514E7B"/>
    <w:rsid w:val="0051655F"/>
    <w:rsid w:val="00517B56"/>
    <w:rsid w:val="00527C09"/>
    <w:rsid w:val="005710F5"/>
    <w:rsid w:val="005D3FAF"/>
    <w:rsid w:val="00685495"/>
    <w:rsid w:val="006C088F"/>
    <w:rsid w:val="0074446B"/>
    <w:rsid w:val="0076271B"/>
    <w:rsid w:val="00792EE2"/>
    <w:rsid w:val="007A271F"/>
    <w:rsid w:val="00850B41"/>
    <w:rsid w:val="00884164"/>
    <w:rsid w:val="008A5933"/>
    <w:rsid w:val="008F6511"/>
    <w:rsid w:val="00B13ECF"/>
    <w:rsid w:val="00B45260"/>
    <w:rsid w:val="00BD7FB8"/>
    <w:rsid w:val="00C62B73"/>
    <w:rsid w:val="00C7414C"/>
    <w:rsid w:val="00D07548"/>
    <w:rsid w:val="00D32231"/>
    <w:rsid w:val="00D70929"/>
    <w:rsid w:val="00D821A4"/>
    <w:rsid w:val="00D90606"/>
    <w:rsid w:val="00DE4788"/>
    <w:rsid w:val="00E00C61"/>
    <w:rsid w:val="00E82CEA"/>
    <w:rsid w:val="00EA1C63"/>
    <w:rsid w:val="00F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4D09C"/>
  <w15:chartTrackingRefBased/>
  <w15:docId w15:val="{D8403716-776A-409A-A248-5CE7C36A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231"/>
  </w:style>
  <w:style w:type="paragraph" w:styleId="Heading1">
    <w:name w:val="heading 1"/>
    <w:basedOn w:val="Normal"/>
    <w:next w:val="Normal"/>
    <w:link w:val="Heading1Char"/>
    <w:uiPriority w:val="9"/>
    <w:qFormat/>
    <w:rsid w:val="00D3223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3223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3223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3223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3223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3223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3223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3223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3223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B73"/>
    <w:pPr>
      <w:ind w:left="720"/>
      <w:contextualSpacing/>
    </w:pPr>
  </w:style>
  <w:style w:type="character" w:styleId="Hyperlink">
    <w:name w:val="Hyperlink"/>
    <w:basedOn w:val="DefaultParagraphFont"/>
    <w:uiPriority w:val="99"/>
    <w:semiHidden/>
    <w:unhideWhenUsed/>
    <w:rsid w:val="001F4469"/>
    <w:rPr>
      <w:color w:val="0000FF"/>
      <w:u w:val="single"/>
    </w:rPr>
  </w:style>
  <w:style w:type="paragraph" w:styleId="NormalWeb">
    <w:name w:val="Normal (Web)"/>
    <w:basedOn w:val="Normal"/>
    <w:uiPriority w:val="99"/>
    <w:semiHidden/>
    <w:unhideWhenUsed/>
    <w:rsid w:val="001F4469"/>
    <w:pPr>
      <w:spacing w:before="100" w:beforeAutospacing="1" w:after="100" w:afterAutospacing="1"/>
    </w:pPr>
    <w:rPr>
      <w:rFonts w:ascii="Times New Roman" w:eastAsiaTheme="minorHAnsi" w:hAnsi="Times New Roman"/>
      <w:sz w:val="24"/>
      <w:szCs w:val="24"/>
    </w:rPr>
  </w:style>
  <w:style w:type="character" w:styleId="Strong">
    <w:name w:val="Strong"/>
    <w:basedOn w:val="DefaultParagraphFont"/>
    <w:uiPriority w:val="22"/>
    <w:qFormat/>
    <w:rsid w:val="00D32231"/>
    <w:rPr>
      <w:b/>
      <w:bCs/>
      <w:color w:val="auto"/>
    </w:rPr>
  </w:style>
  <w:style w:type="character" w:customStyle="1" w:styleId="Heading1Char">
    <w:name w:val="Heading 1 Char"/>
    <w:basedOn w:val="DefaultParagraphFont"/>
    <w:link w:val="Heading1"/>
    <w:uiPriority w:val="9"/>
    <w:rsid w:val="00D3223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3223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3223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3223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3223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3223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32231"/>
    <w:rPr>
      <w:i/>
      <w:iCs/>
    </w:rPr>
  </w:style>
  <w:style w:type="character" w:customStyle="1" w:styleId="Heading8Char">
    <w:name w:val="Heading 8 Char"/>
    <w:basedOn w:val="DefaultParagraphFont"/>
    <w:link w:val="Heading8"/>
    <w:uiPriority w:val="9"/>
    <w:semiHidden/>
    <w:rsid w:val="00D32231"/>
    <w:rPr>
      <w:b/>
      <w:bCs/>
    </w:rPr>
  </w:style>
  <w:style w:type="character" w:customStyle="1" w:styleId="Heading9Char">
    <w:name w:val="Heading 9 Char"/>
    <w:basedOn w:val="DefaultParagraphFont"/>
    <w:link w:val="Heading9"/>
    <w:uiPriority w:val="9"/>
    <w:semiHidden/>
    <w:rsid w:val="00D32231"/>
    <w:rPr>
      <w:i/>
      <w:iCs/>
    </w:rPr>
  </w:style>
  <w:style w:type="paragraph" w:styleId="Caption">
    <w:name w:val="caption"/>
    <w:basedOn w:val="Normal"/>
    <w:next w:val="Normal"/>
    <w:uiPriority w:val="35"/>
    <w:semiHidden/>
    <w:unhideWhenUsed/>
    <w:qFormat/>
    <w:rsid w:val="00D32231"/>
    <w:rPr>
      <w:b/>
      <w:bCs/>
      <w:sz w:val="18"/>
      <w:szCs w:val="18"/>
    </w:rPr>
  </w:style>
  <w:style w:type="paragraph" w:styleId="Title">
    <w:name w:val="Title"/>
    <w:basedOn w:val="Normal"/>
    <w:next w:val="Normal"/>
    <w:link w:val="TitleChar"/>
    <w:uiPriority w:val="10"/>
    <w:qFormat/>
    <w:rsid w:val="00D3223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3223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3223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32231"/>
    <w:rPr>
      <w:rFonts w:asciiTheme="majorHAnsi" w:eastAsiaTheme="majorEastAsia" w:hAnsiTheme="majorHAnsi" w:cstheme="majorBidi"/>
      <w:sz w:val="24"/>
      <w:szCs w:val="24"/>
    </w:rPr>
  </w:style>
  <w:style w:type="character" w:styleId="Emphasis">
    <w:name w:val="Emphasis"/>
    <w:basedOn w:val="DefaultParagraphFont"/>
    <w:uiPriority w:val="20"/>
    <w:qFormat/>
    <w:rsid w:val="00D32231"/>
    <w:rPr>
      <w:i/>
      <w:iCs/>
      <w:color w:val="auto"/>
    </w:rPr>
  </w:style>
  <w:style w:type="paragraph" w:styleId="NoSpacing">
    <w:name w:val="No Spacing"/>
    <w:uiPriority w:val="1"/>
    <w:qFormat/>
    <w:rsid w:val="00D32231"/>
    <w:pPr>
      <w:spacing w:after="0" w:line="240" w:lineRule="auto"/>
    </w:pPr>
  </w:style>
  <w:style w:type="paragraph" w:styleId="Quote">
    <w:name w:val="Quote"/>
    <w:basedOn w:val="Normal"/>
    <w:next w:val="Normal"/>
    <w:link w:val="QuoteChar"/>
    <w:uiPriority w:val="29"/>
    <w:qFormat/>
    <w:rsid w:val="00D3223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3223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3223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3223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32231"/>
    <w:rPr>
      <w:i/>
      <w:iCs/>
      <w:color w:val="auto"/>
    </w:rPr>
  </w:style>
  <w:style w:type="character" w:styleId="IntenseEmphasis">
    <w:name w:val="Intense Emphasis"/>
    <w:basedOn w:val="DefaultParagraphFont"/>
    <w:uiPriority w:val="21"/>
    <w:qFormat/>
    <w:rsid w:val="00D32231"/>
    <w:rPr>
      <w:b/>
      <w:bCs/>
      <w:i/>
      <w:iCs/>
      <w:color w:val="auto"/>
    </w:rPr>
  </w:style>
  <w:style w:type="character" w:styleId="SubtleReference">
    <w:name w:val="Subtle Reference"/>
    <w:basedOn w:val="DefaultParagraphFont"/>
    <w:uiPriority w:val="31"/>
    <w:qFormat/>
    <w:rsid w:val="00D32231"/>
    <w:rPr>
      <w:smallCaps/>
      <w:color w:val="auto"/>
      <w:u w:val="single" w:color="7F7F7F" w:themeColor="text1" w:themeTint="80"/>
    </w:rPr>
  </w:style>
  <w:style w:type="character" w:styleId="IntenseReference">
    <w:name w:val="Intense Reference"/>
    <w:basedOn w:val="DefaultParagraphFont"/>
    <w:uiPriority w:val="32"/>
    <w:qFormat/>
    <w:rsid w:val="00D32231"/>
    <w:rPr>
      <w:b/>
      <w:bCs/>
      <w:smallCaps/>
      <w:color w:val="auto"/>
      <w:u w:val="single"/>
    </w:rPr>
  </w:style>
  <w:style w:type="character" w:styleId="BookTitle">
    <w:name w:val="Book Title"/>
    <w:basedOn w:val="DefaultParagraphFont"/>
    <w:uiPriority w:val="33"/>
    <w:qFormat/>
    <w:rsid w:val="00D32231"/>
    <w:rPr>
      <w:b/>
      <w:bCs/>
      <w:smallCaps/>
      <w:color w:val="auto"/>
    </w:rPr>
  </w:style>
  <w:style w:type="paragraph" w:styleId="TOCHeading">
    <w:name w:val="TOC Heading"/>
    <w:basedOn w:val="Heading1"/>
    <w:next w:val="Normal"/>
    <w:uiPriority w:val="39"/>
    <w:semiHidden/>
    <w:unhideWhenUsed/>
    <w:qFormat/>
    <w:rsid w:val="00D32231"/>
    <w:pPr>
      <w:outlineLvl w:val="9"/>
    </w:pPr>
  </w:style>
  <w:style w:type="paragraph" w:styleId="BodyText">
    <w:name w:val="Body Text"/>
    <w:basedOn w:val="Normal"/>
    <w:link w:val="BodyTextChar"/>
    <w:uiPriority w:val="1"/>
    <w:unhideWhenUsed/>
    <w:qFormat/>
    <w:rsid w:val="00D32231"/>
    <w:pPr>
      <w:widowControl w:val="0"/>
      <w:autoSpaceDE w:val="0"/>
      <w:autoSpaceDN w:val="0"/>
      <w:adjustRightInd w:val="0"/>
      <w:spacing w:after="0" w:line="240" w:lineRule="auto"/>
      <w:ind w:left="140"/>
      <w:jc w:val="left"/>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D322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4299">
      <w:bodyDiv w:val="1"/>
      <w:marLeft w:val="0"/>
      <w:marRight w:val="0"/>
      <w:marTop w:val="0"/>
      <w:marBottom w:val="0"/>
      <w:divBdr>
        <w:top w:val="none" w:sz="0" w:space="0" w:color="auto"/>
        <w:left w:val="none" w:sz="0" w:space="0" w:color="auto"/>
        <w:bottom w:val="none" w:sz="0" w:space="0" w:color="auto"/>
        <w:right w:val="none" w:sz="0" w:space="0" w:color="auto"/>
      </w:divBdr>
    </w:div>
    <w:div w:id="837502001">
      <w:bodyDiv w:val="1"/>
      <w:marLeft w:val="0"/>
      <w:marRight w:val="0"/>
      <w:marTop w:val="0"/>
      <w:marBottom w:val="0"/>
      <w:divBdr>
        <w:top w:val="none" w:sz="0" w:space="0" w:color="auto"/>
        <w:left w:val="none" w:sz="0" w:space="0" w:color="auto"/>
        <w:bottom w:val="none" w:sz="0" w:space="0" w:color="auto"/>
        <w:right w:val="none" w:sz="0" w:space="0" w:color="auto"/>
      </w:divBdr>
    </w:div>
    <w:div w:id="1047602206">
      <w:bodyDiv w:val="1"/>
      <w:marLeft w:val="0"/>
      <w:marRight w:val="0"/>
      <w:marTop w:val="0"/>
      <w:marBottom w:val="0"/>
      <w:divBdr>
        <w:top w:val="none" w:sz="0" w:space="0" w:color="auto"/>
        <w:left w:val="none" w:sz="0" w:space="0" w:color="auto"/>
        <w:bottom w:val="none" w:sz="0" w:space="0" w:color="auto"/>
        <w:right w:val="none" w:sz="0" w:space="0" w:color="auto"/>
      </w:divBdr>
    </w:div>
    <w:div w:id="1098676506">
      <w:bodyDiv w:val="1"/>
      <w:marLeft w:val="0"/>
      <w:marRight w:val="0"/>
      <w:marTop w:val="0"/>
      <w:marBottom w:val="0"/>
      <w:divBdr>
        <w:top w:val="none" w:sz="0" w:space="0" w:color="auto"/>
        <w:left w:val="none" w:sz="0" w:space="0" w:color="auto"/>
        <w:bottom w:val="none" w:sz="0" w:space="0" w:color="auto"/>
        <w:right w:val="none" w:sz="0" w:space="0" w:color="auto"/>
      </w:divBdr>
    </w:div>
    <w:div w:id="1121265381">
      <w:bodyDiv w:val="1"/>
      <w:marLeft w:val="0"/>
      <w:marRight w:val="0"/>
      <w:marTop w:val="0"/>
      <w:marBottom w:val="0"/>
      <w:divBdr>
        <w:top w:val="none" w:sz="0" w:space="0" w:color="auto"/>
        <w:left w:val="none" w:sz="0" w:space="0" w:color="auto"/>
        <w:bottom w:val="none" w:sz="0" w:space="0" w:color="auto"/>
        <w:right w:val="none" w:sz="0" w:space="0" w:color="auto"/>
      </w:divBdr>
    </w:div>
    <w:div w:id="1203400585">
      <w:bodyDiv w:val="1"/>
      <w:marLeft w:val="0"/>
      <w:marRight w:val="0"/>
      <w:marTop w:val="0"/>
      <w:marBottom w:val="0"/>
      <w:divBdr>
        <w:top w:val="none" w:sz="0" w:space="0" w:color="auto"/>
        <w:left w:val="none" w:sz="0" w:space="0" w:color="auto"/>
        <w:bottom w:val="none" w:sz="0" w:space="0" w:color="auto"/>
        <w:right w:val="none" w:sz="0" w:space="0" w:color="auto"/>
      </w:divBdr>
    </w:div>
    <w:div w:id="14463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wp-content/uploads/2020/03/M-20-17.pdf" TargetMode="External"/><Relationship Id="rId3" Type="http://schemas.openxmlformats.org/officeDocument/2006/relationships/settings" Target="settings.xml"/><Relationship Id="rId7" Type="http://schemas.openxmlformats.org/officeDocument/2006/relationships/hyperlink" Target="https://www.whitehouse.gov/wp-content/uploads/2020/03/M-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mporaryReassignment@hhs.gov" TargetMode="External"/><Relationship Id="rId5" Type="http://schemas.openxmlformats.org/officeDocument/2006/relationships/hyperlink" Target="https://protect2.fireeye.com/url?k=bacb5e08-e69e571b-bacb6f37-0cc47adb5650-b97f3390a88218a2&amp;u=https://www.phe.gov/Preparedness/legal/pahpa/section201/Pages/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Tanielle (ACL)</dc:creator>
  <cp:keywords/>
  <dc:description/>
  <cp:lastModifiedBy>Chandler, Tanielle (ACL)</cp:lastModifiedBy>
  <cp:revision>3</cp:revision>
  <dcterms:created xsi:type="dcterms:W3CDTF">2020-03-30T00:03:00Z</dcterms:created>
  <dcterms:modified xsi:type="dcterms:W3CDTF">2020-03-30T00:04:00Z</dcterms:modified>
</cp:coreProperties>
</file>