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C24ED" w14:textId="7BDC14A5" w:rsidR="001A2C7D" w:rsidRPr="00065B0D" w:rsidRDefault="001A2C7D" w:rsidP="001A2C7D">
      <w:pPr>
        <w:pStyle w:val="Title"/>
      </w:pPr>
      <w:r>
        <w:t>faq - groceries</w:t>
      </w:r>
      <w:r w:rsidR="00065B0D">
        <w:t xml:space="preserve"> and oaa PROGRAMS</w:t>
      </w:r>
    </w:p>
    <w:p w14:paraId="4FB17575" w14:textId="77777777" w:rsidR="001A2C7D" w:rsidRPr="007638B6" w:rsidRDefault="001A2C7D" w:rsidP="001A2C7D"/>
    <w:p w14:paraId="65F3EFC7" w14:textId="2B598AE5" w:rsidR="001A2C7D" w:rsidRDefault="001A2C7D" w:rsidP="001A2C7D">
      <w:pPr>
        <w:pStyle w:val="Subtitle"/>
      </w:pPr>
      <w:r>
        <w:t>This FAQ addresses</w:t>
      </w:r>
      <w:r w:rsidRPr="001A2C7D">
        <w:t xml:space="preserve"> common</w:t>
      </w:r>
      <w:r w:rsidR="00957D24">
        <w:t xml:space="preserve"> questions about providing</w:t>
      </w:r>
      <w:r w:rsidRPr="001A2C7D">
        <w:t xml:space="preserve"> grocer</w:t>
      </w:r>
      <w:r w:rsidR="00957D24">
        <w:t>ies through Older Americans Act program</w:t>
      </w:r>
      <w:r w:rsidR="00065B0D">
        <w:t>s</w:t>
      </w:r>
      <w:r w:rsidR="00957D24">
        <w:t xml:space="preserve"> </w:t>
      </w:r>
    </w:p>
    <w:p w14:paraId="0C7EC368" w14:textId="3CEF324D" w:rsidR="00756BBE" w:rsidRDefault="005E4CCF" w:rsidP="001A2C7D">
      <w:pPr>
        <w:pStyle w:val="Subtitle"/>
      </w:pPr>
      <w:r>
        <w:t>(Updated 5/</w:t>
      </w:r>
      <w:r w:rsidR="009E6BB5">
        <w:t>20</w:t>
      </w:r>
      <w:bookmarkStart w:id="0" w:name="_GoBack"/>
      <w:bookmarkEnd w:id="0"/>
      <w:r w:rsidR="001A2C7D">
        <w:t>/2020)</w:t>
      </w:r>
    </w:p>
    <w:p w14:paraId="68D45966" w14:textId="0C92970F" w:rsidR="00750B49" w:rsidRPr="005E4CCF" w:rsidRDefault="00E21019" w:rsidP="00750B49">
      <w:pPr>
        <w:rPr>
          <w:rFonts w:cstheme="minorHAnsi"/>
          <w:sz w:val="24"/>
          <w:szCs w:val="24"/>
        </w:rPr>
      </w:pPr>
      <w:r w:rsidRPr="005E4CCF">
        <w:rPr>
          <w:rFonts w:cstheme="minorHAnsi"/>
          <w:sz w:val="24"/>
          <w:szCs w:val="24"/>
        </w:rPr>
        <w:t xml:space="preserve">Food insecurity was an issue prior to COVID-19, </w:t>
      </w:r>
      <w:r>
        <w:rPr>
          <w:rFonts w:cstheme="minorHAnsi"/>
          <w:sz w:val="24"/>
          <w:szCs w:val="24"/>
        </w:rPr>
        <w:t>but</w:t>
      </w:r>
      <w:r w:rsidRPr="005E4CCF">
        <w:rPr>
          <w:rFonts w:cstheme="minorHAnsi"/>
          <w:sz w:val="24"/>
          <w:szCs w:val="24"/>
        </w:rPr>
        <w:t xml:space="preserve"> </w:t>
      </w:r>
      <w:r>
        <w:rPr>
          <w:rFonts w:cstheme="minorHAnsi"/>
          <w:sz w:val="24"/>
          <w:szCs w:val="24"/>
        </w:rPr>
        <w:t xml:space="preserve">it is an </w:t>
      </w:r>
      <w:r w:rsidRPr="005E4CCF">
        <w:rPr>
          <w:rFonts w:cstheme="minorHAnsi"/>
          <w:sz w:val="24"/>
          <w:szCs w:val="24"/>
        </w:rPr>
        <w:t>even</w:t>
      </w:r>
      <w:r>
        <w:rPr>
          <w:rFonts w:cstheme="minorHAnsi"/>
          <w:sz w:val="24"/>
          <w:szCs w:val="24"/>
        </w:rPr>
        <w:t xml:space="preserve"> bigger issue</w:t>
      </w:r>
      <w:r w:rsidRPr="005E4CCF">
        <w:rPr>
          <w:rFonts w:cstheme="minorHAnsi"/>
          <w:sz w:val="24"/>
          <w:szCs w:val="24"/>
        </w:rPr>
        <w:t xml:space="preserve"> </w:t>
      </w:r>
      <w:r w:rsidR="00750B49">
        <w:rPr>
          <w:rFonts w:cstheme="minorHAnsi"/>
          <w:sz w:val="24"/>
          <w:szCs w:val="24"/>
        </w:rPr>
        <w:t>during the COVID-19 crisis</w:t>
      </w:r>
      <w:r w:rsidRPr="005E4CCF">
        <w:rPr>
          <w:rFonts w:cstheme="minorHAnsi"/>
          <w:sz w:val="24"/>
          <w:szCs w:val="24"/>
        </w:rPr>
        <w:t xml:space="preserve">. </w:t>
      </w:r>
      <w:r w:rsidR="00750B49">
        <w:rPr>
          <w:rFonts w:cstheme="minorHAnsi"/>
          <w:sz w:val="24"/>
          <w:szCs w:val="24"/>
        </w:rPr>
        <w:t>Fortunately, a</w:t>
      </w:r>
      <w:r w:rsidR="00756BBE" w:rsidRPr="005E4CCF">
        <w:rPr>
          <w:rFonts w:cstheme="minorHAnsi"/>
          <w:sz w:val="24"/>
          <w:szCs w:val="24"/>
        </w:rPr>
        <w:t xml:space="preserve">ll states now have </w:t>
      </w:r>
      <w:r w:rsidR="00957D24">
        <w:rPr>
          <w:rFonts w:cstheme="minorHAnsi"/>
          <w:sz w:val="24"/>
          <w:szCs w:val="24"/>
        </w:rPr>
        <w:t>m</w:t>
      </w:r>
      <w:r w:rsidR="00957D24" w:rsidRPr="005E4CCF">
        <w:rPr>
          <w:rFonts w:cstheme="minorHAnsi"/>
          <w:sz w:val="24"/>
          <w:szCs w:val="24"/>
        </w:rPr>
        <w:t xml:space="preserve">ajor </w:t>
      </w:r>
      <w:r w:rsidR="00957D24">
        <w:rPr>
          <w:rFonts w:cstheme="minorHAnsi"/>
          <w:sz w:val="24"/>
          <w:szCs w:val="24"/>
        </w:rPr>
        <w:t>d</w:t>
      </w:r>
      <w:r w:rsidR="00957D24" w:rsidRPr="005E4CCF">
        <w:rPr>
          <w:rFonts w:cstheme="minorHAnsi"/>
          <w:sz w:val="24"/>
          <w:szCs w:val="24"/>
        </w:rPr>
        <w:t xml:space="preserve">isaster </w:t>
      </w:r>
      <w:r w:rsidR="00756BBE" w:rsidRPr="005E4CCF">
        <w:rPr>
          <w:rFonts w:cstheme="minorHAnsi"/>
          <w:sz w:val="24"/>
          <w:szCs w:val="24"/>
        </w:rPr>
        <w:t>declaration</w:t>
      </w:r>
      <w:r w:rsidR="00957D24">
        <w:rPr>
          <w:rFonts w:cstheme="minorHAnsi"/>
          <w:sz w:val="24"/>
          <w:szCs w:val="24"/>
        </w:rPr>
        <w:t>s</w:t>
      </w:r>
      <w:r w:rsidR="00756BBE" w:rsidRPr="005E4CCF">
        <w:rPr>
          <w:rFonts w:cstheme="minorHAnsi"/>
          <w:sz w:val="24"/>
          <w:szCs w:val="24"/>
        </w:rPr>
        <w:t xml:space="preserve"> (MDD) and thus have the authority</w:t>
      </w:r>
      <w:r w:rsidR="005B2279">
        <w:rPr>
          <w:rFonts w:cstheme="minorHAnsi"/>
          <w:sz w:val="24"/>
          <w:szCs w:val="24"/>
        </w:rPr>
        <w:t>*</w:t>
      </w:r>
      <w:r w:rsidR="00756BBE" w:rsidRPr="005E4CCF">
        <w:rPr>
          <w:rFonts w:cstheme="minorHAnsi"/>
          <w:sz w:val="24"/>
          <w:szCs w:val="24"/>
        </w:rPr>
        <w:t xml:space="preserve"> to exercise maximum flexibility to </w:t>
      </w:r>
      <w:r w:rsidR="00750B49" w:rsidRPr="005E4CCF">
        <w:rPr>
          <w:rFonts w:cstheme="minorHAnsi"/>
          <w:sz w:val="24"/>
          <w:szCs w:val="24"/>
        </w:rPr>
        <w:t xml:space="preserve">feed and support </w:t>
      </w:r>
      <w:r w:rsidR="00750B49">
        <w:rPr>
          <w:rFonts w:cstheme="minorHAnsi"/>
          <w:sz w:val="24"/>
          <w:szCs w:val="24"/>
        </w:rPr>
        <w:t>older adults, and ultimately help those at highest risk stay at home</w:t>
      </w:r>
      <w:r w:rsidR="00750B49" w:rsidRPr="005E4CCF">
        <w:rPr>
          <w:rFonts w:cstheme="minorHAnsi"/>
          <w:sz w:val="24"/>
          <w:szCs w:val="24"/>
        </w:rPr>
        <w:t xml:space="preserve"> during the CO</w:t>
      </w:r>
      <w:r w:rsidR="00750B49">
        <w:rPr>
          <w:rFonts w:cstheme="minorHAnsi"/>
          <w:sz w:val="24"/>
          <w:szCs w:val="24"/>
        </w:rPr>
        <w:t>VID</w:t>
      </w:r>
      <w:r w:rsidR="00750B49" w:rsidRPr="005E4CCF">
        <w:rPr>
          <w:rFonts w:cstheme="minorHAnsi"/>
          <w:sz w:val="24"/>
          <w:szCs w:val="24"/>
        </w:rPr>
        <w:t>-19 crisis</w:t>
      </w:r>
      <w:r w:rsidR="00750B49">
        <w:rPr>
          <w:rFonts w:cstheme="minorHAnsi"/>
          <w:sz w:val="24"/>
          <w:szCs w:val="24"/>
        </w:rPr>
        <w:t>.</w:t>
      </w:r>
    </w:p>
    <w:p w14:paraId="66B6D4C9" w14:textId="1A7D4739" w:rsidR="00750B49" w:rsidRDefault="005B2279" w:rsidP="00756BBE">
      <w:pPr>
        <w:rPr>
          <w:rFonts w:cstheme="minorHAnsi"/>
          <w:sz w:val="24"/>
          <w:szCs w:val="24"/>
        </w:rPr>
      </w:pPr>
      <w:r>
        <w:t>A</w:t>
      </w:r>
      <w:r w:rsidRPr="005E4CCF">
        <w:rPr>
          <w:rFonts w:cstheme="minorHAnsi"/>
          <w:sz w:val="24"/>
          <w:szCs w:val="24"/>
        </w:rPr>
        <w:t xml:space="preserve"> new resource detailing strategies the network is </w:t>
      </w:r>
      <w:r w:rsidR="00447FEC">
        <w:rPr>
          <w:rFonts w:cstheme="minorHAnsi"/>
          <w:sz w:val="24"/>
          <w:szCs w:val="24"/>
        </w:rPr>
        <w:t xml:space="preserve">using to </w:t>
      </w:r>
      <w:r w:rsidRPr="005E4CCF">
        <w:rPr>
          <w:rFonts w:cstheme="minorHAnsi"/>
          <w:sz w:val="24"/>
          <w:szCs w:val="24"/>
        </w:rPr>
        <w:t>address food insecurity</w:t>
      </w:r>
      <w:r>
        <w:rPr>
          <w:rFonts w:cstheme="minorHAnsi"/>
          <w:sz w:val="24"/>
          <w:szCs w:val="24"/>
        </w:rPr>
        <w:t xml:space="preserve"> is coming soon</w:t>
      </w:r>
      <w:r w:rsidR="00065B0D">
        <w:rPr>
          <w:rFonts w:cstheme="minorHAnsi"/>
          <w:sz w:val="24"/>
          <w:szCs w:val="24"/>
        </w:rPr>
        <w:t>. These</w:t>
      </w:r>
      <w:r w:rsidR="00347760">
        <w:rPr>
          <w:rFonts w:cstheme="minorHAnsi"/>
          <w:sz w:val="24"/>
          <w:szCs w:val="24"/>
        </w:rPr>
        <w:t xml:space="preserve"> </w:t>
      </w:r>
      <w:r w:rsidR="00347760" w:rsidRPr="00347760">
        <w:rPr>
          <w:rFonts w:cstheme="minorHAnsi"/>
          <w:sz w:val="24"/>
          <w:szCs w:val="24"/>
        </w:rPr>
        <w:t>strategies</w:t>
      </w:r>
      <w:r w:rsidR="00065B0D">
        <w:rPr>
          <w:rFonts w:cstheme="minorHAnsi"/>
          <w:sz w:val="24"/>
          <w:szCs w:val="24"/>
        </w:rPr>
        <w:t xml:space="preserve"> include things like</w:t>
      </w:r>
      <w:r w:rsidR="00A67441">
        <w:rPr>
          <w:rFonts w:cstheme="minorHAnsi"/>
          <w:sz w:val="24"/>
          <w:szCs w:val="24"/>
        </w:rPr>
        <w:t xml:space="preserve"> the</w:t>
      </w:r>
      <w:r w:rsidR="00447FEC">
        <w:rPr>
          <w:rFonts w:cstheme="minorHAnsi"/>
          <w:sz w:val="24"/>
          <w:szCs w:val="24"/>
        </w:rPr>
        <w:t xml:space="preserve"> following, all of which are allowable for Older Americans Act programs, through those flexibilities.</w:t>
      </w:r>
    </w:p>
    <w:p w14:paraId="4F1D8DA8" w14:textId="77777777" w:rsidR="00447FEC" w:rsidRPr="005E4CCF" w:rsidRDefault="00447FEC" w:rsidP="00447FEC">
      <w:pPr>
        <w:pStyle w:val="ListParagraph"/>
        <w:numPr>
          <w:ilvl w:val="0"/>
          <w:numId w:val="42"/>
        </w:numPr>
        <w:rPr>
          <w:rFonts w:cstheme="minorHAnsi"/>
          <w:sz w:val="24"/>
          <w:szCs w:val="24"/>
        </w:rPr>
      </w:pPr>
      <w:r w:rsidRPr="005E4CCF">
        <w:rPr>
          <w:rFonts w:cstheme="minorHAnsi"/>
          <w:sz w:val="24"/>
          <w:szCs w:val="24"/>
        </w:rPr>
        <w:t xml:space="preserve">Providing multiple kinds of meals, like combinations of frozen, shelf-stable, and fresh foods, and/or sending more than one meal for a day (breakfast and lunch). </w:t>
      </w:r>
    </w:p>
    <w:p w14:paraId="46B94027" w14:textId="77777777" w:rsidR="00756BBE" w:rsidRPr="005E4CCF" w:rsidRDefault="00756BBE" w:rsidP="00756BBE">
      <w:pPr>
        <w:pStyle w:val="ListParagraph"/>
        <w:numPr>
          <w:ilvl w:val="0"/>
          <w:numId w:val="42"/>
        </w:numPr>
        <w:rPr>
          <w:rFonts w:cstheme="minorHAnsi"/>
          <w:sz w:val="24"/>
          <w:szCs w:val="24"/>
        </w:rPr>
      </w:pPr>
      <w:r w:rsidRPr="005E4CCF">
        <w:rPr>
          <w:rFonts w:cstheme="minorHAnsi"/>
          <w:sz w:val="24"/>
          <w:szCs w:val="24"/>
        </w:rPr>
        <w:t>Providing bags of groceries, in addition to meals.</w:t>
      </w:r>
    </w:p>
    <w:p w14:paraId="40F7766C" w14:textId="4EF0DA05" w:rsidR="00756BBE" w:rsidRPr="005E4CCF" w:rsidRDefault="00756BBE" w:rsidP="00756BBE">
      <w:pPr>
        <w:pStyle w:val="ListParagraph"/>
        <w:numPr>
          <w:ilvl w:val="0"/>
          <w:numId w:val="42"/>
        </w:numPr>
        <w:rPr>
          <w:rFonts w:cstheme="minorHAnsi"/>
          <w:sz w:val="24"/>
          <w:szCs w:val="24"/>
        </w:rPr>
      </w:pPr>
      <w:r w:rsidRPr="005E4CCF">
        <w:rPr>
          <w:rFonts w:cstheme="minorHAnsi"/>
          <w:sz w:val="24"/>
          <w:szCs w:val="24"/>
        </w:rPr>
        <w:t xml:space="preserve">Providing sample menus, along with groceries, to help </w:t>
      </w:r>
      <w:r w:rsidR="00447FEC">
        <w:rPr>
          <w:rFonts w:cstheme="minorHAnsi"/>
          <w:sz w:val="24"/>
          <w:szCs w:val="24"/>
        </w:rPr>
        <w:t>older adults or their caregiver</w:t>
      </w:r>
      <w:r w:rsidR="00447FEC" w:rsidRPr="005E4CCF">
        <w:rPr>
          <w:rFonts w:cstheme="minorHAnsi"/>
          <w:sz w:val="24"/>
          <w:szCs w:val="24"/>
        </w:rPr>
        <w:t xml:space="preserve">s </w:t>
      </w:r>
      <w:r w:rsidRPr="005E4CCF">
        <w:rPr>
          <w:rFonts w:cstheme="minorHAnsi"/>
          <w:sz w:val="24"/>
          <w:szCs w:val="24"/>
        </w:rPr>
        <w:t>make meals (</w:t>
      </w:r>
      <w:r w:rsidR="00447FEC">
        <w:rPr>
          <w:rFonts w:cstheme="minorHAnsi"/>
          <w:sz w:val="24"/>
          <w:szCs w:val="24"/>
        </w:rPr>
        <w:t xml:space="preserve">also </w:t>
      </w:r>
      <w:r w:rsidRPr="005E4CCF">
        <w:rPr>
          <w:rFonts w:cstheme="minorHAnsi"/>
          <w:sz w:val="24"/>
          <w:szCs w:val="24"/>
        </w:rPr>
        <w:t>a great way to</w:t>
      </w:r>
      <w:r w:rsidR="00447FEC">
        <w:rPr>
          <w:rFonts w:cstheme="minorHAnsi"/>
          <w:sz w:val="24"/>
          <w:szCs w:val="24"/>
        </w:rPr>
        <w:t xml:space="preserve"> meet the program’s goal of</w:t>
      </w:r>
      <w:r w:rsidRPr="005E4CCF">
        <w:rPr>
          <w:rFonts w:cstheme="minorHAnsi"/>
          <w:sz w:val="24"/>
          <w:szCs w:val="24"/>
        </w:rPr>
        <w:t xml:space="preserve"> provid</w:t>
      </w:r>
      <w:r w:rsidR="00447FEC">
        <w:rPr>
          <w:rFonts w:cstheme="minorHAnsi"/>
          <w:sz w:val="24"/>
          <w:szCs w:val="24"/>
        </w:rPr>
        <w:t>ing</w:t>
      </w:r>
      <w:r w:rsidRPr="005E4CCF">
        <w:rPr>
          <w:rFonts w:cstheme="minorHAnsi"/>
          <w:sz w:val="24"/>
          <w:szCs w:val="24"/>
        </w:rPr>
        <w:t xml:space="preserve"> nutrition education). </w:t>
      </w:r>
    </w:p>
    <w:p w14:paraId="7086E233" w14:textId="2584B539" w:rsidR="00756BBE" w:rsidRPr="005E4CCF" w:rsidRDefault="00756BBE" w:rsidP="00756BBE">
      <w:pPr>
        <w:pStyle w:val="ListParagraph"/>
        <w:numPr>
          <w:ilvl w:val="0"/>
          <w:numId w:val="42"/>
        </w:numPr>
        <w:rPr>
          <w:rFonts w:cstheme="minorHAnsi"/>
          <w:sz w:val="24"/>
          <w:szCs w:val="24"/>
        </w:rPr>
      </w:pPr>
      <w:r w:rsidRPr="005E4CCF">
        <w:rPr>
          <w:rFonts w:cstheme="minorHAnsi"/>
          <w:sz w:val="24"/>
          <w:szCs w:val="24"/>
        </w:rPr>
        <w:lastRenderedPageBreak/>
        <w:t xml:space="preserve">Using groceries instead of meals (this </w:t>
      </w:r>
      <w:r w:rsidR="006E63E2">
        <w:rPr>
          <w:rFonts w:cstheme="minorHAnsi"/>
          <w:sz w:val="24"/>
          <w:szCs w:val="24"/>
        </w:rPr>
        <w:t xml:space="preserve">approach </w:t>
      </w:r>
      <w:r w:rsidRPr="005E4CCF">
        <w:rPr>
          <w:rFonts w:cstheme="minorHAnsi"/>
          <w:sz w:val="24"/>
          <w:szCs w:val="24"/>
        </w:rPr>
        <w:t xml:space="preserve">is recommended to be limited to providers that are unable to procure meals at this time). </w:t>
      </w:r>
    </w:p>
    <w:p w14:paraId="01A0BDFC" w14:textId="77777777" w:rsidR="00756BBE" w:rsidRPr="005E4CCF" w:rsidRDefault="00756BBE" w:rsidP="00756BBE">
      <w:pPr>
        <w:pStyle w:val="ListParagraph"/>
        <w:numPr>
          <w:ilvl w:val="0"/>
          <w:numId w:val="42"/>
        </w:numPr>
        <w:rPr>
          <w:rFonts w:cstheme="minorHAnsi"/>
          <w:sz w:val="24"/>
          <w:szCs w:val="24"/>
        </w:rPr>
      </w:pPr>
      <w:r w:rsidRPr="005E4CCF">
        <w:rPr>
          <w:rFonts w:cstheme="minorHAnsi"/>
          <w:sz w:val="24"/>
          <w:szCs w:val="24"/>
        </w:rPr>
        <w:t xml:space="preserve">Providing individual grocery items, like milk or fruit, to enhance a meal (for example, when shelf-stable meals are provided). </w:t>
      </w:r>
    </w:p>
    <w:p w14:paraId="0EA51EFA" w14:textId="3A4C4DA4" w:rsidR="00756BBE" w:rsidRPr="005E4CCF" w:rsidRDefault="00756BBE" w:rsidP="00756BBE">
      <w:pPr>
        <w:pStyle w:val="ListParagraph"/>
        <w:numPr>
          <w:ilvl w:val="0"/>
          <w:numId w:val="42"/>
        </w:numPr>
        <w:rPr>
          <w:rFonts w:cstheme="minorHAnsi"/>
          <w:sz w:val="24"/>
          <w:szCs w:val="24"/>
        </w:rPr>
      </w:pPr>
      <w:r w:rsidRPr="005E4CCF">
        <w:rPr>
          <w:rFonts w:cstheme="minorHAnsi"/>
          <w:sz w:val="24"/>
          <w:szCs w:val="24"/>
        </w:rPr>
        <w:t xml:space="preserve">Providing nutritional supports, such as vitamins and </w:t>
      </w:r>
      <w:r w:rsidR="00447FEC">
        <w:rPr>
          <w:rFonts w:cstheme="minorHAnsi"/>
          <w:sz w:val="24"/>
          <w:szCs w:val="24"/>
        </w:rPr>
        <w:t xml:space="preserve">meal supplements (such as </w:t>
      </w:r>
      <w:r w:rsidRPr="005E4CCF">
        <w:rPr>
          <w:rFonts w:cstheme="minorHAnsi"/>
          <w:sz w:val="24"/>
          <w:szCs w:val="24"/>
        </w:rPr>
        <w:t>Ensure</w:t>
      </w:r>
      <w:r w:rsidR="00447FEC">
        <w:rPr>
          <w:rFonts w:cstheme="minorHAnsi"/>
          <w:sz w:val="24"/>
          <w:szCs w:val="24"/>
        </w:rPr>
        <w:t>)</w:t>
      </w:r>
      <w:r w:rsidRPr="005E4CCF">
        <w:rPr>
          <w:rFonts w:cstheme="minorHAnsi"/>
          <w:sz w:val="24"/>
          <w:szCs w:val="24"/>
        </w:rPr>
        <w:t>.</w:t>
      </w:r>
    </w:p>
    <w:p w14:paraId="448933F4" w14:textId="77777777" w:rsidR="00065B0D" w:rsidRDefault="00065B0D" w:rsidP="00065B0D">
      <w:pPr>
        <w:rPr>
          <w:rFonts w:cstheme="minorHAnsi"/>
          <w:sz w:val="24"/>
          <w:szCs w:val="24"/>
        </w:rPr>
      </w:pPr>
    </w:p>
    <w:p w14:paraId="301F94E6" w14:textId="08E8DF4A" w:rsidR="00065B0D" w:rsidRPr="005E4CCF" w:rsidRDefault="00065B0D" w:rsidP="00065B0D">
      <w:pPr>
        <w:rPr>
          <w:rFonts w:cstheme="minorHAnsi"/>
          <w:sz w:val="24"/>
          <w:szCs w:val="24"/>
        </w:rPr>
      </w:pPr>
      <w:r w:rsidRPr="005E4CCF">
        <w:rPr>
          <w:rFonts w:cstheme="minorHAnsi"/>
          <w:sz w:val="24"/>
          <w:szCs w:val="24"/>
        </w:rPr>
        <w:t xml:space="preserve">ACL and the </w:t>
      </w:r>
      <w:hyperlink r:id="rId11" w:history="1">
        <w:r w:rsidRPr="005E4CCF">
          <w:rPr>
            <w:rStyle w:val="Hyperlink"/>
            <w:rFonts w:cstheme="minorHAnsi"/>
            <w:sz w:val="24"/>
            <w:szCs w:val="24"/>
          </w:rPr>
          <w:t>National Resource Center on Nutrition and Aging</w:t>
        </w:r>
      </w:hyperlink>
      <w:r w:rsidRPr="005E4CCF">
        <w:rPr>
          <w:rFonts w:cstheme="minorHAnsi"/>
          <w:sz w:val="24"/>
          <w:szCs w:val="24"/>
        </w:rPr>
        <w:t xml:space="preserve"> have developed</w:t>
      </w:r>
      <w:r>
        <w:rPr>
          <w:rFonts w:cstheme="minorHAnsi"/>
          <w:sz w:val="24"/>
          <w:szCs w:val="24"/>
        </w:rPr>
        <w:t xml:space="preserve"> </w:t>
      </w:r>
      <w:hyperlink r:id="rId12" w:history="1">
        <w:r w:rsidRPr="00065B0D">
          <w:rPr>
            <w:rStyle w:val="Hyperlink"/>
            <w:rFonts w:cstheme="minorHAnsi"/>
            <w:sz w:val="24"/>
            <w:szCs w:val="24"/>
          </w:rPr>
          <w:t>a number of resources</w:t>
        </w:r>
      </w:hyperlink>
      <w:r w:rsidRPr="005E4CCF">
        <w:rPr>
          <w:rFonts w:cstheme="minorHAnsi"/>
          <w:sz w:val="24"/>
          <w:szCs w:val="24"/>
        </w:rPr>
        <w:t xml:space="preserve"> to assist the national aging nutrition network in this unprecedented time, including FAQs, </w:t>
      </w:r>
      <w:r>
        <w:rPr>
          <w:rFonts w:cstheme="minorHAnsi"/>
          <w:sz w:val="24"/>
          <w:szCs w:val="24"/>
        </w:rPr>
        <w:t>t</w:t>
      </w:r>
      <w:r w:rsidRPr="005E4CCF">
        <w:rPr>
          <w:rFonts w:cstheme="minorHAnsi"/>
          <w:sz w:val="24"/>
          <w:szCs w:val="24"/>
        </w:rPr>
        <w:t xml:space="preserve">ip </w:t>
      </w:r>
      <w:r>
        <w:rPr>
          <w:rFonts w:cstheme="minorHAnsi"/>
          <w:sz w:val="24"/>
          <w:szCs w:val="24"/>
        </w:rPr>
        <w:t>s</w:t>
      </w:r>
      <w:r w:rsidRPr="005E4CCF">
        <w:rPr>
          <w:rFonts w:cstheme="minorHAnsi"/>
          <w:sz w:val="24"/>
          <w:szCs w:val="24"/>
        </w:rPr>
        <w:t>heets, and other materials</w:t>
      </w:r>
      <w:r>
        <w:rPr>
          <w:rFonts w:cstheme="minorHAnsi"/>
          <w:sz w:val="24"/>
          <w:szCs w:val="24"/>
        </w:rPr>
        <w:t xml:space="preserve">, but </w:t>
      </w:r>
      <w:r w:rsidRPr="005E4CCF">
        <w:rPr>
          <w:rFonts w:cstheme="minorHAnsi"/>
          <w:sz w:val="24"/>
          <w:szCs w:val="24"/>
        </w:rPr>
        <w:t>we understand that some confusion still exists about groceries.</w:t>
      </w:r>
      <w:r>
        <w:rPr>
          <w:rFonts w:cstheme="minorHAnsi"/>
          <w:sz w:val="24"/>
          <w:szCs w:val="24"/>
        </w:rPr>
        <w:t xml:space="preserve"> This FAQ addresses the questions we are hearing most frequently.</w:t>
      </w:r>
    </w:p>
    <w:p w14:paraId="3DB04A0A" w14:textId="77777777" w:rsidR="00750B49" w:rsidRDefault="00750B49" w:rsidP="00750B49">
      <w:pPr>
        <w:rPr>
          <w:rFonts w:cstheme="minorHAnsi"/>
          <w:sz w:val="24"/>
          <w:szCs w:val="24"/>
        </w:rPr>
      </w:pPr>
    </w:p>
    <w:p w14:paraId="0E82D234" w14:textId="1835BF56" w:rsidR="00750B49" w:rsidRPr="007355CA" w:rsidRDefault="00750B49" w:rsidP="00750B49">
      <w:pPr>
        <w:rPr>
          <w:rFonts w:cstheme="minorHAnsi"/>
          <w:i/>
          <w:sz w:val="20"/>
          <w:szCs w:val="20"/>
        </w:rPr>
      </w:pPr>
      <w:r w:rsidRPr="00347760">
        <w:rPr>
          <w:rFonts w:cstheme="minorHAnsi"/>
          <w:i/>
          <w:sz w:val="20"/>
          <w:szCs w:val="20"/>
        </w:rPr>
        <w:t>*</w:t>
      </w:r>
      <w:r>
        <w:rPr>
          <w:rFonts w:cstheme="minorHAnsi"/>
          <w:i/>
          <w:sz w:val="20"/>
          <w:szCs w:val="20"/>
        </w:rPr>
        <w:t xml:space="preserve"> </w:t>
      </w:r>
      <w:r w:rsidRPr="00347760">
        <w:rPr>
          <w:rFonts w:cstheme="minorHAnsi"/>
          <w:i/>
          <w:sz w:val="20"/>
          <w:szCs w:val="20"/>
        </w:rPr>
        <w:t xml:space="preserve">This </w:t>
      </w:r>
      <w:hyperlink r:id="rId13" w:history="1">
        <w:r w:rsidRPr="00347760">
          <w:rPr>
            <w:rStyle w:val="Hyperlink"/>
            <w:rFonts w:cstheme="minorHAnsi"/>
            <w:i/>
            <w:sz w:val="20"/>
            <w:szCs w:val="20"/>
          </w:rPr>
          <w:t xml:space="preserve">spreadsheet </w:t>
        </w:r>
      </w:hyperlink>
      <w:r w:rsidRPr="00347760">
        <w:rPr>
          <w:rFonts w:cstheme="minorHAnsi"/>
          <w:b/>
          <w:i/>
          <w:sz w:val="20"/>
          <w:szCs w:val="20"/>
        </w:rPr>
        <w:t xml:space="preserve"> </w:t>
      </w:r>
      <w:r w:rsidRPr="00347760">
        <w:rPr>
          <w:rFonts w:cstheme="minorHAnsi"/>
          <w:i/>
          <w:sz w:val="20"/>
          <w:szCs w:val="20"/>
        </w:rPr>
        <w:t>provides additional details about the Older Americans Act and the four disaster authorities</w:t>
      </w:r>
      <w:r w:rsidRPr="00750B49">
        <w:rPr>
          <w:rFonts w:cstheme="minorHAnsi"/>
          <w:i/>
          <w:sz w:val="20"/>
          <w:szCs w:val="20"/>
        </w:rPr>
        <w:t xml:space="preserve"> </w:t>
      </w:r>
      <w:r w:rsidRPr="007355CA">
        <w:rPr>
          <w:rFonts w:cstheme="minorHAnsi"/>
          <w:i/>
          <w:sz w:val="20"/>
          <w:szCs w:val="20"/>
        </w:rPr>
        <w:t>under which states are operating</w:t>
      </w:r>
      <w:r>
        <w:rPr>
          <w:rFonts w:cstheme="minorHAnsi"/>
          <w:i/>
          <w:sz w:val="20"/>
          <w:szCs w:val="20"/>
        </w:rPr>
        <w:t xml:space="preserve"> </w:t>
      </w:r>
      <w:r w:rsidRPr="00347760">
        <w:rPr>
          <w:rFonts w:cstheme="minorHAnsi"/>
          <w:i/>
          <w:sz w:val="20"/>
          <w:szCs w:val="20"/>
        </w:rPr>
        <w:t xml:space="preserve">(Public Health, Major Disaster, Families First Act, </w:t>
      </w:r>
      <w:r>
        <w:rPr>
          <w:rFonts w:cstheme="minorHAnsi"/>
          <w:i/>
          <w:sz w:val="20"/>
          <w:szCs w:val="20"/>
        </w:rPr>
        <w:t>and</w:t>
      </w:r>
      <w:r w:rsidRPr="00347760">
        <w:rPr>
          <w:rFonts w:cstheme="minorHAnsi"/>
          <w:i/>
          <w:sz w:val="20"/>
          <w:szCs w:val="20"/>
        </w:rPr>
        <w:t xml:space="preserve"> CARES Act)</w:t>
      </w:r>
    </w:p>
    <w:p w14:paraId="396C3407" w14:textId="42A7EEA7" w:rsidR="00750B49" w:rsidRDefault="00750B49" w:rsidP="00756BBE">
      <w:pPr>
        <w:rPr>
          <w:rFonts w:cstheme="minorHAnsi"/>
          <w:sz w:val="24"/>
          <w:szCs w:val="24"/>
        </w:rPr>
      </w:pPr>
    </w:p>
    <w:p w14:paraId="29435493" w14:textId="77777777" w:rsidR="00750B49" w:rsidRPr="005E4CCF" w:rsidRDefault="00750B49" w:rsidP="00756BBE">
      <w:pPr>
        <w:rPr>
          <w:rFonts w:cstheme="minorHAnsi"/>
          <w:sz w:val="24"/>
          <w:szCs w:val="24"/>
        </w:rPr>
      </w:pPr>
    </w:p>
    <w:p w14:paraId="5B36E474" w14:textId="2A039D9A" w:rsidR="00756BBE" w:rsidRPr="005E4CCF" w:rsidRDefault="00756BBE" w:rsidP="00756BBE">
      <w:pPr>
        <w:rPr>
          <w:rFonts w:cstheme="minorHAnsi"/>
          <w:b/>
          <w:sz w:val="28"/>
          <w:szCs w:val="28"/>
        </w:rPr>
      </w:pPr>
      <w:r w:rsidRPr="005E4CCF">
        <w:rPr>
          <w:rFonts w:cstheme="minorHAnsi"/>
          <w:b/>
          <w:sz w:val="28"/>
          <w:szCs w:val="28"/>
        </w:rPr>
        <w:t xml:space="preserve">Question: </w:t>
      </w:r>
    </w:p>
    <w:p w14:paraId="3257221E" w14:textId="0A1F1B5D" w:rsidR="00756BBE" w:rsidRPr="005E4CCF" w:rsidRDefault="00756BBE" w:rsidP="00756BBE">
      <w:pPr>
        <w:rPr>
          <w:rFonts w:cstheme="minorHAnsi"/>
          <w:sz w:val="24"/>
          <w:szCs w:val="24"/>
        </w:rPr>
      </w:pPr>
      <w:r w:rsidRPr="005E4CCF">
        <w:rPr>
          <w:rFonts w:cstheme="minorHAnsi"/>
          <w:sz w:val="24"/>
          <w:szCs w:val="24"/>
        </w:rPr>
        <w:t>Do bags or boxes of groceries count as a meal?</w:t>
      </w:r>
    </w:p>
    <w:p w14:paraId="0BB56EA3" w14:textId="77777777" w:rsidR="005E4CCF" w:rsidRDefault="00756BBE" w:rsidP="00756BBE">
      <w:pPr>
        <w:rPr>
          <w:rFonts w:cstheme="minorHAnsi"/>
          <w:sz w:val="24"/>
          <w:szCs w:val="24"/>
        </w:rPr>
      </w:pPr>
      <w:r w:rsidRPr="005E4CCF">
        <w:rPr>
          <w:rFonts w:cstheme="minorHAnsi"/>
          <w:b/>
          <w:sz w:val="28"/>
          <w:szCs w:val="28"/>
        </w:rPr>
        <w:t>Answer:</w:t>
      </w:r>
      <w:r w:rsidRPr="005E4CCF">
        <w:rPr>
          <w:rFonts w:cstheme="minorHAnsi"/>
          <w:sz w:val="24"/>
          <w:szCs w:val="24"/>
        </w:rPr>
        <w:t xml:space="preserve"> </w:t>
      </w:r>
    </w:p>
    <w:p w14:paraId="37750319" w14:textId="69F8DFFA" w:rsidR="00756BBE" w:rsidRPr="005E4CCF" w:rsidRDefault="00756BBE" w:rsidP="00756BBE">
      <w:pPr>
        <w:rPr>
          <w:rFonts w:cstheme="minorHAnsi"/>
          <w:sz w:val="24"/>
          <w:szCs w:val="24"/>
        </w:rPr>
      </w:pPr>
      <w:r w:rsidRPr="005E4CCF">
        <w:rPr>
          <w:rFonts w:cstheme="minorHAnsi"/>
          <w:sz w:val="24"/>
          <w:szCs w:val="24"/>
        </w:rPr>
        <w:lastRenderedPageBreak/>
        <w:t xml:space="preserve">No, bags or boxes of groceries should not be counted as a meal. </w:t>
      </w:r>
    </w:p>
    <w:p w14:paraId="1F04A8E1" w14:textId="77777777" w:rsidR="00756BBE" w:rsidRPr="005E4CCF" w:rsidRDefault="00756BBE" w:rsidP="00756BBE">
      <w:pPr>
        <w:rPr>
          <w:rFonts w:cstheme="minorHAnsi"/>
          <w:sz w:val="24"/>
          <w:szCs w:val="24"/>
        </w:rPr>
      </w:pPr>
      <w:r w:rsidRPr="005E4CCF">
        <w:rPr>
          <w:rFonts w:cstheme="minorHAnsi"/>
          <w:sz w:val="24"/>
          <w:szCs w:val="24"/>
        </w:rPr>
        <w:t>Additional context:</w:t>
      </w:r>
    </w:p>
    <w:p w14:paraId="12656A52" w14:textId="256F39EC" w:rsidR="00134E84" w:rsidRDefault="00756BBE" w:rsidP="001A2C7D">
      <w:pPr>
        <w:ind w:left="720"/>
        <w:rPr>
          <w:rFonts w:cstheme="minorHAnsi"/>
          <w:i/>
          <w:sz w:val="24"/>
          <w:szCs w:val="24"/>
        </w:rPr>
      </w:pPr>
      <w:r w:rsidRPr="005E4CCF">
        <w:rPr>
          <w:rFonts w:cstheme="minorHAnsi"/>
          <w:i/>
          <w:sz w:val="24"/>
          <w:szCs w:val="24"/>
        </w:rPr>
        <w:t xml:space="preserve">ACL determined early on that bags and boxes of groceries are not meals. This </w:t>
      </w:r>
      <w:r w:rsidR="00347760">
        <w:rPr>
          <w:rFonts w:cstheme="minorHAnsi"/>
          <w:i/>
          <w:sz w:val="24"/>
          <w:szCs w:val="24"/>
        </w:rPr>
        <w:t xml:space="preserve">decision </w:t>
      </w:r>
      <w:r w:rsidRPr="005E4CCF">
        <w:rPr>
          <w:rFonts w:cstheme="minorHAnsi"/>
          <w:i/>
          <w:sz w:val="24"/>
          <w:szCs w:val="24"/>
        </w:rPr>
        <w:t xml:space="preserve">was </w:t>
      </w:r>
      <w:r w:rsidR="00447FEC">
        <w:rPr>
          <w:rFonts w:cstheme="minorHAnsi"/>
          <w:i/>
          <w:sz w:val="24"/>
          <w:szCs w:val="24"/>
        </w:rPr>
        <w:t>based on</w:t>
      </w:r>
      <w:r w:rsidRPr="005E4CCF">
        <w:rPr>
          <w:rFonts w:cstheme="minorHAnsi"/>
          <w:i/>
          <w:sz w:val="24"/>
          <w:szCs w:val="24"/>
        </w:rPr>
        <w:t xml:space="preserve"> feedback from many folks in the network who were scrambling trying to make meals out of groceries, i.e., counting meals</w:t>
      </w:r>
      <w:r w:rsidR="00447FEC">
        <w:rPr>
          <w:rFonts w:cstheme="minorHAnsi"/>
          <w:i/>
          <w:sz w:val="24"/>
          <w:szCs w:val="24"/>
        </w:rPr>
        <w:t xml:space="preserve"> and</w:t>
      </w:r>
      <w:r w:rsidRPr="005E4CCF">
        <w:rPr>
          <w:rFonts w:cstheme="minorHAnsi"/>
          <w:i/>
          <w:sz w:val="24"/>
          <w:szCs w:val="24"/>
        </w:rPr>
        <w:t xml:space="preserve"> calories</w:t>
      </w:r>
      <w:r w:rsidR="00447FEC">
        <w:rPr>
          <w:rFonts w:cstheme="minorHAnsi"/>
          <w:i/>
          <w:sz w:val="24"/>
          <w:szCs w:val="24"/>
        </w:rPr>
        <w:t>, t</w:t>
      </w:r>
      <w:r w:rsidRPr="005E4CCF">
        <w:rPr>
          <w:rFonts w:cstheme="minorHAnsi"/>
          <w:i/>
          <w:sz w:val="24"/>
          <w:szCs w:val="24"/>
        </w:rPr>
        <w:t xml:space="preserve">rying to meet DRIs/DGAs, etc.  That </w:t>
      </w:r>
      <w:r w:rsidR="00347760">
        <w:rPr>
          <w:rFonts w:cstheme="minorHAnsi"/>
          <w:i/>
          <w:sz w:val="24"/>
          <w:szCs w:val="24"/>
        </w:rPr>
        <w:t xml:space="preserve">practice </w:t>
      </w:r>
      <w:r w:rsidRPr="005E4CCF">
        <w:rPr>
          <w:rFonts w:cstheme="minorHAnsi"/>
          <w:i/>
          <w:sz w:val="24"/>
          <w:szCs w:val="24"/>
        </w:rPr>
        <w:t xml:space="preserve">was proving burdensome and confusing so, for the purposes of program reporting, groceries should not be divided up and counted as individual meals. </w:t>
      </w:r>
    </w:p>
    <w:p w14:paraId="09C3977C" w14:textId="33565014" w:rsidR="00134E84" w:rsidRDefault="00134E84" w:rsidP="001A2C7D">
      <w:pPr>
        <w:ind w:left="720"/>
        <w:rPr>
          <w:rFonts w:cstheme="minorHAnsi"/>
          <w:i/>
          <w:sz w:val="24"/>
          <w:szCs w:val="24"/>
        </w:rPr>
      </w:pPr>
      <w:r>
        <w:rPr>
          <w:rFonts w:cstheme="minorHAnsi"/>
          <w:i/>
          <w:sz w:val="24"/>
          <w:szCs w:val="24"/>
        </w:rPr>
        <w:t xml:space="preserve">Instead, </w:t>
      </w:r>
      <w:r w:rsidR="003D6793">
        <w:rPr>
          <w:rFonts w:cstheme="minorHAnsi"/>
          <w:i/>
          <w:sz w:val="24"/>
          <w:szCs w:val="24"/>
        </w:rPr>
        <w:t xml:space="preserve">programs should track </w:t>
      </w:r>
      <w:r>
        <w:rPr>
          <w:rFonts w:cstheme="minorHAnsi"/>
          <w:i/>
          <w:sz w:val="24"/>
          <w:szCs w:val="24"/>
        </w:rPr>
        <w:t>both</w:t>
      </w:r>
      <w:r w:rsidR="00447FEC">
        <w:rPr>
          <w:rFonts w:cstheme="minorHAnsi"/>
          <w:i/>
          <w:sz w:val="24"/>
          <w:szCs w:val="24"/>
        </w:rPr>
        <w:t xml:space="preserve"> meals and groceries</w:t>
      </w:r>
      <w:r w:rsidR="003D6793">
        <w:rPr>
          <w:rFonts w:cstheme="minorHAnsi"/>
          <w:i/>
          <w:sz w:val="24"/>
          <w:szCs w:val="24"/>
        </w:rPr>
        <w:t>,</w:t>
      </w:r>
      <w:r w:rsidR="00447FEC">
        <w:rPr>
          <w:rFonts w:cstheme="minorHAnsi"/>
          <w:i/>
          <w:sz w:val="24"/>
          <w:szCs w:val="24"/>
        </w:rPr>
        <w:t xml:space="preserve"> </w:t>
      </w:r>
      <w:r>
        <w:rPr>
          <w:rFonts w:cstheme="minorHAnsi"/>
          <w:i/>
          <w:sz w:val="24"/>
          <w:szCs w:val="24"/>
        </w:rPr>
        <w:t>and in</w:t>
      </w:r>
      <w:r w:rsidR="00756BBE" w:rsidRPr="005E4CCF">
        <w:rPr>
          <w:rFonts w:cstheme="minorHAnsi"/>
          <w:i/>
          <w:sz w:val="24"/>
          <w:szCs w:val="24"/>
        </w:rPr>
        <w:t xml:space="preserve"> the end we will show we fed </w:t>
      </w:r>
      <w:r>
        <w:rPr>
          <w:rFonts w:cstheme="minorHAnsi"/>
          <w:i/>
          <w:sz w:val="24"/>
          <w:szCs w:val="24"/>
        </w:rPr>
        <w:t>X</w:t>
      </w:r>
      <w:r w:rsidRPr="005E4CCF">
        <w:rPr>
          <w:rFonts w:cstheme="minorHAnsi"/>
          <w:i/>
          <w:sz w:val="24"/>
          <w:szCs w:val="24"/>
        </w:rPr>
        <w:t xml:space="preserve"> </w:t>
      </w:r>
      <w:r w:rsidR="00756BBE" w:rsidRPr="005E4CCF">
        <w:rPr>
          <w:rFonts w:cstheme="minorHAnsi"/>
          <w:i/>
          <w:sz w:val="24"/>
          <w:szCs w:val="24"/>
        </w:rPr>
        <w:t>number of seniors.</w:t>
      </w:r>
      <w:r w:rsidR="00447FEC">
        <w:rPr>
          <w:rFonts w:cstheme="minorHAnsi"/>
          <w:i/>
          <w:sz w:val="24"/>
          <w:szCs w:val="24"/>
        </w:rPr>
        <w:t xml:space="preserve"> </w:t>
      </w:r>
      <w:r>
        <w:rPr>
          <w:rFonts w:cstheme="minorHAnsi"/>
          <w:i/>
          <w:sz w:val="24"/>
          <w:szCs w:val="24"/>
        </w:rPr>
        <w:t>(</w:t>
      </w:r>
      <w:r w:rsidR="00756BBE" w:rsidRPr="005E4CCF">
        <w:rPr>
          <w:rFonts w:cstheme="minorHAnsi"/>
          <w:i/>
          <w:sz w:val="24"/>
          <w:szCs w:val="24"/>
        </w:rPr>
        <w:t xml:space="preserve">Additional COVID-related programmatic reporting guidance </w:t>
      </w:r>
      <w:r>
        <w:rPr>
          <w:rFonts w:cstheme="minorHAnsi"/>
          <w:i/>
          <w:sz w:val="24"/>
          <w:szCs w:val="24"/>
        </w:rPr>
        <w:t xml:space="preserve">can be found on </w:t>
      </w:r>
      <w:hyperlink r:id="rId14" w:history="1">
        <w:r w:rsidRPr="00134E84">
          <w:rPr>
            <w:rStyle w:val="Hyperlink"/>
            <w:rFonts w:cstheme="minorHAnsi"/>
            <w:i/>
            <w:sz w:val="24"/>
            <w:szCs w:val="24"/>
          </w:rPr>
          <w:t>ACL’s COVID-19 web page</w:t>
        </w:r>
      </w:hyperlink>
      <w:r>
        <w:rPr>
          <w:rFonts w:cstheme="minorHAnsi"/>
          <w:i/>
          <w:sz w:val="24"/>
          <w:szCs w:val="24"/>
        </w:rPr>
        <w:t>.)</w:t>
      </w:r>
    </w:p>
    <w:p w14:paraId="059D0774" w14:textId="621FF528" w:rsidR="00756BBE" w:rsidRPr="005E4CCF" w:rsidRDefault="00134E84" w:rsidP="001A2C7D">
      <w:pPr>
        <w:ind w:left="720"/>
        <w:rPr>
          <w:rFonts w:cstheme="minorHAnsi"/>
          <w:i/>
          <w:sz w:val="24"/>
          <w:szCs w:val="24"/>
        </w:rPr>
      </w:pPr>
      <w:r>
        <w:rPr>
          <w:rFonts w:cstheme="minorHAnsi"/>
          <w:i/>
          <w:sz w:val="24"/>
          <w:szCs w:val="24"/>
        </w:rPr>
        <w:t xml:space="preserve">Bottom line: </w:t>
      </w:r>
      <w:r w:rsidR="00756BBE" w:rsidRPr="005E4CCF">
        <w:rPr>
          <w:rFonts w:cstheme="minorHAnsi"/>
          <w:i/>
          <w:sz w:val="24"/>
          <w:szCs w:val="24"/>
        </w:rPr>
        <w:t>Grantees should not worry about how many meals you are serving</w:t>
      </w:r>
      <w:r>
        <w:rPr>
          <w:rFonts w:cstheme="minorHAnsi"/>
          <w:i/>
          <w:sz w:val="24"/>
          <w:szCs w:val="24"/>
        </w:rPr>
        <w:t xml:space="preserve">, as long as you are providing </w:t>
      </w:r>
      <w:r w:rsidR="00756BBE" w:rsidRPr="005E4CCF">
        <w:rPr>
          <w:rFonts w:cstheme="minorHAnsi"/>
          <w:i/>
          <w:sz w:val="24"/>
          <w:szCs w:val="24"/>
        </w:rPr>
        <w:t xml:space="preserve">food. </w:t>
      </w:r>
    </w:p>
    <w:p w14:paraId="191200CD" w14:textId="77777777" w:rsidR="005E4CCF" w:rsidRDefault="005E4CCF" w:rsidP="00756BBE">
      <w:pPr>
        <w:rPr>
          <w:rFonts w:cstheme="minorHAnsi"/>
          <w:b/>
          <w:sz w:val="28"/>
          <w:szCs w:val="28"/>
        </w:rPr>
      </w:pPr>
    </w:p>
    <w:p w14:paraId="74339826" w14:textId="382C5DA9" w:rsidR="00756BBE" w:rsidRPr="005E4CCF" w:rsidRDefault="00756BBE" w:rsidP="00756BBE">
      <w:pPr>
        <w:rPr>
          <w:rFonts w:cstheme="minorHAnsi"/>
          <w:b/>
          <w:sz w:val="28"/>
          <w:szCs w:val="28"/>
        </w:rPr>
      </w:pPr>
      <w:r w:rsidRPr="005E4CCF">
        <w:rPr>
          <w:rFonts w:cstheme="minorHAnsi"/>
          <w:b/>
          <w:sz w:val="28"/>
          <w:szCs w:val="28"/>
        </w:rPr>
        <w:t xml:space="preserve">Question: </w:t>
      </w:r>
    </w:p>
    <w:p w14:paraId="6EBF915B" w14:textId="25F9AA0D" w:rsidR="00756BBE" w:rsidRPr="005E4CCF" w:rsidRDefault="00756BBE" w:rsidP="00756BBE">
      <w:pPr>
        <w:rPr>
          <w:rFonts w:cstheme="minorHAnsi"/>
          <w:sz w:val="24"/>
          <w:szCs w:val="24"/>
        </w:rPr>
      </w:pPr>
      <w:r w:rsidRPr="005E4CCF">
        <w:rPr>
          <w:rFonts w:cstheme="minorHAnsi"/>
          <w:sz w:val="24"/>
          <w:szCs w:val="24"/>
        </w:rPr>
        <w:t>Are SUAs allowed to use Title III C1 or III C2</w:t>
      </w:r>
      <w:r w:rsidR="00134E84">
        <w:rPr>
          <w:rFonts w:cstheme="minorHAnsi"/>
          <w:sz w:val="24"/>
          <w:szCs w:val="24"/>
        </w:rPr>
        <w:t xml:space="preserve"> funds</w:t>
      </w:r>
      <w:r w:rsidRPr="005E4CCF">
        <w:rPr>
          <w:rFonts w:cstheme="minorHAnsi"/>
          <w:sz w:val="24"/>
          <w:szCs w:val="24"/>
        </w:rPr>
        <w:t xml:space="preserve"> for grocery pick-up, delivery, or other household items? </w:t>
      </w:r>
    </w:p>
    <w:p w14:paraId="3112EA35" w14:textId="77777777" w:rsidR="005E4CCF" w:rsidRDefault="00756BBE" w:rsidP="00756BBE">
      <w:pPr>
        <w:rPr>
          <w:rFonts w:cstheme="minorHAnsi"/>
          <w:sz w:val="24"/>
          <w:szCs w:val="24"/>
        </w:rPr>
      </w:pPr>
      <w:r w:rsidRPr="005E4CCF">
        <w:rPr>
          <w:rFonts w:cstheme="minorHAnsi"/>
          <w:b/>
          <w:sz w:val="28"/>
          <w:szCs w:val="28"/>
        </w:rPr>
        <w:t>Answer:</w:t>
      </w:r>
      <w:r w:rsidRPr="005E4CCF">
        <w:rPr>
          <w:rFonts w:cstheme="minorHAnsi"/>
          <w:sz w:val="24"/>
          <w:szCs w:val="24"/>
        </w:rPr>
        <w:t xml:space="preserve">  </w:t>
      </w:r>
    </w:p>
    <w:p w14:paraId="499B83E9" w14:textId="668827A4" w:rsidR="00134E84" w:rsidRDefault="006F3A37" w:rsidP="00756BBE">
      <w:pPr>
        <w:rPr>
          <w:rFonts w:cstheme="minorHAnsi"/>
          <w:sz w:val="24"/>
          <w:szCs w:val="24"/>
        </w:rPr>
      </w:pPr>
      <w:r>
        <w:rPr>
          <w:rFonts w:cstheme="minorHAnsi"/>
          <w:sz w:val="24"/>
          <w:szCs w:val="24"/>
        </w:rPr>
        <w:t>Ordinarily, no. But when operating under MDD authorities, yes.</w:t>
      </w:r>
    </w:p>
    <w:p w14:paraId="20F1C0D1" w14:textId="77777777" w:rsidR="00756BBE" w:rsidRPr="005E4CCF" w:rsidRDefault="00756BBE" w:rsidP="00347760">
      <w:pPr>
        <w:ind w:left="720"/>
        <w:rPr>
          <w:rFonts w:cstheme="minorHAnsi"/>
          <w:sz w:val="24"/>
          <w:szCs w:val="24"/>
        </w:rPr>
      </w:pPr>
      <w:r w:rsidRPr="005E4CCF">
        <w:rPr>
          <w:rFonts w:cstheme="minorHAnsi"/>
          <w:sz w:val="24"/>
          <w:szCs w:val="24"/>
        </w:rPr>
        <w:t>Additional context:</w:t>
      </w:r>
    </w:p>
    <w:p w14:paraId="197BD158" w14:textId="1B734BD6" w:rsidR="006F3A37" w:rsidRDefault="006F3A37" w:rsidP="00347760">
      <w:pPr>
        <w:ind w:left="720"/>
        <w:rPr>
          <w:rFonts w:cstheme="minorHAnsi"/>
          <w:i/>
          <w:sz w:val="24"/>
          <w:szCs w:val="24"/>
        </w:rPr>
      </w:pPr>
      <w:r>
        <w:rPr>
          <w:rFonts w:cstheme="minorHAnsi"/>
          <w:i/>
          <w:sz w:val="24"/>
          <w:szCs w:val="24"/>
        </w:rPr>
        <w:lastRenderedPageBreak/>
        <w:t>U</w:t>
      </w:r>
      <w:r w:rsidR="00756BBE" w:rsidRPr="005E4CCF">
        <w:rPr>
          <w:rFonts w:cstheme="minorHAnsi"/>
          <w:i/>
          <w:sz w:val="24"/>
          <w:szCs w:val="24"/>
        </w:rPr>
        <w:t xml:space="preserve">nder regular OAA authorities, Title </w:t>
      </w:r>
      <w:r w:rsidR="00134E84" w:rsidRPr="005E4CCF">
        <w:rPr>
          <w:rFonts w:cstheme="minorHAnsi"/>
          <w:i/>
          <w:sz w:val="24"/>
          <w:szCs w:val="24"/>
        </w:rPr>
        <w:t>III</w:t>
      </w:r>
      <w:r w:rsidR="00134E84">
        <w:rPr>
          <w:rFonts w:cstheme="minorHAnsi"/>
          <w:i/>
          <w:sz w:val="24"/>
          <w:szCs w:val="24"/>
        </w:rPr>
        <w:t>-</w:t>
      </w:r>
      <w:r w:rsidR="00756BBE" w:rsidRPr="005E4CCF">
        <w:rPr>
          <w:rFonts w:cstheme="minorHAnsi"/>
          <w:i/>
          <w:sz w:val="24"/>
          <w:szCs w:val="24"/>
        </w:rPr>
        <w:t>B funds can be used for such services</w:t>
      </w:r>
      <w:r>
        <w:rPr>
          <w:rFonts w:cstheme="minorHAnsi"/>
          <w:i/>
          <w:sz w:val="24"/>
          <w:szCs w:val="24"/>
        </w:rPr>
        <w:t xml:space="preserve">, but </w:t>
      </w:r>
      <w:r w:rsidRPr="00347760">
        <w:rPr>
          <w:rFonts w:cstheme="minorHAnsi"/>
          <w:i/>
          <w:sz w:val="24"/>
          <w:szCs w:val="24"/>
        </w:rPr>
        <w:t xml:space="preserve">Title III C funds </w:t>
      </w:r>
      <w:r>
        <w:rPr>
          <w:rFonts w:cstheme="minorHAnsi"/>
          <w:i/>
          <w:sz w:val="24"/>
          <w:szCs w:val="24"/>
        </w:rPr>
        <w:t xml:space="preserve">cannot. However, </w:t>
      </w:r>
      <w:r w:rsidRPr="00347760">
        <w:rPr>
          <w:rFonts w:cstheme="minorHAnsi"/>
          <w:i/>
          <w:sz w:val="24"/>
          <w:szCs w:val="24"/>
        </w:rPr>
        <w:t xml:space="preserve">under MDD authorities, all </w:t>
      </w:r>
      <w:r>
        <w:rPr>
          <w:rFonts w:cstheme="minorHAnsi"/>
          <w:i/>
          <w:sz w:val="24"/>
          <w:szCs w:val="24"/>
        </w:rPr>
        <w:t xml:space="preserve">OAA </w:t>
      </w:r>
      <w:r w:rsidRPr="00347760">
        <w:rPr>
          <w:rFonts w:cstheme="minorHAnsi"/>
          <w:i/>
          <w:sz w:val="24"/>
          <w:szCs w:val="24"/>
        </w:rPr>
        <w:t>funding</w:t>
      </w:r>
      <w:r>
        <w:rPr>
          <w:rFonts w:cstheme="minorHAnsi"/>
          <w:i/>
          <w:sz w:val="24"/>
          <w:szCs w:val="24"/>
        </w:rPr>
        <w:t xml:space="preserve"> </w:t>
      </w:r>
      <w:r w:rsidRPr="00347760">
        <w:rPr>
          <w:rFonts w:cstheme="minorHAnsi"/>
          <w:i/>
          <w:sz w:val="24"/>
          <w:szCs w:val="24"/>
        </w:rPr>
        <w:t xml:space="preserve">may be allocated to </w:t>
      </w:r>
      <w:r w:rsidRPr="00347760">
        <w:rPr>
          <w:rFonts w:cstheme="minorHAnsi"/>
          <w:i/>
          <w:sz w:val="24"/>
          <w:szCs w:val="24"/>
          <w:u w:val="single"/>
        </w:rPr>
        <w:t>any</w:t>
      </w:r>
      <w:r w:rsidRPr="00347760">
        <w:rPr>
          <w:rFonts w:cstheme="minorHAnsi"/>
          <w:i/>
          <w:sz w:val="24"/>
          <w:szCs w:val="24"/>
        </w:rPr>
        <w:t xml:space="preserve"> of the OAA titles.</w:t>
      </w:r>
    </w:p>
    <w:p w14:paraId="09577A1B" w14:textId="4FA3E259" w:rsidR="006F3A37" w:rsidRPr="005E4CCF" w:rsidRDefault="006F3A37" w:rsidP="00347760">
      <w:pPr>
        <w:ind w:left="720"/>
        <w:rPr>
          <w:rFonts w:cstheme="minorHAnsi"/>
          <w:i/>
          <w:sz w:val="24"/>
          <w:szCs w:val="24"/>
        </w:rPr>
      </w:pPr>
      <w:r w:rsidRPr="005E4CCF">
        <w:rPr>
          <w:rFonts w:cstheme="minorHAnsi"/>
          <w:i/>
          <w:sz w:val="24"/>
          <w:szCs w:val="24"/>
        </w:rPr>
        <w:t>Th</w:t>
      </w:r>
      <w:r w:rsidR="006E63E2">
        <w:rPr>
          <w:rFonts w:cstheme="minorHAnsi"/>
          <w:i/>
          <w:sz w:val="24"/>
          <w:szCs w:val="24"/>
        </w:rPr>
        <w:t>e above explanation</w:t>
      </w:r>
      <w:r w:rsidRPr="005E4CCF">
        <w:rPr>
          <w:rFonts w:cstheme="minorHAnsi"/>
          <w:i/>
          <w:sz w:val="24"/>
          <w:szCs w:val="24"/>
        </w:rPr>
        <w:t xml:space="preserve"> means that states may use regular OAA</w:t>
      </w:r>
      <w:r>
        <w:rPr>
          <w:rFonts w:cstheme="minorHAnsi"/>
          <w:i/>
          <w:sz w:val="24"/>
          <w:szCs w:val="24"/>
        </w:rPr>
        <w:t xml:space="preserve"> funding, as well as </w:t>
      </w:r>
      <w:r w:rsidRPr="005E4CCF">
        <w:rPr>
          <w:rFonts w:cstheme="minorHAnsi"/>
          <w:i/>
          <w:sz w:val="24"/>
          <w:szCs w:val="24"/>
        </w:rPr>
        <w:t>Fami</w:t>
      </w:r>
      <w:r>
        <w:rPr>
          <w:rFonts w:cstheme="minorHAnsi"/>
          <w:i/>
          <w:sz w:val="24"/>
          <w:szCs w:val="24"/>
        </w:rPr>
        <w:t xml:space="preserve">lies First and CARES Act funds -- </w:t>
      </w:r>
      <w:r w:rsidRPr="005E4CCF">
        <w:rPr>
          <w:rFonts w:cstheme="minorHAnsi"/>
          <w:i/>
          <w:sz w:val="24"/>
          <w:szCs w:val="24"/>
        </w:rPr>
        <w:t>including those given under Title III</w:t>
      </w:r>
      <w:r>
        <w:rPr>
          <w:rFonts w:cstheme="minorHAnsi"/>
          <w:i/>
          <w:sz w:val="24"/>
          <w:szCs w:val="24"/>
        </w:rPr>
        <w:t>-</w:t>
      </w:r>
      <w:r w:rsidRPr="005E4CCF">
        <w:rPr>
          <w:rFonts w:cstheme="minorHAnsi"/>
          <w:i/>
          <w:sz w:val="24"/>
          <w:szCs w:val="24"/>
        </w:rPr>
        <w:t>C</w:t>
      </w:r>
      <w:r>
        <w:rPr>
          <w:rFonts w:cstheme="minorHAnsi"/>
          <w:i/>
          <w:sz w:val="24"/>
          <w:szCs w:val="24"/>
        </w:rPr>
        <w:t xml:space="preserve"> --</w:t>
      </w:r>
      <w:r w:rsidRPr="005E4CCF">
        <w:rPr>
          <w:rFonts w:cstheme="minorHAnsi"/>
          <w:i/>
          <w:sz w:val="24"/>
          <w:szCs w:val="24"/>
        </w:rPr>
        <w:t xml:space="preserve"> for delivery, pick up, or other services necessary to grocery assistance. </w:t>
      </w:r>
    </w:p>
    <w:p w14:paraId="1E253289" w14:textId="44E55731" w:rsidR="00756BBE" w:rsidRPr="005E4CCF" w:rsidRDefault="00756BBE" w:rsidP="001A2C7D">
      <w:pPr>
        <w:ind w:left="720"/>
        <w:rPr>
          <w:rFonts w:cstheme="minorHAnsi"/>
          <w:i/>
          <w:sz w:val="24"/>
          <w:szCs w:val="24"/>
        </w:rPr>
      </w:pPr>
      <w:r w:rsidRPr="005E4CCF">
        <w:rPr>
          <w:rFonts w:cstheme="minorHAnsi"/>
          <w:i/>
          <w:sz w:val="24"/>
          <w:szCs w:val="24"/>
        </w:rPr>
        <w:t xml:space="preserve">The CARES Act also included Title </w:t>
      </w:r>
      <w:r w:rsidR="00134E84" w:rsidRPr="005E4CCF">
        <w:rPr>
          <w:rFonts w:cstheme="minorHAnsi"/>
          <w:i/>
          <w:sz w:val="24"/>
          <w:szCs w:val="24"/>
        </w:rPr>
        <w:t>III</w:t>
      </w:r>
      <w:r w:rsidR="00134E84">
        <w:rPr>
          <w:rFonts w:cstheme="minorHAnsi"/>
          <w:i/>
          <w:sz w:val="24"/>
          <w:szCs w:val="24"/>
        </w:rPr>
        <w:t>-</w:t>
      </w:r>
      <w:r w:rsidRPr="005E4CCF">
        <w:rPr>
          <w:rFonts w:cstheme="minorHAnsi"/>
          <w:i/>
          <w:sz w:val="24"/>
          <w:szCs w:val="24"/>
        </w:rPr>
        <w:t xml:space="preserve">B funding which may be used for such services.  </w:t>
      </w:r>
    </w:p>
    <w:p w14:paraId="67458091" w14:textId="77777777" w:rsidR="005E4CCF" w:rsidRDefault="005E4CCF" w:rsidP="00756BBE">
      <w:pPr>
        <w:pStyle w:val="Default"/>
        <w:rPr>
          <w:rFonts w:asciiTheme="minorHAnsi" w:hAnsiTheme="minorHAnsi" w:cstheme="minorHAnsi"/>
          <w:b/>
          <w:color w:val="auto"/>
          <w:sz w:val="28"/>
          <w:szCs w:val="28"/>
        </w:rPr>
      </w:pPr>
    </w:p>
    <w:p w14:paraId="7E2718B5" w14:textId="77777777" w:rsidR="005E4CCF" w:rsidRDefault="005E4CCF">
      <w:pPr>
        <w:rPr>
          <w:rFonts w:eastAsiaTheme="minorHAnsi" w:cstheme="minorHAnsi"/>
          <w:b/>
          <w:sz w:val="28"/>
          <w:szCs w:val="28"/>
        </w:rPr>
      </w:pPr>
      <w:r>
        <w:rPr>
          <w:rFonts w:cstheme="minorHAnsi"/>
          <w:b/>
          <w:sz w:val="28"/>
          <w:szCs w:val="28"/>
        </w:rPr>
        <w:br w:type="page"/>
      </w:r>
    </w:p>
    <w:p w14:paraId="17D57783" w14:textId="7062175C" w:rsidR="005E4CCF" w:rsidRDefault="00756BBE" w:rsidP="00756BBE">
      <w:pPr>
        <w:pStyle w:val="Default"/>
        <w:rPr>
          <w:rFonts w:asciiTheme="minorHAnsi" w:hAnsiTheme="minorHAnsi" w:cstheme="minorHAnsi"/>
          <w:color w:val="auto"/>
        </w:rPr>
      </w:pPr>
      <w:r w:rsidRPr="005E4CCF">
        <w:rPr>
          <w:rFonts w:asciiTheme="minorHAnsi" w:hAnsiTheme="minorHAnsi" w:cstheme="minorHAnsi"/>
          <w:b/>
          <w:color w:val="auto"/>
          <w:sz w:val="28"/>
          <w:szCs w:val="28"/>
        </w:rPr>
        <w:lastRenderedPageBreak/>
        <w:t>Question:</w:t>
      </w:r>
      <w:r w:rsidRPr="005E4CCF">
        <w:rPr>
          <w:rFonts w:asciiTheme="minorHAnsi" w:hAnsiTheme="minorHAnsi" w:cstheme="minorHAnsi"/>
          <w:color w:val="auto"/>
        </w:rPr>
        <w:t xml:space="preserve"> </w:t>
      </w:r>
    </w:p>
    <w:p w14:paraId="447A029B" w14:textId="3DAFAEE6" w:rsidR="00756BBE" w:rsidRPr="005E4CCF" w:rsidRDefault="00756BBE" w:rsidP="00756BBE">
      <w:pPr>
        <w:pStyle w:val="Default"/>
        <w:rPr>
          <w:rFonts w:asciiTheme="minorHAnsi" w:hAnsiTheme="minorHAnsi" w:cstheme="minorHAnsi"/>
          <w:color w:val="auto"/>
        </w:rPr>
      </w:pPr>
      <w:r w:rsidRPr="005E4CCF">
        <w:rPr>
          <w:rFonts w:asciiTheme="minorHAnsi" w:hAnsiTheme="minorHAnsi" w:cstheme="minorHAnsi"/>
          <w:color w:val="auto"/>
        </w:rPr>
        <w:t xml:space="preserve">Can SUAs allow local nutrition service providers to send bags/boxes of groceries to older adults rather than meals? </w:t>
      </w:r>
    </w:p>
    <w:p w14:paraId="17C2BEF1" w14:textId="77777777" w:rsidR="00756BBE" w:rsidRPr="005E4CCF" w:rsidRDefault="00756BBE" w:rsidP="00756BBE">
      <w:pPr>
        <w:pStyle w:val="Default"/>
        <w:rPr>
          <w:rFonts w:asciiTheme="minorHAnsi" w:hAnsiTheme="minorHAnsi" w:cstheme="minorHAnsi"/>
          <w:color w:val="auto"/>
        </w:rPr>
      </w:pPr>
    </w:p>
    <w:p w14:paraId="5C7CBB5A" w14:textId="77777777" w:rsidR="005E4CCF" w:rsidRDefault="00756BBE" w:rsidP="001A2C7D">
      <w:pPr>
        <w:pStyle w:val="Default"/>
        <w:rPr>
          <w:rFonts w:asciiTheme="minorHAnsi" w:hAnsiTheme="minorHAnsi" w:cstheme="minorHAnsi"/>
          <w:color w:val="auto"/>
        </w:rPr>
      </w:pPr>
      <w:r w:rsidRPr="005E4CCF">
        <w:rPr>
          <w:rFonts w:asciiTheme="minorHAnsi" w:hAnsiTheme="minorHAnsi" w:cstheme="minorHAnsi"/>
          <w:b/>
          <w:color w:val="auto"/>
          <w:sz w:val="28"/>
          <w:szCs w:val="28"/>
        </w:rPr>
        <w:t>Answer:</w:t>
      </w:r>
      <w:r w:rsidRPr="005E4CCF">
        <w:rPr>
          <w:rFonts w:asciiTheme="minorHAnsi" w:hAnsiTheme="minorHAnsi" w:cstheme="minorHAnsi"/>
          <w:color w:val="auto"/>
        </w:rPr>
        <w:t xml:space="preserve"> </w:t>
      </w:r>
    </w:p>
    <w:p w14:paraId="649DCB6B" w14:textId="5314E0CA" w:rsidR="006F3A37" w:rsidRPr="005E4CCF" w:rsidRDefault="00756BBE" w:rsidP="00347760">
      <w:pPr>
        <w:rPr>
          <w:rFonts w:cstheme="minorHAnsi"/>
          <w:i/>
          <w:sz w:val="24"/>
          <w:szCs w:val="24"/>
        </w:rPr>
      </w:pPr>
      <w:r w:rsidRPr="005E4CCF">
        <w:rPr>
          <w:rFonts w:cstheme="minorHAnsi"/>
        </w:rPr>
        <w:t>Yes</w:t>
      </w:r>
      <w:r w:rsidR="006F3A37">
        <w:rPr>
          <w:rFonts w:cstheme="minorHAnsi"/>
        </w:rPr>
        <w:t xml:space="preserve">. </w:t>
      </w:r>
      <w:r w:rsidR="006F3A37" w:rsidRPr="00347760">
        <w:rPr>
          <w:rFonts w:eastAsiaTheme="minorHAnsi" w:cstheme="minorHAnsi"/>
          <w:sz w:val="24"/>
          <w:szCs w:val="24"/>
        </w:rPr>
        <w:t xml:space="preserve">Groceries can be </w:t>
      </w:r>
      <w:r w:rsidR="006C1A7F">
        <w:rPr>
          <w:rFonts w:eastAsiaTheme="minorHAnsi" w:cstheme="minorHAnsi"/>
          <w:sz w:val="24"/>
          <w:szCs w:val="24"/>
        </w:rPr>
        <w:t>provided</w:t>
      </w:r>
      <w:r w:rsidR="006F3A37" w:rsidRPr="00347760">
        <w:rPr>
          <w:rFonts w:eastAsiaTheme="minorHAnsi" w:cstheme="minorHAnsi"/>
          <w:sz w:val="24"/>
          <w:szCs w:val="24"/>
        </w:rPr>
        <w:t xml:space="preserve"> as additional nutrition services</w:t>
      </w:r>
      <w:r w:rsidR="006F3A37">
        <w:rPr>
          <w:rFonts w:eastAsiaTheme="minorHAnsi" w:cstheme="minorHAnsi"/>
          <w:sz w:val="24"/>
          <w:szCs w:val="24"/>
        </w:rPr>
        <w:t>,</w:t>
      </w:r>
      <w:r w:rsidR="006F3A37" w:rsidRPr="00347760">
        <w:rPr>
          <w:rFonts w:eastAsiaTheme="minorHAnsi" w:cstheme="minorHAnsi"/>
          <w:sz w:val="24"/>
          <w:szCs w:val="24"/>
        </w:rPr>
        <w:t xml:space="preserve"> based on the meal participant’s needs. </w:t>
      </w:r>
    </w:p>
    <w:p w14:paraId="4287B653" w14:textId="77777777" w:rsidR="001A2C7D" w:rsidRPr="005E4CCF" w:rsidRDefault="001A2C7D" w:rsidP="001A2C7D">
      <w:pPr>
        <w:pStyle w:val="Default"/>
        <w:rPr>
          <w:rFonts w:asciiTheme="minorHAnsi" w:hAnsiTheme="minorHAnsi" w:cstheme="minorHAnsi"/>
          <w:color w:val="auto"/>
        </w:rPr>
      </w:pPr>
    </w:p>
    <w:p w14:paraId="11D7592F" w14:textId="77777777" w:rsidR="00756BBE" w:rsidRPr="005E4CCF" w:rsidRDefault="00756BBE" w:rsidP="00756BBE">
      <w:pPr>
        <w:rPr>
          <w:rFonts w:cstheme="minorHAnsi"/>
          <w:sz w:val="24"/>
          <w:szCs w:val="24"/>
        </w:rPr>
      </w:pPr>
      <w:r w:rsidRPr="005E4CCF">
        <w:rPr>
          <w:rFonts w:cstheme="minorHAnsi"/>
          <w:sz w:val="24"/>
          <w:szCs w:val="24"/>
        </w:rPr>
        <w:t>Additional context:</w:t>
      </w:r>
    </w:p>
    <w:p w14:paraId="713BFF87" w14:textId="02D9608D" w:rsidR="006F3A37" w:rsidRDefault="006F3A37" w:rsidP="006F3A37">
      <w:pPr>
        <w:ind w:left="720"/>
        <w:rPr>
          <w:rFonts w:cstheme="minorHAnsi"/>
          <w:i/>
          <w:sz w:val="24"/>
          <w:szCs w:val="24"/>
        </w:rPr>
      </w:pPr>
      <w:r>
        <w:rPr>
          <w:rFonts w:cstheme="minorHAnsi"/>
          <w:i/>
          <w:sz w:val="24"/>
          <w:szCs w:val="24"/>
        </w:rPr>
        <w:t>Even under normal OAA authorities, g</w:t>
      </w:r>
      <w:r w:rsidRPr="005E4CCF">
        <w:rPr>
          <w:rFonts w:cstheme="minorHAnsi"/>
          <w:i/>
          <w:sz w:val="24"/>
          <w:szCs w:val="24"/>
        </w:rPr>
        <w:t xml:space="preserve">roceries </w:t>
      </w:r>
      <w:r>
        <w:rPr>
          <w:rFonts w:cstheme="minorHAnsi"/>
          <w:i/>
          <w:sz w:val="24"/>
          <w:szCs w:val="24"/>
        </w:rPr>
        <w:t xml:space="preserve">can </w:t>
      </w:r>
      <w:r w:rsidRPr="005E4CCF">
        <w:rPr>
          <w:rFonts w:cstheme="minorHAnsi"/>
          <w:i/>
          <w:sz w:val="24"/>
          <w:szCs w:val="24"/>
        </w:rPr>
        <w:t>be counted as nutritional supports under Title III</w:t>
      </w:r>
      <w:r>
        <w:rPr>
          <w:rFonts w:cstheme="minorHAnsi"/>
          <w:i/>
          <w:sz w:val="24"/>
          <w:szCs w:val="24"/>
        </w:rPr>
        <w:t>-</w:t>
      </w:r>
      <w:r w:rsidRPr="005E4CCF">
        <w:rPr>
          <w:rFonts w:cstheme="minorHAnsi"/>
          <w:i/>
          <w:sz w:val="24"/>
          <w:szCs w:val="24"/>
        </w:rPr>
        <w:t>C. Things like milk or fresh fruit/vegetables can be used to enhance a meal. </w:t>
      </w:r>
      <w:r>
        <w:rPr>
          <w:rFonts w:cstheme="minorHAnsi"/>
          <w:i/>
          <w:sz w:val="24"/>
          <w:szCs w:val="24"/>
        </w:rPr>
        <w:t xml:space="preserve">However, like vitamins and meal supplements (such as </w:t>
      </w:r>
      <w:r w:rsidRPr="005E4CCF">
        <w:rPr>
          <w:rFonts w:cstheme="minorHAnsi"/>
          <w:i/>
          <w:sz w:val="24"/>
          <w:szCs w:val="24"/>
        </w:rPr>
        <w:t>Ensure</w:t>
      </w:r>
      <w:r>
        <w:rPr>
          <w:rFonts w:cstheme="minorHAnsi"/>
          <w:i/>
          <w:sz w:val="24"/>
          <w:szCs w:val="24"/>
        </w:rPr>
        <w:t xml:space="preserve">), they </w:t>
      </w:r>
      <w:r w:rsidRPr="005E4CCF">
        <w:rPr>
          <w:rFonts w:cstheme="minorHAnsi"/>
          <w:i/>
          <w:sz w:val="24"/>
          <w:szCs w:val="24"/>
        </w:rPr>
        <w:t>should not be reported</w:t>
      </w:r>
      <w:r>
        <w:rPr>
          <w:rFonts w:cstheme="minorHAnsi"/>
          <w:i/>
          <w:sz w:val="24"/>
          <w:szCs w:val="24"/>
        </w:rPr>
        <w:t xml:space="preserve"> as meals</w:t>
      </w:r>
      <w:r w:rsidR="006C1A7F">
        <w:rPr>
          <w:rFonts w:cstheme="minorHAnsi"/>
          <w:i/>
          <w:sz w:val="24"/>
          <w:szCs w:val="24"/>
        </w:rPr>
        <w:t xml:space="preserve">. Rather, </w:t>
      </w:r>
      <w:r w:rsidRPr="005E4CCF">
        <w:rPr>
          <w:rFonts w:cstheme="minorHAnsi"/>
          <w:i/>
          <w:sz w:val="24"/>
          <w:szCs w:val="24"/>
        </w:rPr>
        <w:t xml:space="preserve">they are additional supplemental services based on the needs of the meal participant. </w:t>
      </w:r>
    </w:p>
    <w:p w14:paraId="46D5A82D" w14:textId="2A638ADC" w:rsidR="00756BBE" w:rsidRPr="005E4CCF" w:rsidRDefault="00756BBE" w:rsidP="001A2C7D">
      <w:pPr>
        <w:ind w:left="720"/>
        <w:rPr>
          <w:rFonts w:cstheme="minorHAnsi"/>
          <w:i/>
          <w:sz w:val="24"/>
          <w:szCs w:val="24"/>
        </w:rPr>
      </w:pPr>
      <w:r w:rsidRPr="005E4CCF">
        <w:rPr>
          <w:rFonts w:cstheme="minorHAnsi"/>
          <w:i/>
          <w:sz w:val="24"/>
          <w:szCs w:val="24"/>
        </w:rPr>
        <w:t>ACL continues to encourage SUAs, AAAs, and local providers to provide food and meals that meet the DGAs and the DRIs as much as possible. When purchasing any food or meals for older adults, the nutritional needs of the individuals and the availability of healthy foods need to be considered.</w:t>
      </w:r>
    </w:p>
    <w:p w14:paraId="3E3EA9F5" w14:textId="77777777" w:rsidR="005E4CCF" w:rsidRDefault="005E4CCF" w:rsidP="00756BBE">
      <w:pPr>
        <w:rPr>
          <w:rFonts w:cstheme="minorHAnsi"/>
          <w:b/>
          <w:sz w:val="28"/>
          <w:szCs w:val="28"/>
        </w:rPr>
      </w:pPr>
    </w:p>
    <w:p w14:paraId="310A415D" w14:textId="3CEBD45C" w:rsidR="00756BBE" w:rsidRPr="005E4CCF" w:rsidRDefault="00756BBE" w:rsidP="00756BBE">
      <w:pPr>
        <w:rPr>
          <w:rFonts w:cstheme="minorHAnsi"/>
          <w:sz w:val="28"/>
          <w:szCs w:val="28"/>
        </w:rPr>
      </w:pPr>
      <w:r w:rsidRPr="005E4CCF">
        <w:rPr>
          <w:rFonts w:cstheme="minorHAnsi"/>
          <w:b/>
          <w:sz w:val="28"/>
          <w:szCs w:val="28"/>
        </w:rPr>
        <w:t>Question:</w:t>
      </w:r>
      <w:r w:rsidRPr="005E4CCF">
        <w:rPr>
          <w:rFonts w:cstheme="minorHAnsi"/>
          <w:sz w:val="28"/>
          <w:szCs w:val="28"/>
        </w:rPr>
        <w:t xml:space="preserve"> </w:t>
      </w:r>
    </w:p>
    <w:p w14:paraId="0010562E" w14:textId="755F9794" w:rsidR="00756BBE" w:rsidRPr="005E4CCF" w:rsidRDefault="00756BBE" w:rsidP="00756BBE">
      <w:pPr>
        <w:rPr>
          <w:rFonts w:cstheme="minorHAnsi"/>
          <w:sz w:val="24"/>
          <w:szCs w:val="24"/>
        </w:rPr>
      </w:pPr>
      <w:r w:rsidRPr="005E4CCF">
        <w:rPr>
          <w:rFonts w:cstheme="minorHAnsi"/>
          <w:sz w:val="24"/>
          <w:szCs w:val="24"/>
        </w:rPr>
        <w:t>For the purposes of financial reporting, what services are authorized under OAA Title IIIC?</w:t>
      </w:r>
    </w:p>
    <w:p w14:paraId="0DC6D597" w14:textId="77777777" w:rsidR="00756BBE" w:rsidRPr="005E4CCF" w:rsidRDefault="00756BBE" w:rsidP="00756BBE">
      <w:pPr>
        <w:rPr>
          <w:rFonts w:cstheme="minorHAnsi"/>
          <w:b/>
          <w:sz w:val="28"/>
          <w:szCs w:val="28"/>
        </w:rPr>
      </w:pPr>
      <w:r w:rsidRPr="005E4CCF">
        <w:rPr>
          <w:rFonts w:cstheme="minorHAnsi"/>
          <w:b/>
          <w:sz w:val="28"/>
          <w:szCs w:val="28"/>
        </w:rPr>
        <w:lastRenderedPageBreak/>
        <w:t xml:space="preserve">Answer: </w:t>
      </w:r>
    </w:p>
    <w:p w14:paraId="1FFCC226" w14:textId="77777777" w:rsidR="00756BBE" w:rsidRPr="005E4CCF" w:rsidRDefault="00756BBE" w:rsidP="00756BBE">
      <w:pPr>
        <w:rPr>
          <w:rFonts w:cstheme="minorHAnsi"/>
          <w:sz w:val="24"/>
          <w:szCs w:val="24"/>
        </w:rPr>
      </w:pPr>
      <w:r w:rsidRPr="005E4CCF">
        <w:rPr>
          <w:rFonts w:cstheme="minorHAnsi"/>
          <w:sz w:val="24"/>
          <w:szCs w:val="24"/>
        </w:rPr>
        <w:t xml:space="preserve">Under regular OAA authorities, the following services are authorized to receive funding under Title III-C: </w:t>
      </w:r>
    </w:p>
    <w:p w14:paraId="3EB0E718" w14:textId="77777777" w:rsidR="00756BBE" w:rsidRPr="005E4CCF" w:rsidRDefault="00756BBE" w:rsidP="00756BBE">
      <w:pPr>
        <w:pStyle w:val="ListParagraph"/>
        <w:numPr>
          <w:ilvl w:val="0"/>
          <w:numId w:val="43"/>
        </w:numPr>
        <w:rPr>
          <w:rFonts w:cstheme="minorHAnsi"/>
          <w:sz w:val="24"/>
          <w:szCs w:val="24"/>
        </w:rPr>
      </w:pPr>
      <w:r w:rsidRPr="005E4CCF">
        <w:rPr>
          <w:rFonts w:cstheme="minorHAnsi"/>
          <w:sz w:val="24"/>
          <w:szCs w:val="24"/>
        </w:rPr>
        <w:t xml:space="preserve">Congregate meals; </w:t>
      </w:r>
    </w:p>
    <w:p w14:paraId="239E4954" w14:textId="77777777" w:rsidR="00756BBE" w:rsidRPr="005E4CCF" w:rsidRDefault="00756BBE" w:rsidP="00756BBE">
      <w:pPr>
        <w:pStyle w:val="ListParagraph"/>
        <w:numPr>
          <w:ilvl w:val="0"/>
          <w:numId w:val="43"/>
        </w:numPr>
        <w:rPr>
          <w:rFonts w:cstheme="minorHAnsi"/>
          <w:sz w:val="24"/>
          <w:szCs w:val="24"/>
        </w:rPr>
      </w:pPr>
      <w:r w:rsidRPr="005E4CCF">
        <w:rPr>
          <w:rFonts w:cstheme="minorHAnsi"/>
          <w:sz w:val="24"/>
          <w:szCs w:val="24"/>
        </w:rPr>
        <w:t xml:space="preserve">Home delivered meals; </w:t>
      </w:r>
    </w:p>
    <w:p w14:paraId="0A6FEB8B" w14:textId="77777777" w:rsidR="00756BBE" w:rsidRPr="005E4CCF" w:rsidRDefault="00756BBE" w:rsidP="00756BBE">
      <w:pPr>
        <w:pStyle w:val="ListParagraph"/>
        <w:numPr>
          <w:ilvl w:val="0"/>
          <w:numId w:val="43"/>
        </w:numPr>
        <w:rPr>
          <w:rFonts w:cstheme="minorHAnsi"/>
          <w:sz w:val="24"/>
          <w:szCs w:val="24"/>
        </w:rPr>
      </w:pPr>
      <w:r w:rsidRPr="005E4CCF">
        <w:rPr>
          <w:rFonts w:cstheme="minorHAnsi"/>
          <w:sz w:val="24"/>
          <w:szCs w:val="24"/>
        </w:rPr>
        <w:t xml:space="preserve">Nutrition education; </w:t>
      </w:r>
    </w:p>
    <w:p w14:paraId="02ABE6AD" w14:textId="77777777" w:rsidR="00756BBE" w:rsidRPr="005E4CCF" w:rsidRDefault="00756BBE" w:rsidP="00756BBE">
      <w:pPr>
        <w:pStyle w:val="ListParagraph"/>
        <w:numPr>
          <w:ilvl w:val="0"/>
          <w:numId w:val="43"/>
        </w:numPr>
        <w:rPr>
          <w:rFonts w:cstheme="minorHAnsi"/>
          <w:sz w:val="24"/>
          <w:szCs w:val="24"/>
        </w:rPr>
      </w:pPr>
      <w:r w:rsidRPr="005E4CCF">
        <w:rPr>
          <w:rFonts w:cstheme="minorHAnsi"/>
          <w:sz w:val="24"/>
          <w:szCs w:val="24"/>
        </w:rPr>
        <w:t xml:space="preserve">Nutrition counseling; </w:t>
      </w:r>
    </w:p>
    <w:p w14:paraId="17BD30A6" w14:textId="77777777" w:rsidR="00756BBE" w:rsidRPr="005E4CCF" w:rsidRDefault="00756BBE" w:rsidP="00756BBE">
      <w:pPr>
        <w:pStyle w:val="ListParagraph"/>
        <w:numPr>
          <w:ilvl w:val="0"/>
          <w:numId w:val="43"/>
        </w:numPr>
        <w:rPr>
          <w:rFonts w:cstheme="minorHAnsi"/>
          <w:sz w:val="24"/>
          <w:szCs w:val="24"/>
        </w:rPr>
      </w:pPr>
      <w:r w:rsidRPr="005E4CCF">
        <w:rPr>
          <w:rFonts w:cstheme="minorHAnsi"/>
          <w:sz w:val="24"/>
          <w:szCs w:val="24"/>
        </w:rPr>
        <w:t xml:space="preserve">Nutrition screening; and </w:t>
      </w:r>
    </w:p>
    <w:p w14:paraId="500013D1" w14:textId="77777777" w:rsidR="00756BBE" w:rsidRPr="005E4CCF" w:rsidRDefault="00756BBE" w:rsidP="00756BBE">
      <w:pPr>
        <w:pStyle w:val="ListParagraph"/>
        <w:numPr>
          <w:ilvl w:val="0"/>
          <w:numId w:val="43"/>
        </w:numPr>
        <w:rPr>
          <w:rFonts w:cstheme="minorHAnsi"/>
          <w:sz w:val="24"/>
          <w:szCs w:val="24"/>
        </w:rPr>
      </w:pPr>
      <w:r w:rsidRPr="005E4CCF">
        <w:rPr>
          <w:rFonts w:cstheme="minorHAnsi"/>
          <w:sz w:val="24"/>
          <w:szCs w:val="24"/>
        </w:rPr>
        <w:t xml:space="preserve">Nutritional services as appropriate, based on the needs of meal participants (Section 331 and 336). </w:t>
      </w:r>
    </w:p>
    <w:p w14:paraId="2E051CA8" w14:textId="77777777" w:rsidR="00756BBE" w:rsidRPr="005E4CCF" w:rsidRDefault="00756BBE" w:rsidP="00756BBE">
      <w:pPr>
        <w:pStyle w:val="ListParagraph"/>
        <w:numPr>
          <w:ilvl w:val="0"/>
          <w:numId w:val="0"/>
        </w:numPr>
        <w:ind w:left="720"/>
        <w:rPr>
          <w:rFonts w:cstheme="minorHAnsi"/>
          <w:sz w:val="24"/>
          <w:szCs w:val="24"/>
        </w:rPr>
      </w:pPr>
    </w:p>
    <w:p w14:paraId="152929CF" w14:textId="77777777" w:rsidR="00756BBE" w:rsidRPr="005E4CCF" w:rsidRDefault="00756BBE" w:rsidP="00756BBE">
      <w:pPr>
        <w:rPr>
          <w:rFonts w:cstheme="minorHAnsi"/>
          <w:sz w:val="24"/>
          <w:szCs w:val="24"/>
        </w:rPr>
      </w:pPr>
      <w:r w:rsidRPr="005E4CCF">
        <w:rPr>
          <w:rFonts w:cstheme="minorHAnsi"/>
          <w:sz w:val="24"/>
          <w:szCs w:val="24"/>
        </w:rPr>
        <w:t>Additional context:</w:t>
      </w:r>
    </w:p>
    <w:p w14:paraId="2BF90E4A" w14:textId="59F62AA8" w:rsidR="00D85188" w:rsidRPr="001A2C7D" w:rsidRDefault="00756BBE" w:rsidP="005E4CCF">
      <w:pPr>
        <w:ind w:left="720"/>
        <w:rPr>
          <w:rFonts w:eastAsia="Times New Roman" w:cstheme="minorHAnsi"/>
          <w:color w:val="691B1D" w:themeColor="accent1" w:themeShade="BF"/>
        </w:rPr>
      </w:pPr>
      <w:r w:rsidRPr="005E4CCF">
        <w:rPr>
          <w:rFonts w:cstheme="minorHAnsi"/>
          <w:i/>
          <w:sz w:val="24"/>
          <w:szCs w:val="24"/>
        </w:rPr>
        <w:t>We are sharing this information to understand where the funding originates. If exercising flexibilities under a</w:t>
      </w:r>
      <w:r w:rsidR="006E63E2">
        <w:rPr>
          <w:rFonts w:cstheme="minorHAnsi"/>
          <w:i/>
          <w:sz w:val="24"/>
          <w:szCs w:val="24"/>
        </w:rPr>
        <w:t>n</w:t>
      </w:r>
      <w:r w:rsidRPr="005E4CCF">
        <w:rPr>
          <w:rFonts w:cstheme="minorHAnsi"/>
          <w:i/>
          <w:sz w:val="24"/>
          <w:szCs w:val="24"/>
        </w:rPr>
        <w:t xml:space="preserve"> MDD, all monies can be bucketed into any of the OAA Titles to be used for disaster relief, as needed.  This </w:t>
      </w:r>
      <w:r w:rsidR="006E63E2">
        <w:rPr>
          <w:rFonts w:cstheme="minorHAnsi"/>
          <w:i/>
          <w:sz w:val="24"/>
          <w:szCs w:val="24"/>
        </w:rPr>
        <w:t xml:space="preserve">explanation </w:t>
      </w:r>
      <w:r w:rsidRPr="005E4CCF">
        <w:rPr>
          <w:rFonts w:cstheme="minorHAnsi"/>
          <w:i/>
          <w:sz w:val="24"/>
          <w:szCs w:val="24"/>
        </w:rPr>
        <w:t xml:space="preserve">means that states may use regular OAA, Families First and CARES Act funds, including those given under Title III C authorities, for disaster relief efforts. </w:t>
      </w:r>
    </w:p>
    <w:sectPr w:rsidR="00D85188" w:rsidRPr="001A2C7D" w:rsidSect="00C578F6">
      <w:headerReference w:type="default" r:id="rId15"/>
      <w:footerReference w:type="default" r:id="rId16"/>
      <w:headerReference w:type="first" r:id="rId17"/>
      <w:footerReference w:type="first" r:id="rId18"/>
      <w:pgSz w:w="12240" w:h="15840"/>
      <w:pgMar w:top="1270" w:right="720" w:bottom="144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E73AF" w14:textId="77777777" w:rsidR="005C560C" w:rsidRDefault="005C560C" w:rsidP="00944993">
      <w:pPr>
        <w:spacing w:after="0" w:line="240" w:lineRule="auto"/>
      </w:pPr>
      <w:r>
        <w:separator/>
      </w:r>
    </w:p>
  </w:endnote>
  <w:endnote w:type="continuationSeparator" w:id="0">
    <w:p w14:paraId="13A0206C" w14:textId="77777777" w:rsidR="005C560C" w:rsidRDefault="005C560C" w:rsidP="00944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07D30" w14:textId="1917E93A" w:rsidR="00944993" w:rsidRDefault="00944993" w:rsidP="00CF0395">
    <w:pPr>
      <w:pStyle w:val="Footer"/>
      <w:ind w:hanging="720"/>
    </w:pPr>
    <w:r>
      <w:rPr>
        <w:noProof/>
      </w:rPr>
      <w:drawing>
        <wp:anchor distT="0" distB="0" distL="114300" distR="114300" simplePos="0" relativeHeight="251656704" behindDoc="1" locked="0" layoutInCell="1" allowOverlap="1" wp14:anchorId="455B160F" wp14:editId="4D33EABF">
          <wp:simplePos x="0" y="0"/>
          <wp:positionH relativeFrom="column">
            <wp:posOffset>-457200</wp:posOffset>
          </wp:positionH>
          <wp:positionV relativeFrom="paragraph">
            <wp:posOffset>-2362835</wp:posOffset>
          </wp:positionV>
          <wp:extent cx="7771440" cy="2532380"/>
          <wp:effectExtent l="0" t="0" r="1270" b="1270"/>
          <wp:wrapNone/>
          <wp:docPr id="258" name="Picture 258">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7771440" cy="2532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85B60" w14:textId="262A1FC3" w:rsidR="003364C4" w:rsidRDefault="003364C4">
    <w:pPr>
      <w:pStyle w:val="Footer"/>
    </w:pPr>
    <w:r>
      <w:rPr>
        <w:noProof/>
      </w:rPr>
      <w:drawing>
        <wp:anchor distT="0" distB="0" distL="114300" distR="114300" simplePos="0" relativeHeight="251657728" behindDoc="1" locked="0" layoutInCell="1" allowOverlap="1" wp14:anchorId="39113948" wp14:editId="32B53FCA">
          <wp:simplePos x="0" y="0"/>
          <wp:positionH relativeFrom="column">
            <wp:posOffset>-457200</wp:posOffset>
          </wp:positionH>
          <wp:positionV relativeFrom="paragraph">
            <wp:posOffset>-2355850</wp:posOffset>
          </wp:positionV>
          <wp:extent cx="7771440" cy="2532380"/>
          <wp:effectExtent l="0" t="0" r="1270" b="1270"/>
          <wp:wrapNone/>
          <wp:docPr id="260" name="Picture 260">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7771440" cy="2532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7810B" w14:textId="77777777" w:rsidR="005C560C" w:rsidRDefault="005C560C" w:rsidP="00944993">
      <w:pPr>
        <w:spacing w:after="0" w:line="240" w:lineRule="auto"/>
      </w:pPr>
      <w:r>
        <w:separator/>
      </w:r>
    </w:p>
  </w:footnote>
  <w:footnote w:type="continuationSeparator" w:id="0">
    <w:p w14:paraId="3C3C6A5F" w14:textId="77777777" w:rsidR="005C560C" w:rsidRDefault="005C560C" w:rsidP="00944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2AE17" w14:textId="45C0E176" w:rsidR="00944993" w:rsidRPr="000C293F" w:rsidRDefault="00944993" w:rsidP="00CF0395">
    <w:pPr>
      <w:pStyle w:val="Header"/>
      <w:ind w:hanging="720"/>
      <w:rPr>
        <w:sz w:val="20"/>
        <w:szCs w:val="20"/>
      </w:rPr>
    </w:pPr>
  </w:p>
  <w:p w14:paraId="3A3FDEE2" w14:textId="3F3137DD" w:rsidR="00880EA5" w:rsidRPr="00880EA5" w:rsidRDefault="00880EA5" w:rsidP="00880EA5">
    <w:pPr>
      <w:spacing w:before="360" w:after="0" w:line="204" w:lineRule="auto"/>
      <w:contextualSpacing/>
      <w:rPr>
        <w:rFonts w:ascii="Century Gothic" w:eastAsiaTheme="majorEastAsia" w:hAnsi="Century Gothic" w:cstheme="majorBidi"/>
        <w:caps/>
        <w:color w:val="2B2B2B" w:themeColor="text2"/>
        <w:sz w:val="20"/>
        <w:szCs w:val="20"/>
      </w:rPr>
    </w:pPr>
    <w:r w:rsidRPr="00880EA5">
      <w:rPr>
        <w:rFonts w:ascii="Century Gothic" w:eastAsiaTheme="majorEastAsia" w:hAnsi="Century Gothic" w:cstheme="majorBidi"/>
        <w:caps/>
        <w:color w:val="2B2B2B" w:themeColor="text2"/>
        <w:sz w:val="20"/>
        <w:szCs w:val="20"/>
      </w:rPr>
      <w:t xml:space="preserve">faq </w:t>
    </w:r>
    <w:r w:rsidR="001A2C7D">
      <w:rPr>
        <w:rFonts w:ascii="Century Gothic" w:eastAsiaTheme="majorEastAsia" w:hAnsi="Century Gothic" w:cstheme="majorBidi"/>
        <w:caps/>
        <w:color w:val="2B2B2B" w:themeColor="text2"/>
        <w:sz w:val="20"/>
        <w:szCs w:val="20"/>
      </w:rPr>
      <w:t>addendum - groceries</w:t>
    </w:r>
  </w:p>
  <w:p w14:paraId="117D1F58" w14:textId="1BA2478F" w:rsidR="00E215C7" w:rsidRPr="003364C4" w:rsidRDefault="00E215C7" w:rsidP="00961A03">
    <w:pPr>
      <w:pStyle w:val="Header"/>
      <w:ind w:hanging="720"/>
      <w:jc w:val="right"/>
      <w:rPr>
        <w:rFonts w:ascii="Century Gothic" w:hAnsi="Century Gothic" w:cstheme="majorHAnsi"/>
        <w:color w:val="461214" w:themeColor="accent1" w:themeShade="8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34E8E" w14:textId="5E40B8FA" w:rsidR="00A01C01" w:rsidRDefault="00A01C01" w:rsidP="00A01C01">
    <w:pPr>
      <w:pStyle w:val="Header"/>
      <w:ind w:hanging="720"/>
    </w:pPr>
    <w:r>
      <w:rPr>
        <w:noProof/>
      </w:rPr>
      <w:drawing>
        <wp:inline distT="0" distB="0" distL="0" distR="0" wp14:anchorId="44A0F89B" wp14:editId="6AEBA5D2">
          <wp:extent cx="7772400" cy="1452194"/>
          <wp:effectExtent l="0" t="0" r="0" b="0"/>
          <wp:docPr id="259" name="Picture 259" descr="Administration for Community Living COVID-19 Response. ACL.gov/COVID-19. ACL is an operating division of the U.S.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theadCOVID19Response.jpg"/>
                  <pic:cNvPicPr/>
                </pic:nvPicPr>
                <pic:blipFill rotWithShape="1">
                  <a:blip r:embed="rId1">
                    <a:extLst>
                      <a:ext uri="{28A0092B-C50C-407E-A947-70E740481C1C}">
                        <a14:useLocalDpi xmlns:a14="http://schemas.microsoft.com/office/drawing/2010/main" val="0"/>
                      </a:ext>
                    </a:extLst>
                  </a:blip>
                  <a:srcRect t="10404" b="12387"/>
                  <a:stretch/>
                </pic:blipFill>
                <pic:spPr bwMode="auto">
                  <a:xfrm>
                    <a:off x="0" y="0"/>
                    <a:ext cx="7772400" cy="145219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07F0"/>
    <w:multiLevelType w:val="hybridMultilevel"/>
    <w:tmpl w:val="86DE8D3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1331C"/>
    <w:multiLevelType w:val="hybridMultilevel"/>
    <w:tmpl w:val="29BA3CC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F3C61"/>
    <w:multiLevelType w:val="hybridMultilevel"/>
    <w:tmpl w:val="DB722CC8"/>
    <w:lvl w:ilvl="0" w:tplc="A49EC57E">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77B44"/>
    <w:multiLevelType w:val="hybridMultilevel"/>
    <w:tmpl w:val="77D0C6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88459C"/>
    <w:multiLevelType w:val="hybridMultilevel"/>
    <w:tmpl w:val="99282B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B3E3D"/>
    <w:multiLevelType w:val="hybridMultilevel"/>
    <w:tmpl w:val="EE224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F13247"/>
    <w:multiLevelType w:val="hybridMultilevel"/>
    <w:tmpl w:val="C5B668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0341A5B"/>
    <w:multiLevelType w:val="hybridMultilevel"/>
    <w:tmpl w:val="99282B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4D2E64"/>
    <w:multiLevelType w:val="hybridMultilevel"/>
    <w:tmpl w:val="C0727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82C7E"/>
    <w:multiLevelType w:val="hybridMultilevel"/>
    <w:tmpl w:val="E1FADF7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2A180D9D"/>
    <w:multiLevelType w:val="hybridMultilevel"/>
    <w:tmpl w:val="77CC389A"/>
    <w:lvl w:ilvl="0" w:tplc="B0CE624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2360C03"/>
    <w:multiLevelType w:val="hybridMultilevel"/>
    <w:tmpl w:val="17E87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71F82"/>
    <w:multiLevelType w:val="hybridMultilevel"/>
    <w:tmpl w:val="FB1053D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4B23F6D"/>
    <w:multiLevelType w:val="hybridMultilevel"/>
    <w:tmpl w:val="48881A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9B34870"/>
    <w:multiLevelType w:val="hybridMultilevel"/>
    <w:tmpl w:val="4D4CDE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3113457"/>
    <w:multiLevelType w:val="hybridMultilevel"/>
    <w:tmpl w:val="E1FADF7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44814EAC"/>
    <w:multiLevelType w:val="hybridMultilevel"/>
    <w:tmpl w:val="436CF94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468D4423"/>
    <w:multiLevelType w:val="hybridMultilevel"/>
    <w:tmpl w:val="903A8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294672"/>
    <w:multiLevelType w:val="hybridMultilevel"/>
    <w:tmpl w:val="557284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040BCE"/>
    <w:multiLevelType w:val="hybridMultilevel"/>
    <w:tmpl w:val="1EDEB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BCA4963"/>
    <w:multiLevelType w:val="hybridMultilevel"/>
    <w:tmpl w:val="1AFC8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3527E1"/>
    <w:multiLevelType w:val="hybridMultilevel"/>
    <w:tmpl w:val="415E1A58"/>
    <w:lvl w:ilvl="0" w:tplc="4DAE66F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B4698F"/>
    <w:multiLevelType w:val="hybridMultilevel"/>
    <w:tmpl w:val="4182A976"/>
    <w:lvl w:ilvl="0" w:tplc="9E92C7E0">
      <w:numFmt w:val="bullet"/>
      <w:pStyle w:val="ListParagraph"/>
      <w:lvlText w:val="•"/>
      <w:lvlJc w:val="left"/>
      <w:pPr>
        <w:ind w:left="720" w:hanging="360"/>
      </w:pPr>
      <w:rPr>
        <w:rFonts w:ascii="Calibri" w:hAnsi="Calibri" w:hint="default"/>
        <w:color w:val="8D2428"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02D0DD3"/>
    <w:multiLevelType w:val="hybridMultilevel"/>
    <w:tmpl w:val="39DE552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5C950F87"/>
    <w:multiLevelType w:val="hybridMultilevel"/>
    <w:tmpl w:val="3A8683D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4F5AA0"/>
    <w:multiLevelType w:val="hybridMultilevel"/>
    <w:tmpl w:val="44B8A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245AA9"/>
    <w:multiLevelType w:val="hybridMultilevel"/>
    <w:tmpl w:val="B192D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1C7E30"/>
    <w:multiLevelType w:val="hybridMultilevel"/>
    <w:tmpl w:val="E4FAC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087836"/>
    <w:multiLevelType w:val="hybridMultilevel"/>
    <w:tmpl w:val="E280DA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2377A2"/>
    <w:multiLevelType w:val="hybridMultilevel"/>
    <w:tmpl w:val="5A8E93DA"/>
    <w:lvl w:ilvl="0" w:tplc="779E832C">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22"/>
  </w:num>
  <w:num w:numId="4">
    <w:abstractNumId w:val="27"/>
  </w:num>
  <w:num w:numId="5">
    <w:abstractNumId w:val="24"/>
  </w:num>
  <w:num w:numId="6">
    <w:abstractNumId w:val="7"/>
  </w:num>
  <w:num w:numId="7">
    <w:abstractNumId w:val="14"/>
  </w:num>
  <w:num w:numId="8">
    <w:abstractNumId w:val="20"/>
  </w:num>
  <w:num w:numId="9">
    <w:abstractNumId w:val="11"/>
  </w:num>
  <w:num w:numId="10">
    <w:abstractNumId w:val="22"/>
  </w:num>
  <w:num w:numId="11">
    <w:abstractNumId w:val="1"/>
  </w:num>
  <w:num w:numId="12">
    <w:abstractNumId w:val="0"/>
  </w:num>
  <w:num w:numId="13">
    <w:abstractNumId w:val="15"/>
  </w:num>
  <w:num w:numId="14">
    <w:abstractNumId w:val="22"/>
  </w:num>
  <w:num w:numId="15">
    <w:abstractNumId w:val="28"/>
  </w:num>
  <w:num w:numId="16">
    <w:abstractNumId w:val="17"/>
  </w:num>
  <w:num w:numId="17">
    <w:abstractNumId w:val="23"/>
  </w:num>
  <w:num w:numId="18">
    <w:abstractNumId w:val="22"/>
  </w:num>
  <w:num w:numId="19">
    <w:abstractNumId w:val="21"/>
  </w:num>
  <w:num w:numId="20">
    <w:abstractNumId w:val="22"/>
  </w:num>
  <w:num w:numId="21">
    <w:abstractNumId w:val="22"/>
  </w:num>
  <w:num w:numId="22">
    <w:abstractNumId w:val="2"/>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5"/>
  </w:num>
  <w:num w:numId="29">
    <w:abstractNumId w:val="22"/>
  </w:num>
  <w:num w:numId="30">
    <w:abstractNumId w:val="9"/>
  </w:num>
  <w:num w:numId="31">
    <w:abstractNumId w:val="18"/>
  </w:num>
  <w:num w:numId="32">
    <w:abstractNumId w:val="3"/>
  </w:num>
  <w:num w:numId="33">
    <w:abstractNumId w:val="26"/>
  </w:num>
  <w:num w:numId="34">
    <w:abstractNumId w:val="22"/>
  </w:num>
  <w:num w:numId="35">
    <w:abstractNumId w:val="25"/>
  </w:num>
  <w:num w:numId="36">
    <w:abstractNumId w:val="4"/>
  </w:num>
  <w:num w:numId="37">
    <w:abstractNumId w:val="22"/>
  </w:num>
  <w:num w:numId="3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993"/>
    <w:rsid w:val="00001311"/>
    <w:rsid w:val="00033EE8"/>
    <w:rsid w:val="00037F1D"/>
    <w:rsid w:val="00041940"/>
    <w:rsid w:val="00051BCE"/>
    <w:rsid w:val="00065B0D"/>
    <w:rsid w:val="000841BD"/>
    <w:rsid w:val="000A28BE"/>
    <w:rsid w:val="000C0EB7"/>
    <w:rsid w:val="000C293F"/>
    <w:rsid w:val="000E260C"/>
    <w:rsid w:val="001004A9"/>
    <w:rsid w:val="00116C89"/>
    <w:rsid w:val="001210A2"/>
    <w:rsid w:val="00124FA8"/>
    <w:rsid w:val="00131E50"/>
    <w:rsid w:val="00134E84"/>
    <w:rsid w:val="0016738D"/>
    <w:rsid w:val="001771DC"/>
    <w:rsid w:val="00181EEB"/>
    <w:rsid w:val="001878F9"/>
    <w:rsid w:val="001932D9"/>
    <w:rsid w:val="001A2C7D"/>
    <w:rsid w:val="001A7982"/>
    <w:rsid w:val="001C2752"/>
    <w:rsid w:val="001C605A"/>
    <w:rsid w:val="001D045E"/>
    <w:rsid w:val="001E5F86"/>
    <w:rsid w:val="001E7FD6"/>
    <w:rsid w:val="001F1D35"/>
    <w:rsid w:val="002171DC"/>
    <w:rsid w:val="002261B3"/>
    <w:rsid w:val="00226C07"/>
    <w:rsid w:val="00247FC2"/>
    <w:rsid w:val="00255F9A"/>
    <w:rsid w:val="002617B0"/>
    <w:rsid w:val="002618E3"/>
    <w:rsid w:val="0028282F"/>
    <w:rsid w:val="0028369D"/>
    <w:rsid w:val="00284CA9"/>
    <w:rsid w:val="002A45F2"/>
    <w:rsid w:val="002C054F"/>
    <w:rsid w:val="002C24B9"/>
    <w:rsid w:val="002C270A"/>
    <w:rsid w:val="002D60C1"/>
    <w:rsid w:val="002D6AB7"/>
    <w:rsid w:val="002E3B47"/>
    <w:rsid w:val="002E57B5"/>
    <w:rsid w:val="002F76B9"/>
    <w:rsid w:val="00304776"/>
    <w:rsid w:val="00321C6E"/>
    <w:rsid w:val="00331BA9"/>
    <w:rsid w:val="003364C4"/>
    <w:rsid w:val="003426E2"/>
    <w:rsid w:val="00345FBC"/>
    <w:rsid w:val="00347760"/>
    <w:rsid w:val="00382430"/>
    <w:rsid w:val="0038517D"/>
    <w:rsid w:val="003907DE"/>
    <w:rsid w:val="003928C5"/>
    <w:rsid w:val="00392EAE"/>
    <w:rsid w:val="003C152C"/>
    <w:rsid w:val="003C7270"/>
    <w:rsid w:val="003D055D"/>
    <w:rsid w:val="003D2A72"/>
    <w:rsid w:val="003D4A16"/>
    <w:rsid w:val="003D6793"/>
    <w:rsid w:val="003D6E07"/>
    <w:rsid w:val="003F3BD8"/>
    <w:rsid w:val="00413921"/>
    <w:rsid w:val="00424B63"/>
    <w:rsid w:val="00425DA8"/>
    <w:rsid w:val="00440037"/>
    <w:rsid w:val="0044052A"/>
    <w:rsid w:val="00447FEC"/>
    <w:rsid w:val="004609AB"/>
    <w:rsid w:val="00467927"/>
    <w:rsid w:val="00477C28"/>
    <w:rsid w:val="004800DD"/>
    <w:rsid w:val="00493DF0"/>
    <w:rsid w:val="004A5055"/>
    <w:rsid w:val="004A601D"/>
    <w:rsid w:val="004B12DB"/>
    <w:rsid w:val="004C1CC9"/>
    <w:rsid w:val="004E3501"/>
    <w:rsid w:val="004F7AB7"/>
    <w:rsid w:val="00506A22"/>
    <w:rsid w:val="00587057"/>
    <w:rsid w:val="005A1A65"/>
    <w:rsid w:val="005A4B34"/>
    <w:rsid w:val="005A4BC6"/>
    <w:rsid w:val="005B2279"/>
    <w:rsid w:val="005B38CC"/>
    <w:rsid w:val="005B5D73"/>
    <w:rsid w:val="005C1FE3"/>
    <w:rsid w:val="005C560C"/>
    <w:rsid w:val="005D0FFE"/>
    <w:rsid w:val="005D33B2"/>
    <w:rsid w:val="005E4CCF"/>
    <w:rsid w:val="005E73E2"/>
    <w:rsid w:val="006045C4"/>
    <w:rsid w:val="00616DD6"/>
    <w:rsid w:val="006307CE"/>
    <w:rsid w:val="006312BA"/>
    <w:rsid w:val="00634126"/>
    <w:rsid w:val="0063435D"/>
    <w:rsid w:val="00657C48"/>
    <w:rsid w:val="00676983"/>
    <w:rsid w:val="00676DEE"/>
    <w:rsid w:val="006A20AB"/>
    <w:rsid w:val="006B3D8D"/>
    <w:rsid w:val="006C1A7F"/>
    <w:rsid w:val="006C320B"/>
    <w:rsid w:val="006C3438"/>
    <w:rsid w:val="006C5FA0"/>
    <w:rsid w:val="006D0966"/>
    <w:rsid w:val="006E59E5"/>
    <w:rsid w:val="006E63E2"/>
    <w:rsid w:val="006F3A37"/>
    <w:rsid w:val="00710571"/>
    <w:rsid w:val="00750B49"/>
    <w:rsid w:val="007559E7"/>
    <w:rsid w:val="00756BBE"/>
    <w:rsid w:val="007638B6"/>
    <w:rsid w:val="00782AEA"/>
    <w:rsid w:val="00786063"/>
    <w:rsid w:val="007953FB"/>
    <w:rsid w:val="007A2848"/>
    <w:rsid w:val="007B64E3"/>
    <w:rsid w:val="007E46FE"/>
    <w:rsid w:val="007F3B15"/>
    <w:rsid w:val="008054E0"/>
    <w:rsid w:val="00826CA2"/>
    <w:rsid w:val="00832FA4"/>
    <w:rsid w:val="00847A18"/>
    <w:rsid w:val="00847BEA"/>
    <w:rsid w:val="00866ECE"/>
    <w:rsid w:val="00880EA5"/>
    <w:rsid w:val="008903BF"/>
    <w:rsid w:val="00892F88"/>
    <w:rsid w:val="008A0415"/>
    <w:rsid w:val="008A1C6A"/>
    <w:rsid w:val="008A5335"/>
    <w:rsid w:val="008B65E7"/>
    <w:rsid w:val="008C4C77"/>
    <w:rsid w:val="00903BCA"/>
    <w:rsid w:val="00933085"/>
    <w:rsid w:val="009374A3"/>
    <w:rsid w:val="00944993"/>
    <w:rsid w:val="00957D24"/>
    <w:rsid w:val="00961A03"/>
    <w:rsid w:val="009664EA"/>
    <w:rsid w:val="00967F6A"/>
    <w:rsid w:val="00970184"/>
    <w:rsid w:val="0097176C"/>
    <w:rsid w:val="00974341"/>
    <w:rsid w:val="009A452C"/>
    <w:rsid w:val="009C059F"/>
    <w:rsid w:val="009D712E"/>
    <w:rsid w:val="009E6BB5"/>
    <w:rsid w:val="009E7426"/>
    <w:rsid w:val="009E7853"/>
    <w:rsid w:val="00A01C01"/>
    <w:rsid w:val="00A04319"/>
    <w:rsid w:val="00A17A69"/>
    <w:rsid w:val="00A254DD"/>
    <w:rsid w:val="00A641C7"/>
    <w:rsid w:val="00A65155"/>
    <w:rsid w:val="00A67441"/>
    <w:rsid w:val="00A737EA"/>
    <w:rsid w:val="00A87B9F"/>
    <w:rsid w:val="00A9694D"/>
    <w:rsid w:val="00AC6156"/>
    <w:rsid w:val="00B00A1E"/>
    <w:rsid w:val="00B078FD"/>
    <w:rsid w:val="00B532E7"/>
    <w:rsid w:val="00B578BB"/>
    <w:rsid w:val="00B67174"/>
    <w:rsid w:val="00B76B5D"/>
    <w:rsid w:val="00B808DC"/>
    <w:rsid w:val="00B84C15"/>
    <w:rsid w:val="00B95990"/>
    <w:rsid w:val="00BB78A4"/>
    <w:rsid w:val="00C0554A"/>
    <w:rsid w:val="00C31F15"/>
    <w:rsid w:val="00C3338F"/>
    <w:rsid w:val="00C51674"/>
    <w:rsid w:val="00C5439B"/>
    <w:rsid w:val="00C578F6"/>
    <w:rsid w:val="00C816E3"/>
    <w:rsid w:val="00C86DB8"/>
    <w:rsid w:val="00C86FBC"/>
    <w:rsid w:val="00C94B54"/>
    <w:rsid w:val="00CB3E17"/>
    <w:rsid w:val="00CB7118"/>
    <w:rsid w:val="00CC5F35"/>
    <w:rsid w:val="00CE132A"/>
    <w:rsid w:val="00CF0395"/>
    <w:rsid w:val="00D07DF7"/>
    <w:rsid w:val="00D11A4D"/>
    <w:rsid w:val="00D24FA3"/>
    <w:rsid w:val="00D30CE0"/>
    <w:rsid w:val="00D36987"/>
    <w:rsid w:val="00D63CD9"/>
    <w:rsid w:val="00D67541"/>
    <w:rsid w:val="00D74050"/>
    <w:rsid w:val="00D769E9"/>
    <w:rsid w:val="00D85188"/>
    <w:rsid w:val="00D931F3"/>
    <w:rsid w:val="00DA015E"/>
    <w:rsid w:val="00DA6D81"/>
    <w:rsid w:val="00DC57F2"/>
    <w:rsid w:val="00DD1B43"/>
    <w:rsid w:val="00DD3483"/>
    <w:rsid w:val="00DD3485"/>
    <w:rsid w:val="00DF01B6"/>
    <w:rsid w:val="00DF562F"/>
    <w:rsid w:val="00E203F7"/>
    <w:rsid w:val="00E21019"/>
    <w:rsid w:val="00E215C7"/>
    <w:rsid w:val="00E23FB6"/>
    <w:rsid w:val="00E42206"/>
    <w:rsid w:val="00E525B1"/>
    <w:rsid w:val="00E64A08"/>
    <w:rsid w:val="00E8435D"/>
    <w:rsid w:val="00E9369E"/>
    <w:rsid w:val="00E9633B"/>
    <w:rsid w:val="00E97C9D"/>
    <w:rsid w:val="00EA0077"/>
    <w:rsid w:val="00EF17B5"/>
    <w:rsid w:val="00EF5359"/>
    <w:rsid w:val="00F01057"/>
    <w:rsid w:val="00F04978"/>
    <w:rsid w:val="00F05A47"/>
    <w:rsid w:val="00F11A81"/>
    <w:rsid w:val="00F15E35"/>
    <w:rsid w:val="00F22893"/>
    <w:rsid w:val="00F25483"/>
    <w:rsid w:val="00F718F3"/>
    <w:rsid w:val="00F76C2E"/>
    <w:rsid w:val="00F87A89"/>
    <w:rsid w:val="00F96A26"/>
    <w:rsid w:val="00FE2185"/>
    <w:rsid w:val="00FE76AB"/>
    <w:rsid w:val="00FF1D02"/>
    <w:rsid w:val="00FF6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E18DBC"/>
  <w15:chartTrackingRefBased/>
  <w15:docId w15:val="{20BA9E01-28CC-4807-AD0F-3D85B401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C89"/>
  </w:style>
  <w:style w:type="paragraph" w:styleId="Heading1">
    <w:name w:val="heading 1"/>
    <w:basedOn w:val="Normal"/>
    <w:next w:val="Normal"/>
    <w:link w:val="Heading1Char"/>
    <w:uiPriority w:val="9"/>
    <w:qFormat/>
    <w:rsid w:val="00F22893"/>
    <w:pPr>
      <w:keepNext/>
      <w:keepLines/>
      <w:spacing w:before="400" w:after="40" w:line="240" w:lineRule="auto"/>
      <w:outlineLvl w:val="0"/>
    </w:pPr>
    <w:rPr>
      <w:rFonts w:ascii="Century Gothic" w:eastAsiaTheme="majorEastAsia" w:hAnsi="Century Gothic" w:cstheme="majorBidi"/>
      <w:b/>
      <w:bCs/>
      <w:color w:val="8D2428" w:themeColor="accent1"/>
      <w:sz w:val="28"/>
      <w:szCs w:val="28"/>
    </w:rPr>
  </w:style>
  <w:style w:type="paragraph" w:styleId="Heading2">
    <w:name w:val="heading 2"/>
    <w:basedOn w:val="Normal"/>
    <w:next w:val="Normal"/>
    <w:link w:val="Heading2Char"/>
    <w:uiPriority w:val="9"/>
    <w:unhideWhenUsed/>
    <w:qFormat/>
    <w:rsid w:val="0097176C"/>
    <w:pPr>
      <w:keepNext/>
      <w:keepLines/>
      <w:spacing w:before="240" w:after="60" w:line="240" w:lineRule="auto"/>
      <w:outlineLvl w:val="1"/>
    </w:pPr>
    <w:rPr>
      <w:rFonts w:ascii="Century Gothic" w:eastAsiaTheme="majorEastAsia" w:hAnsi="Century Gothic" w:cstheme="majorBidi"/>
      <w:color w:val="691B1D" w:themeColor="accent1" w:themeShade="BF"/>
      <w:sz w:val="24"/>
      <w:szCs w:val="24"/>
    </w:rPr>
  </w:style>
  <w:style w:type="paragraph" w:styleId="Heading3">
    <w:name w:val="heading 3"/>
    <w:basedOn w:val="Normal"/>
    <w:next w:val="Normal"/>
    <w:link w:val="Heading3Char"/>
    <w:uiPriority w:val="9"/>
    <w:unhideWhenUsed/>
    <w:qFormat/>
    <w:rsid w:val="00D85188"/>
    <w:pPr>
      <w:keepNext/>
      <w:keepLines/>
      <w:spacing w:before="120" w:after="40" w:line="240" w:lineRule="auto"/>
      <w:outlineLvl w:val="2"/>
    </w:pPr>
    <w:rPr>
      <w:rFonts w:ascii="Century Gothic" w:eastAsiaTheme="majorEastAsia" w:hAnsi="Century Gothic" w:cstheme="majorBidi"/>
      <w:i/>
      <w:iCs/>
      <w:color w:val="691B1D" w:themeColor="accent1" w:themeShade="BF"/>
    </w:rPr>
  </w:style>
  <w:style w:type="paragraph" w:styleId="Heading4">
    <w:name w:val="heading 4"/>
    <w:basedOn w:val="Normal"/>
    <w:next w:val="Normal"/>
    <w:link w:val="Heading4Char"/>
    <w:uiPriority w:val="9"/>
    <w:semiHidden/>
    <w:unhideWhenUsed/>
    <w:qFormat/>
    <w:rsid w:val="00116C89"/>
    <w:pPr>
      <w:keepNext/>
      <w:keepLines/>
      <w:spacing w:before="40" w:after="0"/>
      <w:outlineLvl w:val="3"/>
    </w:pPr>
    <w:rPr>
      <w:rFonts w:asciiTheme="majorHAnsi" w:eastAsiaTheme="majorEastAsia" w:hAnsiTheme="majorHAnsi" w:cstheme="majorBidi"/>
      <w:color w:val="691B1D" w:themeColor="accent1" w:themeShade="BF"/>
      <w:sz w:val="24"/>
      <w:szCs w:val="24"/>
    </w:rPr>
  </w:style>
  <w:style w:type="paragraph" w:styleId="Heading5">
    <w:name w:val="heading 5"/>
    <w:basedOn w:val="Normal"/>
    <w:next w:val="Normal"/>
    <w:link w:val="Heading5Char"/>
    <w:uiPriority w:val="9"/>
    <w:semiHidden/>
    <w:unhideWhenUsed/>
    <w:qFormat/>
    <w:rsid w:val="00116C89"/>
    <w:pPr>
      <w:keepNext/>
      <w:keepLines/>
      <w:spacing w:before="40" w:after="0"/>
      <w:outlineLvl w:val="4"/>
    </w:pPr>
    <w:rPr>
      <w:rFonts w:asciiTheme="majorHAnsi" w:eastAsiaTheme="majorEastAsia" w:hAnsiTheme="majorHAnsi" w:cstheme="majorBidi"/>
      <w:caps/>
      <w:color w:val="691B1D" w:themeColor="accent1" w:themeShade="BF"/>
    </w:rPr>
  </w:style>
  <w:style w:type="paragraph" w:styleId="Heading6">
    <w:name w:val="heading 6"/>
    <w:basedOn w:val="Normal"/>
    <w:next w:val="Normal"/>
    <w:link w:val="Heading6Char"/>
    <w:uiPriority w:val="9"/>
    <w:semiHidden/>
    <w:unhideWhenUsed/>
    <w:qFormat/>
    <w:rsid w:val="00116C89"/>
    <w:pPr>
      <w:keepNext/>
      <w:keepLines/>
      <w:spacing w:before="40" w:after="0"/>
      <w:outlineLvl w:val="5"/>
    </w:pPr>
    <w:rPr>
      <w:rFonts w:asciiTheme="majorHAnsi" w:eastAsiaTheme="majorEastAsia" w:hAnsiTheme="majorHAnsi" w:cstheme="majorBidi"/>
      <w:i/>
      <w:iCs/>
      <w:caps/>
      <w:color w:val="461214" w:themeColor="accent1" w:themeShade="80"/>
    </w:rPr>
  </w:style>
  <w:style w:type="paragraph" w:styleId="Heading7">
    <w:name w:val="heading 7"/>
    <w:basedOn w:val="Normal"/>
    <w:next w:val="Normal"/>
    <w:link w:val="Heading7Char"/>
    <w:uiPriority w:val="9"/>
    <w:semiHidden/>
    <w:unhideWhenUsed/>
    <w:qFormat/>
    <w:rsid w:val="00116C89"/>
    <w:pPr>
      <w:keepNext/>
      <w:keepLines/>
      <w:spacing w:before="40" w:after="0"/>
      <w:outlineLvl w:val="6"/>
    </w:pPr>
    <w:rPr>
      <w:rFonts w:asciiTheme="majorHAnsi" w:eastAsiaTheme="majorEastAsia" w:hAnsiTheme="majorHAnsi" w:cstheme="majorBidi"/>
      <w:b/>
      <w:bCs/>
      <w:color w:val="461214" w:themeColor="accent1" w:themeShade="80"/>
    </w:rPr>
  </w:style>
  <w:style w:type="paragraph" w:styleId="Heading8">
    <w:name w:val="heading 8"/>
    <w:basedOn w:val="Normal"/>
    <w:next w:val="Normal"/>
    <w:link w:val="Heading8Char"/>
    <w:uiPriority w:val="9"/>
    <w:semiHidden/>
    <w:unhideWhenUsed/>
    <w:qFormat/>
    <w:rsid w:val="00116C89"/>
    <w:pPr>
      <w:keepNext/>
      <w:keepLines/>
      <w:spacing w:before="40" w:after="0"/>
      <w:outlineLvl w:val="7"/>
    </w:pPr>
    <w:rPr>
      <w:rFonts w:asciiTheme="majorHAnsi" w:eastAsiaTheme="majorEastAsia" w:hAnsiTheme="majorHAnsi" w:cstheme="majorBidi"/>
      <w:b/>
      <w:bCs/>
      <w:i/>
      <w:iCs/>
      <w:color w:val="461214" w:themeColor="accent1" w:themeShade="80"/>
    </w:rPr>
  </w:style>
  <w:style w:type="paragraph" w:styleId="Heading9">
    <w:name w:val="heading 9"/>
    <w:basedOn w:val="Normal"/>
    <w:next w:val="Normal"/>
    <w:link w:val="Heading9Char"/>
    <w:uiPriority w:val="9"/>
    <w:semiHidden/>
    <w:unhideWhenUsed/>
    <w:qFormat/>
    <w:rsid w:val="00116C89"/>
    <w:pPr>
      <w:keepNext/>
      <w:keepLines/>
      <w:spacing w:before="40" w:after="0"/>
      <w:outlineLvl w:val="8"/>
    </w:pPr>
    <w:rPr>
      <w:rFonts w:asciiTheme="majorHAnsi" w:eastAsiaTheme="majorEastAsia" w:hAnsiTheme="majorHAnsi" w:cstheme="majorBidi"/>
      <w:i/>
      <w:iCs/>
      <w:color w:val="46121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993"/>
  </w:style>
  <w:style w:type="paragraph" w:styleId="Footer">
    <w:name w:val="footer"/>
    <w:basedOn w:val="Normal"/>
    <w:link w:val="FooterChar"/>
    <w:uiPriority w:val="99"/>
    <w:unhideWhenUsed/>
    <w:rsid w:val="00944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993"/>
  </w:style>
  <w:style w:type="character" w:customStyle="1" w:styleId="Heading1Char">
    <w:name w:val="Heading 1 Char"/>
    <w:basedOn w:val="DefaultParagraphFont"/>
    <w:link w:val="Heading1"/>
    <w:uiPriority w:val="9"/>
    <w:rsid w:val="00F22893"/>
    <w:rPr>
      <w:rFonts w:ascii="Century Gothic" w:eastAsiaTheme="majorEastAsia" w:hAnsi="Century Gothic" w:cstheme="majorBidi"/>
      <w:b/>
      <w:bCs/>
      <w:color w:val="8D2428" w:themeColor="accent1"/>
      <w:sz w:val="28"/>
      <w:szCs w:val="28"/>
    </w:rPr>
  </w:style>
  <w:style w:type="character" w:customStyle="1" w:styleId="Heading2Char">
    <w:name w:val="Heading 2 Char"/>
    <w:basedOn w:val="DefaultParagraphFont"/>
    <w:link w:val="Heading2"/>
    <w:uiPriority w:val="9"/>
    <w:rsid w:val="0097176C"/>
    <w:rPr>
      <w:rFonts w:ascii="Century Gothic" w:eastAsiaTheme="majorEastAsia" w:hAnsi="Century Gothic" w:cstheme="majorBidi"/>
      <w:color w:val="691B1D" w:themeColor="accent1" w:themeShade="BF"/>
      <w:sz w:val="24"/>
      <w:szCs w:val="24"/>
    </w:rPr>
  </w:style>
  <w:style w:type="character" w:customStyle="1" w:styleId="Heading3Char">
    <w:name w:val="Heading 3 Char"/>
    <w:basedOn w:val="DefaultParagraphFont"/>
    <w:link w:val="Heading3"/>
    <w:uiPriority w:val="9"/>
    <w:rsid w:val="00D85188"/>
    <w:rPr>
      <w:rFonts w:ascii="Century Gothic" w:eastAsiaTheme="majorEastAsia" w:hAnsi="Century Gothic" w:cstheme="majorBidi"/>
      <w:i/>
      <w:iCs/>
      <w:color w:val="691B1D" w:themeColor="accent1" w:themeShade="BF"/>
    </w:rPr>
  </w:style>
  <w:style w:type="character" w:customStyle="1" w:styleId="Heading4Char">
    <w:name w:val="Heading 4 Char"/>
    <w:basedOn w:val="DefaultParagraphFont"/>
    <w:link w:val="Heading4"/>
    <w:uiPriority w:val="9"/>
    <w:semiHidden/>
    <w:rsid w:val="00116C89"/>
    <w:rPr>
      <w:rFonts w:asciiTheme="majorHAnsi" w:eastAsiaTheme="majorEastAsia" w:hAnsiTheme="majorHAnsi" w:cstheme="majorBidi"/>
      <w:color w:val="691B1D" w:themeColor="accent1" w:themeShade="BF"/>
      <w:sz w:val="24"/>
      <w:szCs w:val="24"/>
    </w:rPr>
  </w:style>
  <w:style w:type="character" w:customStyle="1" w:styleId="Heading5Char">
    <w:name w:val="Heading 5 Char"/>
    <w:basedOn w:val="DefaultParagraphFont"/>
    <w:link w:val="Heading5"/>
    <w:uiPriority w:val="9"/>
    <w:semiHidden/>
    <w:rsid w:val="00116C89"/>
    <w:rPr>
      <w:rFonts w:asciiTheme="majorHAnsi" w:eastAsiaTheme="majorEastAsia" w:hAnsiTheme="majorHAnsi" w:cstheme="majorBidi"/>
      <w:caps/>
      <w:color w:val="691B1D" w:themeColor="accent1" w:themeShade="BF"/>
    </w:rPr>
  </w:style>
  <w:style w:type="character" w:customStyle="1" w:styleId="Heading6Char">
    <w:name w:val="Heading 6 Char"/>
    <w:basedOn w:val="DefaultParagraphFont"/>
    <w:link w:val="Heading6"/>
    <w:uiPriority w:val="9"/>
    <w:semiHidden/>
    <w:rsid w:val="00116C89"/>
    <w:rPr>
      <w:rFonts w:asciiTheme="majorHAnsi" w:eastAsiaTheme="majorEastAsia" w:hAnsiTheme="majorHAnsi" w:cstheme="majorBidi"/>
      <w:i/>
      <w:iCs/>
      <w:caps/>
      <w:color w:val="461214" w:themeColor="accent1" w:themeShade="80"/>
    </w:rPr>
  </w:style>
  <w:style w:type="character" w:customStyle="1" w:styleId="Heading7Char">
    <w:name w:val="Heading 7 Char"/>
    <w:basedOn w:val="DefaultParagraphFont"/>
    <w:link w:val="Heading7"/>
    <w:uiPriority w:val="9"/>
    <w:semiHidden/>
    <w:rsid w:val="00116C89"/>
    <w:rPr>
      <w:rFonts w:asciiTheme="majorHAnsi" w:eastAsiaTheme="majorEastAsia" w:hAnsiTheme="majorHAnsi" w:cstheme="majorBidi"/>
      <w:b/>
      <w:bCs/>
      <w:color w:val="461214" w:themeColor="accent1" w:themeShade="80"/>
    </w:rPr>
  </w:style>
  <w:style w:type="character" w:customStyle="1" w:styleId="Heading8Char">
    <w:name w:val="Heading 8 Char"/>
    <w:basedOn w:val="DefaultParagraphFont"/>
    <w:link w:val="Heading8"/>
    <w:uiPriority w:val="9"/>
    <w:semiHidden/>
    <w:rsid w:val="00116C89"/>
    <w:rPr>
      <w:rFonts w:asciiTheme="majorHAnsi" w:eastAsiaTheme="majorEastAsia" w:hAnsiTheme="majorHAnsi" w:cstheme="majorBidi"/>
      <w:b/>
      <w:bCs/>
      <w:i/>
      <w:iCs/>
      <w:color w:val="461214" w:themeColor="accent1" w:themeShade="80"/>
    </w:rPr>
  </w:style>
  <w:style w:type="character" w:customStyle="1" w:styleId="Heading9Char">
    <w:name w:val="Heading 9 Char"/>
    <w:basedOn w:val="DefaultParagraphFont"/>
    <w:link w:val="Heading9"/>
    <w:uiPriority w:val="9"/>
    <w:semiHidden/>
    <w:rsid w:val="00116C89"/>
    <w:rPr>
      <w:rFonts w:asciiTheme="majorHAnsi" w:eastAsiaTheme="majorEastAsia" w:hAnsiTheme="majorHAnsi" w:cstheme="majorBidi"/>
      <w:i/>
      <w:iCs/>
      <w:color w:val="461214" w:themeColor="accent1" w:themeShade="80"/>
    </w:rPr>
  </w:style>
  <w:style w:type="paragraph" w:styleId="Caption">
    <w:name w:val="caption"/>
    <w:basedOn w:val="Normal"/>
    <w:next w:val="Normal"/>
    <w:uiPriority w:val="35"/>
    <w:semiHidden/>
    <w:unhideWhenUsed/>
    <w:qFormat/>
    <w:rsid w:val="00116C89"/>
    <w:pPr>
      <w:spacing w:line="240" w:lineRule="auto"/>
    </w:pPr>
    <w:rPr>
      <w:b/>
      <w:bCs/>
      <w:smallCaps/>
      <w:color w:val="2B2B2B" w:themeColor="text2"/>
    </w:rPr>
  </w:style>
  <w:style w:type="paragraph" w:styleId="Title">
    <w:name w:val="Title"/>
    <w:basedOn w:val="Normal"/>
    <w:next w:val="Normal"/>
    <w:link w:val="TitleChar"/>
    <w:uiPriority w:val="10"/>
    <w:qFormat/>
    <w:rsid w:val="00A01C01"/>
    <w:pPr>
      <w:spacing w:before="360" w:after="0" w:line="204" w:lineRule="auto"/>
      <w:contextualSpacing/>
    </w:pPr>
    <w:rPr>
      <w:rFonts w:ascii="Century Gothic" w:eastAsiaTheme="majorEastAsia" w:hAnsi="Century Gothic" w:cstheme="majorBidi"/>
      <w:caps/>
      <w:color w:val="2B2B2B" w:themeColor="text2"/>
      <w:sz w:val="44"/>
      <w:szCs w:val="44"/>
    </w:rPr>
  </w:style>
  <w:style w:type="character" w:customStyle="1" w:styleId="TitleChar">
    <w:name w:val="Title Char"/>
    <w:basedOn w:val="DefaultParagraphFont"/>
    <w:link w:val="Title"/>
    <w:uiPriority w:val="10"/>
    <w:rsid w:val="00A01C01"/>
    <w:rPr>
      <w:rFonts w:ascii="Century Gothic" w:eastAsiaTheme="majorEastAsia" w:hAnsi="Century Gothic" w:cstheme="majorBidi"/>
      <w:caps/>
      <w:color w:val="2B2B2B" w:themeColor="text2"/>
      <w:sz w:val="44"/>
      <w:szCs w:val="44"/>
    </w:rPr>
  </w:style>
  <w:style w:type="paragraph" w:styleId="Subtitle">
    <w:name w:val="Subtitle"/>
    <w:basedOn w:val="Normal"/>
    <w:next w:val="Normal"/>
    <w:link w:val="SubtitleChar"/>
    <w:uiPriority w:val="11"/>
    <w:qFormat/>
    <w:rsid w:val="002E3B47"/>
    <w:pPr>
      <w:numPr>
        <w:ilvl w:val="1"/>
      </w:numPr>
      <w:spacing w:after="240" w:line="240" w:lineRule="auto"/>
    </w:pPr>
    <w:rPr>
      <w:rFonts w:ascii="Century Gothic" w:eastAsiaTheme="majorEastAsia" w:hAnsi="Century Gothic" w:cstheme="majorBidi"/>
      <w:color w:val="8D2428" w:themeColor="accent1"/>
      <w:spacing w:val="20"/>
      <w:sz w:val="24"/>
      <w:szCs w:val="24"/>
    </w:rPr>
  </w:style>
  <w:style w:type="character" w:customStyle="1" w:styleId="SubtitleChar">
    <w:name w:val="Subtitle Char"/>
    <w:basedOn w:val="DefaultParagraphFont"/>
    <w:link w:val="Subtitle"/>
    <w:uiPriority w:val="11"/>
    <w:rsid w:val="002E3B47"/>
    <w:rPr>
      <w:rFonts w:ascii="Century Gothic" w:eastAsiaTheme="majorEastAsia" w:hAnsi="Century Gothic" w:cstheme="majorBidi"/>
      <w:color w:val="8D2428" w:themeColor="accent1"/>
      <w:spacing w:val="20"/>
      <w:sz w:val="24"/>
      <w:szCs w:val="24"/>
    </w:rPr>
  </w:style>
  <w:style w:type="character" w:styleId="Strong">
    <w:name w:val="Strong"/>
    <w:basedOn w:val="DefaultParagraphFont"/>
    <w:uiPriority w:val="22"/>
    <w:qFormat/>
    <w:rsid w:val="00116C89"/>
    <w:rPr>
      <w:b/>
      <w:bCs/>
    </w:rPr>
  </w:style>
  <w:style w:type="character" w:styleId="Emphasis">
    <w:name w:val="Emphasis"/>
    <w:basedOn w:val="DefaultParagraphFont"/>
    <w:uiPriority w:val="20"/>
    <w:qFormat/>
    <w:rsid w:val="00116C89"/>
    <w:rPr>
      <w:i/>
      <w:iCs/>
    </w:rPr>
  </w:style>
  <w:style w:type="paragraph" w:styleId="NoSpacing">
    <w:name w:val="No Spacing"/>
    <w:uiPriority w:val="1"/>
    <w:qFormat/>
    <w:rsid w:val="00116C89"/>
    <w:pPr>
      <w:spacing w:after="0" w:line="240" w:lineRule="auto"/>
    </w:pPr>
  </w:style>
  <w:style w:type="paragraph" w:styleId="Quote">
    <w:name w:val="Quote"/>
    <w:basedOn w:val="Normal"/>
    <w:next w:val="Normal"/>
    <w:link w:val="QuoteChar"/>
    <w:uiPriority w:val="29"/>
    <w:qFormat/>
    <w:rsid w:val="008C4C77"/>
    <w:pPr>
      <w:pBdr>
        <w:left w:val="single" w:sz="4" w:space="4" w:color="8A1C1D" w:themeColor="accent2" w:themeShade="80"/>
      </w:pBdr>
      <w:spacing w:after="60" w:line="240" w:lineRule="auto"/>
      <w:ind w:left="720"/>
    </w:pPr>
    <w:rPr>
      <w:rFonts w:asciiTheme="majorHAnsi" w:hAnsiTheme="majorHAnsi" w:cstheme="majorHAnsi"/>
      <w:color w:val="8A1C1D" w:themeColor="accent2" w:themeShade="80"/>
      <w:sz w:val="24"/>
      <w:szCs w:val="24"/>
    </w:rPr>
  </w:style>
  <w:style w:type="character" w:customStyle="1" w:styleId="QuoteChar">
    <w:name w:val="Quote Char"/>
    <w:basedOn w:val="DefaultParagraphFont"/>
    <w:link w:val="Quote"/>
    <w:uiPriority w:val="29"/>
    <w:rsid w:val="008C4C77"/>
    <w:rPr>
      <w:rFonts w:asciiTheme="majorHAnsi" w:hAnsiTheme="majorHAnsi" w:cstheme="majorHAnsi"/>
      <w:color w:val="8A1C1D" w:themeColor="accent2" w:themeShade="80"/>
      <w:sz w:val="24"/>
      <w:szCs w:val="24"/>
    </w:rPr>
  </w:style>
  <w:style w:type="paragraph" w:styleId="IntenseQuote">
    <w:name w:val="Intense Quote"/>
    <w:basedOn w:val="Normal"/>
    <w:next w:val="Normal"/>
    <w:link w:val="IntenseQuoteChar"/>
    <w:uiPriority w:val="30"/>
    <w:qFormat/>
    <w:rsid w:val="00116C89"/>
    <w:pPr>
      <w:spacing w:before="100" w:beforeAutospacing="1" w:after="240" w:line="240" w:lineRule="auto"/>
      <w:ind w:left="720"/>
      <w:jc w:val="center"/>
    </w:pPr>
    <w:rPr>
      <w:rFonts w:asciiTheme="majorHAnsi" w:eastAsiaTheme="majorEastAsia" w:hAnsiTheme="majorHAnsi" w:cstheme="majorBidi"/>
      <w:color w:val="2B2B2B" w:themeColor="text2"/>
      <w:spacing w:val="-6"/>
      <w:sz w:val="32"/>
      <w:szCs w:val="32"/>
    </w:rPr>
  </w:style>
  <w:style w:type="character" w:customStyle="1" w:styleId="IntenseQuoteChar">
    <w:name w:val="Intense Quote Char"/>
    <w:basedOn w:val="DefaultParagraphFont"/>
    <w:link w:val="IntenseQuote"/>
    <w:uiPriority w:val="30"/>
    <w:rsid w:val="00116C89"/>
    <w:rPr>
      <w:rFonts w:asciiTheme="majorHAnsi" w:eastAsiaTheme="majorEastAsia" w:hAnsiTheme="majorHAnsi" w:cstheme="majorBidi"/>
      <w:color w:val="2B2B2B" w:themeColor="text2"/>
      <w:spacing w:val="-6"/>
      <w:sz w:val="32"/>
      <w:szCs w:val="32"/>
    </w:rPr>
  </w:style>
  <w:style w:type="character" w:styleId="SubtleEmphasis">
    <w:name w:val="Subtle Emphasis"/>
    <w:basedOn w:val="DefaultParagraphFont"/>
    <w:uiPriority w:val="19"/>
    <w:qFormat/>
    <w:rsid w:val="005C1FE3"/>
    <w:rPr>
      <w:i/>
      <w:iCs/>
      <w:color w:val="595959" w:themeColor="text1" w:themeTint="A6"/>
    </w:rPr>
  </w:style>
  <w:style w:type="character" w:styleId="IntenseEmphasis">
    <w:name w:val="Intense Emphasis"/>
    <w:basedOn w:val="DefaultParagraphFont"/>
    <w:uiPriority w:val="21"/>
    <w:qFormat/>
    <w:rsid w:val="00116C89"/>
    <w:rPr>
      <w:b/>
      <w:bCs/>
      <w:i/>
      <w:iCs/>
    </w:rPr>
  </w:style>
  <w:style w:type="character" w:styleId="SubtleReference">
    <w:name w:val="Subtle Reference"/>
    <w:basedOn w:val="DefaultParagraphFont"/>
    <w:uiPriority w:val="31"/>
    <w:qFormat/>
    <w:rsid w:val="00116C8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16C89"/>
    <w:rPr>
      <w:b/>
      <w:bCs/>
      <w:smallCaps/>
      <w:color w:val="2B2B2B" w:themeColor="text2"/>
      <w:u w:val="single"/>
    </w:rPr>
  </w:style>
  <w:style w:type="character" w:styleId="BookTitle">
    <w:name w:val="Book Title"/>
    <w:basedOn w:val="DefaultParagraphFont"/>
    <w:uiPriority w:val="33"/>
    <w:qFormat/>
    <w:rsid w:val="00116C89"/>
    <w:rPr>
      <w:b/>
      <w:bCs/>
      <w:smallCaps/>
      <w:spacing w:val="10"/>
    </w:rPr>
  </w:style>
  <w:style w:type="paragraph" w:styleId="TOCHeading">
    <w:name w:val="TOC Heading"/>
    <w:basedOn w:val="Heading1"/>
    <w:next w:val="Normal"/>
    <w:uiPriority w:val="39"/>
    <w:semiHidden/>
    <w:unhideWhenUsed/>
    <w:qFormat/>
    <w:rsid w:val="00116C89"/>
    <w:pPr>
      <w:outlineLvl w:val="9"/>
    </w:pPr>
  </w:style>
  <w:style w:type="character" w:styleId="Hyperlink">
    <w:name w:val="Hyperlink"/>
    <w:basedOn w:val="DefaultParagraphFont"/>
    <w:uiPriority w:val="99"/>
    <w:unhideWhenUsed/>
    <w:rsid w:val="00D07DF7"/>
    <w:rPr>
      <w:color w:val="0000FF"/>
      <w:u w:val="single"/>
    </w:rPr>
  </w:style>
  <w:style w:type="paragraph" w:styleId="ListParagraph">
    <w:name w:val="List Paragraph"/>
    <w:basedOn w:val="NoSpacing"/>
    <w:uiPriority w:val="34"/>
    <w:qFormat/>
    <w:rsid w:val="00F22893"/>
    <w:pPr>
      <w:numPr>
        <w:numId w:val="3"/>
      </w:numPr>
    </w:pPr>
  </w:style>
  <w:style w:type="character" w:styleId="FollowedHyperlink">
    <w:name w:val="FollowedHyperlink"/>
    <w:basedOn w:val="DefaultParagraphFont"/>
    <w:uiPriority w:val="99"/>
    <w:semiHidden/>
    <w:unhideWhenUsed/>
    <w:rsid w:val="0028369D"/>
    <w:rPr>
      <w:color w:val="9CC3E5" w:themeColor="followedHyperlink"/>
      <w:u w:val="single"/>
    </w:rPr>
  </w:style>
  <w:style w:type="character" w:customStyle="1" w:styleId="UnresolvedMention">
    <w:name w:val="Unresolved Mention"/>
    <w:basedOn w:val="DefaultParagraphFont"/>
    <w:uiPriority w:val="99"/>
    <w:semiHidden/>
    <w:unhideWhenUsed/>
    <w:rsid w:val="0028369D"/>
    <w:rPr>
      <w:color w:val="605E5C"/>
      <w:shd w:val="clear" w:color="auto" w:fill="E1DFDD"/>
    </w:rPr>
  </w:style>
  <w:style w:type="paragraph" w:styleId="PlainText">
    <w:name w:val="Plain Text"/>
    <w:basedOn w:val="Normal"/>
    <w:link w:val="PlainTextChar"/>
    <w:uiPriority w:val="99"/>
    <w:unhideWhenUsed/>
    <w:rsid w:val="00DD3483"/>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DD3483"/>
    <w:rPr>
      <w:rFonts w:ascii="Calibri" w:eastAsia="Times New Roman" w:hAnsi="Calibri" w:cs="Times New Roman"/>
      <w:szCs w:val="21"/>
    </w:rPr>
  </w:style>
  <w:style w:type="character" w:styleId="CommentReference">
    <w:name w:val="annotation reference"/>
    <w:basedOn w:val="DefaultParagraphFont"/>
    <w:uiPriority w:val="99"/>
    <w:semiHidden/>
    <w:unhideWhenUsed/>
    <w:rsid w:val="00345FBC"/>
    <w:rPr>
      <w:sz w:val="16"/>
      <w:szCs w:val="16"/>
    </w:rPr>
  </w:style>
  <w:style w:type="paragraph" w:styleId="CommentText">
    <w:name w:val="annotation text"/>
    <w:basedOn w:val="Normal"/>
    <w:link w:val="CommentTextChar"/>
    <w:uiPriority w:val="99"/>
    <w:semiHidden/>
    <w:unhideWhenUsed/>
    <w:rsid w:val="00345FBC"/>
    <w:pPr>
      <w:spacing w:line="240" w:lineRule="auto"/>
    </w:pPr>
    <w:rPr>
      <w:sz w:val="20"/>
      <w:szCs w:val="20"/>
    </w:rPr>
  </w:style>
  <w:style w:type="character" w:customStyle="1" w:styleId="CommentTextChar">
    <w:name w:val="Comment Text Char"/>
    <w:basedOn w:val="DefaultParagraphFont"/>
    <w:link w:val="CommentText"/>
    <w:uiPriority w:val="99"/>
    <w:semiHidden/>
    <w:rsid w:val="00345FBC"/>
    <w:rPr>
      <w:sz w:val="20"/>
      <w:szCs w:val="20"/>
    </w:rPr>
  </w:style>
  <w:style w:type="paragraph" w:styleId="CommentSubject">
    <w:name w:val="annotation subject"/>
    <w:basedOn w:val="CommentText"/>
    <w:next w:val="CommentText"/>
    <w:link w:val="CommentSubjectChar"/>
    <w:uiPriority w:val="99"/>
    <w:semiHidden/>
    <w:unhideWhenUsed/>
    <w:rsid w:val="00345FBC"/>
    <w:rPr>
      <w:b/>
      <w:bCs/>
    </w:rPr>
  </w:style>
  <w:style w:type="character" w:customStyle="1" w:styleId="CommentSubjectChar">
    <w:name w:val="Comment Subject Char"/>
    <w:basedOn w:val="CommentTextChar"/>
    <w:link w:val="CommentSubject"/>
    <w:uiPriority w:val="99"/>
    <w:semiHidden/>
    <w:rsid w:val="00345FBC"/>
    <w:rPr>
      <w:b/>
      <w:bCs/>
      <w:sz w:val="20"/>
      <w:szCs w:val="20"/>
    </w:rPr>
  </w:style>
  <w:style w:type="paragraph" w:styleId="BalloonText">
    <w:name w:val="Balloon Text"/>
    <w:basedOn w:val="Normal"/>
    <w:link w:val="BalloonTextChar"/>
    <w:uiPriority w:val="99"/>
    <w:semiHidden/>
    <w:unhideWhenUsed/>
    <w:rsid w:val="00345F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FBC"/>
    <w:rPr>
      <w:rFonts w:ascii="Segoe UI" w:hAnsi="Segoe UI" w:cs="Segoe UI"/>
      <w:sz w:val="18"/>
      <w:szCs w:val="18"/>
    </w:rPr>
  </w:style>
  <w:style w:type="paragraph" w:styleId="Revision">
    <w:name w:val="Revision"/>
    <w:hidden/>
    <w:uiPriority w:val="99"/>
    <w:semiHidden/>
    <w:rsid w:val="00832FA4"/>
    <w:pPr>
      <w:spacing w:after="0" w:line="240" w:lineRule="auto"/>
    </w:pPr>
  </w:style>
  <w:style w:type="paragraph" w:customStyle="1" w:styleId="CM4">
    <w:name w:val="CM4"/>
    <w:basedOn w:val="Normal"/>
    <w:uiPriority w:val="99"/>
    <w:rsid w:val="009C059F"/>
    <w:pPr>
      <w:autoSpaceDE w:val="0"/>
      <w:autoSpaceDN w:val="0"/>
      <w:spacing w:after="0" w:line="278" w:lineRule="atLeast"/>
    </w:pPr>
    <w:rPr>
      <w:rFonts w:ascii="Times New Roman" w:eastAsiaTheme="minorHAnsi" w:hAnsi="Times New Roman" w:cs="Times New Roman"/>
      <w:sz w:val="24"/>
      <w:szCs w:val="24"/>
    </w:rPr>
  </w:style>
  <w:style w:type="paragraph" w:customStyle="1" w:styleId="Default">
    <w:name w:val="Default"/>
    <w:basedOn w:val="Normal"/>
    <w:rsid w:val="00756BBE"/>
    <w:pPr>
      <w:autoSpaceDE w:val="0"/>
      <w:autoSpaceDN w:val="0"/>
      <w:spacing w:after="0" w:line="240" w:lineRule="auto"/>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62741">
      <w:bodyDiv w:val="1"/>
      <w:marLeft w:val="0"/>
      <w:marRight w:val="0"/>
      <w:marTop w:val="0"/>
      <w:marBottom w:val="0"/>
      <w:divBdr>
        <w:top w:val="none" w:sz="0" w:space="0" w:color="auto"/>
        <w:left w:val="none" w:sz="0" w:space="0" w:color="auto"/>
        <w:bottom w:val="none" w:sz="0" w:space="0" w:color="auto"/>
        <w:right w:val="none" w:sz="0" w:space="0" w:color="auto"/>
      </w:divBdr>
    </w:div>
    <w:div w:id="973564265">
      <w:bodyDiv w:val="1"/>
      <w:marLeft w:val="0"/>
      <w:marRight w:val="0"/>
      <w:marTop w:val="0"/>
      <w:marBottom w:val="0"/>
      <w:divBdr>
        <w:top w:val="none" w:sz="0" w:space="0" w:color="auto"/>
        <w:left w:val="none" w:sz="0" w:space="0" w:color="auto"/>
        <w:bottom w:val="none" w:sz="0" w:space="0" w:color="auto"/>
        <w:right w:val="none" w:sz="0" w:space="0" w:color="auto"/>
      </w:divBdr>
    </w:div>
    <w:div w:id="1118109879">
      <w:bodyDiv w:val="1"/>
      <w:marLeft w:val="0"/>
      <w:marRight w:val="0"/>
      <w:marTop w:val="0"/>
      <w:marBottom w:val="0"/>
      <w:divBdr>
        <w:top w:val="none" w:sz="0" w:space="0" w:color="auto"/>
        <w:left w:val="none" w:sz="0" w:space="0" w:color="auto"/>
        <w:bottom w:val="none" w:sz="0" w:space="0" w:color="auto"/>
        <w:right w:val="none" w:sz="0" w:space="0" w:color="auto"/>
      </w:divBdr>
    </w:div>
    <w:div w:id="1140001619">
      <w:bodyDiv w:val="1"/>
      <w:marLeft w:val="0"/>
      <w:marRight w:val="0"/>
      <w:marTop w:val="0"/>
      <w:marBottom w:val="0"/>
      <w:divBdr>
        <w:top w:val="none" w:sz="0" w:space="0" w:color="auto"/>
        <w:left w:val="none" w:sz="0" w:space="0" w:color="auto"/>
        <w:bottom w:val="none" w:sz="0" w:space="0" w:color="auto"/>
        <w:right w:val="none" w:sz="0" w:space="0" w:color="auto"/>
      </w:divBdr>
    </w:div>
    <w:div w:id="1148090121">
      <w:bodyDiv w:val="1"/>
      <w:marLeft w:val="0"/>
      <w:marRight w:val="0"/>
      <w:marTop w:val="0"/>
      <w:marBottom w:val="0"/>
      <w:divBdr>
        <w:top w:val="none" w:sz="0" w:space="0" w:color="auto"/>
        <w:left w:val="none" w:sz="0" w:space="0" w:color="auto"/>
        <w:bottom w:val="none" w:sz="0" w:space="0" w:color="auto"/>
        <w:right w:val="none" w:sz="0" w:space="0" w:color="auto"/>
      </w:divBdr>
    </w:div>
    <w:div w:id="1150637956">
      <w:bodyDiv w:val="1"/>
      <w:marLeft w:val="0"/>
      <w:marRight w:val="0"/>
      <w:marTop w:val="0"/>
      <w:marBottom w:val="0"/>
      <w:divBdr>
        <w:top w:val="none" w:sz="0" w:space="0" w:color="auto"/>
        <w:left w:val="none" w:sz="0" w:space="0" w:color="auto"/>
        <w:bottom w:val="none" w:sz="0" w:space="0" w:color="auto"/>
        <w:right w:val="none" w:sz="0" w:space="0" w:color="auto"/>
      </w:divBdr>
    </w:div>
    <w:div w:id="1491603603">
      <w:bodyDiv w:val="1"/>
      <w:marLeft w:val="0"/>
      <w:marRight w:val="0"/>
      <w:marTop w:val="0"/>
      <w:marBottom w:val="0"/>
      <w:divBdr>
        <w:top w:val="none" w:sz="0" w:space="0" w:color="auto"/>
        <w:left w:val="none" w:sz="0" w:space="0" w:color="auto"/>
        <w:bottom w:val="none" w:sz="0" w:space="0" w:color="auto"/>
        <w:right w:val="none" w:sz="0" w:space="0" w:color="auto"/>
      </w:divBdr>
    </w:div>
    <w:div w:id="1572427640">
      <w:bodyDiv w:val="1"/>
      <w:marLeft w:val="0"/>
      <w:marRight w:val="0"/>
      <w:marTop w:val="0"/>
      <w:marBottom w:val="0"/>
      <w:divBdr>
        <w:top w:val="none" w:sz="0" w:space="0" w:color="auto"/>
        <w:left w:val="none" w:sz="0" w:space="0" w:color="auto"/>
        <w:bottom w:val="none" w:sz="0" w:space="0" w:color="auto"/>
        <w:right w:val="none" w:sz="0" w:space="0" w:color="auto"/>
      </w:divBdr>
    </w:div>
    <w:div w:id="1876459248">
      <w:bodyDiv w:val="1"/>
      <w:marLeft w:val="0"/>
      <w:marRight w:val="0"/>
      <w:marTop w:val="0"/>
      <w:marBottom w:val="0"/>
      <w:divBdr>
        <w:top w:val="none" w:sz="0" w:space="0" w:color="auto"/>
        <w:left w:val="none" w:sz="0" w:space="0" w:color="auto"/>
        <w:bottom w:val="none" w:sz="0" w:space="0" w:color="auto"/>
        <w:right w:val="none" w:sz="0" w:space="0" w:color="auto"/>
      </w:divBdr>
    </w:div>
    <w:div w:id="213073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utritionandaging.org/wp-content/uploads/2020/04/OAA-Comparison-Chart-4.14.2020-FINAL.xls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utritionandaging.org/covid-19/"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utritionandaging.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christine.phillips\AppData\Local\Microsoft\Windows\INetCache\Content.Outlook\OOZ6ZU2I\ACL.gov\covid-1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OVID-19">
      <a:dk1>
        <a:sysClr val="windowText" lastClr="000000"/>
      </a:dk1>
      <a:lt1>
        <a:sysClr val="window" lastClr="FFFFFF"/>
      </a:lt1>
      <a:dk2>
        <a:srgbClr val="2B2B2B"/>
      </a:dk2>
      <a:lt2>
        <a:srgbClr val="E7E6E6"/>
      </a:lt2>
      <a:accent1>
        <a:srgbClr val="8D2428"/>
      </a:accent1>
      <a:accent2>
        <a:srgbClr val="E16D6E"/>
      </a:accent2>
      <a:accent3>
        <a:srgbClr val="C5C1C2"/>
      </a:accent3>
      <a:accent4>
        <a:srgbClr val="DF8B69"/>
      </a:accent4>
      <a:accent5>
        <a:srgbClr val="E1F987"/>
      </a:accent5>
      <a:accent6>
        <a:srgbClr val="954F72"/>
      </a:accent6>
      <a:hlink>
        <a:srgbClr val="2E75B5"/>
      </a:hlink>
      <a:folHlink>
        <a:srgbClr val="9CC3E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EF6404866DB4D9982E0DAD74EB5A5" ma:contentTypeVersion="13" ma:contentTypeDescription="Create a new document." ma:contentTypeScope="" ma:versionID="4dbccb96b4e8c09674ea1b998ec7e0df">
  <xsd:schema xmlns:xsd="http://www.w3.org/2001/XMLSchema" xmlns:xs="http://www.w3.org/2001/XMLSchema" xmlns:p="http://schemas.microsoft.com/office/2006/metadata/properties" xmlns:ns2="9c4568af-78d6-4de7-8a7f-d4a1b22f7f5e" xmlns:ns3="cba8d4a1-0a1c-4299-93a5-2682bf5a17ad" targetNamespace="http://schemas.microsoft.com/office/2006/metadata/properties" ma:root="true" ma:fieldsID="917f1a3b2c7ab97210bf28cd914e1558" ns2:_="" ns3:_="">
    <xsd:import namespace="9c4568af-78d6-4de7-8a7f-d4a1b22f7f5e"/>
    <xsd:import namespace="cba8d4a1-0a1c-4299-93a5-2682bf5a17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TEST"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568af-78d6-4de7-8a7f-d4a1b22f7f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a8d4a1-0a1c-4299-93a5-2682bf5a17a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TEST" ma:index="15" nillable="true" ma:displayName="TEST" ma:default="0" ma:internalName="TEST">
      <xsd:simpleType>
        <xsd:restriction base="dms:Boolea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 xmlns="cba8d4a1-0a1c-4299-93a5-2682bf5a17ad">false</TES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40F0F-DFB6-41E9-A9FF-889A334C0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4568af-78d6-4de7-8a7f-d4a1b22f7f5e"/>
    <ds:schemaRef ds:uri="cba8d4a1-0a1c-4299-93a5-2682bf5a1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3DC804-0777-4E0D-8026-3A1A7BD26FD4}">
  <ds:schemaRefs>
    <ds:schemaRef ds:uri="http://schemas.microsoft.com/sharepoint/v3/contenttype/forms"/>
  </ds:schemaRefs>
</ds:datastoreItem>
</file>

<file path=customXml/itemProps3.xml><?xml version="1.0" encoding="utf-8"?>
<ds:datastoreItem xmlns:ds="http://schemas.openxmlformats.org/officeDocument/2006/customXml" ds:itemID="{63D3442B-1472-4387-891A-1215A651A378}">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cba8d4a1-0a1c-4299-93a5-2682bf5a17ad"/>
    <ds:schemaRef ds:uri="9c4568af-78d6-4de7-8a7f-d4a1b22f7f5e"/>
    <ds:schemaRef ds:uri="http://www.w3.org/XML/1998/namespace"/>
  </ds:schemaRefs>
</ds:datastoreItem>
</file>

<file path=customXml/itemProps4.xml><?xml version="1.0" encoding="utf-8"?>
<ds:datastoreItem xmlns:ds="http://schemas.openxmlformats.org/officeDocument/2006/customXml" ds:itemID="{66BFE80D-176D-42DB-BA18-27AC903D0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873</Words>
  <Characters>4982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ACL COVID-19 Response</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ACL COVID-19 Response</dc:title>
  <dc:subject/>
  <dc:creator>Administration for Community Living</dc:creator>
  <cp:keywords/>
  <dc:description/>
  <cp:lastModifiedBy>Burke, Vincent (ACL)</cp:lastModifiedBy>
  <cp:revision>2</cp:revision>
  <dcterms:created xsi:type="dcterms:W3CDTF">2020-05-20T11:18:00Z</dcterms:created>
  <dcterms:modified xsi:type="dcterms:W3CDTF">2020-05-20T11:18:00Z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0x010100C0BEF6404866DB4D9982E0DAD74EB5A5</vt:lpwstr>
  </property>
</Properties>
</file>