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A449" w14:textId="13F4180C" w:rsidR="00C8359D" w:rsidRPr="00C00B09" w:rsidRDefault="00792D01" w:rsidP="00992649">
      <w:pPr>
        <w:pStyle w:val="Title"/>
        <w:spacing w:before="0"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00B09">
        <w:rPr>
          <w:rFonts w:ascii="Times New Roman" w:hAnsi="Times New Roman" w:cs="Times New Roman"/>
          <w:b/>
          <w:caps w:val="0"/>
          <w:color w:val="auto"/>
          <w:sz w:val="40"/>
          <w:szCs w:val="40"/>
        </w:rPr>
        <w:t>Older Americans Month 2021</w:t>
      </w:r>
    </w:p>
    <w:p w14:paraId="2C9F828D" w14:textId="77777777" w:rsidR="009E2F8B" w:rsidRPr="00C00B09" w:rsidRDefault="009E2F8B" w:rsidP="00AB3B13">
      <w:pPr>
        <w:pStyle w:val="Subtitle"/>
        <w:spacing w:before="0" w:after="720"/>
        <w:jc w:val="center"/>
        <w:rPr>
          <w:rFonts w:ascii="Times New Roman" w:hAnsi="Times New Roman" w:cs="Times New Roman"/>
          <w:color w:val="0D0D0D" w:themeColor="text1" w:themeTint="F2"/>
        </w:rPr>
      </w:pPr>
      <w:r w:rsidRPr="00C00B09">
        <w:rPr>
          <w:rFonts w:ascii="Times New Roman" w:hAnsi="Times New Roman" w:cs="Times New Roman"/>
          <w:color w:val="0D0D0D" w:themeColor="text1" w:themeTint="F2"/>
        </w:rPr>
        <w:t>A Proclamation</w:t>
      </w:r>
    </w:p>
    <w:p w14:paraId="7E6022A0" w14:textId="1B108F7B" w:rsidR="009E2F8B" w:rsidRPr="00C00B09" w:rsidRDefault="009E2F8B" w:rsidP="00C00B09">
      <w:pPr>
        <w:widowControl w:val="0"/>
        <w:autoSpaceDE w:val="0"/>
        <w:autoSpaceDN w:val="0"/>
        <w:adjustRightInd w:val="0"/>
        <w:spacing w:before="240"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community</w:t>
      </w:r>
      <w:r w:rsidR="001841AE" w:rsidRPr="00C00B09">
        <w:rPr>
          <w:rFonts w:ascii="Times New Roman" w:hAnsi="Times New Roman"/>
          <w:bCs/>
          <w:sz w:val="24"/>
          <w:szCs w:val="24"/>
          <w:highlight w:val="lightGray"/>
        </w:rPr>
        <w:t>/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area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includes </w:t>
      </w:r>
      <w:r w:rsidR="00D1751A" w:rsidRPr="00C00B09">
        <w:rPr>
          <w:rFonts w:ascii="Times New Roman" w:hAnsi="Times New Roman"/>
          <w:color w:val="000000"/>
          <w:sz w:val="24"/>
          <w:szCs w:val="24"/>
        </w:rPr>
        <w:t>a growing number of</w:t>
      </w:r>
      <w:r w:rsidR="00050AE2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B09">
        <w:rPr>
          <w:rFonts w:ascii="Times New Roman" w:hAnsi="Times New Roman"/>
          <w:color w:val="000000"/>
          <w:sz w:val="24"/>
          <w:szCs w:val="24"/>
        </w:rPr>
        <w:t>older Americans who</w:t>
      </w:r>
      <w:r w:rsidR="00EC4F58" w:rsidRPr="00C00B09">
        <w:rPr>
          <w:rFonts w:ascii="Times New Roman" w:hAnsi="Times New Roman"/>
          <w:color w:val="000000"/>
          <w:sz w:val="24"/>
          <w:szCs w:val="24"/>
        </w:rPr>
        <w:t xml:space="preserve"> have built resilience and strength over their lives through successes and difficulties</w:t>
      </w:r>
      <w:r w:rsidR="00E2527C" w:rsidRPr="00C00B0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and </w:t>
      </w:r>
    </w:p>
    <w:p w14:paraId="491D584C" w14:textId="77777777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D14556" w14:textId="4C43FC53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 w:rsidRPr="00C00B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Hlk1721593"/>
      <w:r w:rsidR="00B32941" w:rsidRPr="00C00B09">
        <w:rPr>
          <w:rFonts w:ascii="Times New Roman" w:hAnsi="Times New Roman"/>
          <w:bCs/>
          <w:sz w:val="24"/>
          <w:szCs w:val="24"/>
        </w:rPr>
        <w:t>[</w:t>
      </w:r>
      <w:r w:rsidR="00B32941" w:rsidRPr="00C00B09">
        <w:rPr>
          <w:rFonts w:ascii="Times New Roman" w:hAnsi="Times New Roman"/>
          <w:bCs/>
          <w:sz w:val="24"/>
          <w:szCs w:val="24"/>
          <w:highlight w:val="lightGray"/>
        </w:rPr>
        <w:t>community</w:t>
      </w:r>
      <w:r w:rsidR="001841AE" w:rsidRPr="00C00B09">
        <w:rPr>
          <w:rFonts w:ascii="Times New Roman" w:hAnsi="Times New Roman"/>
          <w:bCs/>
          <w:sz w:val="24"/>
          <w:szCs w:val="24"/>
          <w:highlight w:val="lightGray"/>
        </w:rPr>
        <w:t>/</w:t>
      </w:r>
      <w:r w:rsidR="00B32941" w:rsidRPr="00C00B09">
        <w:rPr>
          <w:rFonts w:ascii="Times New Roman" w:hAnsi="Times New Roman"/>
          <w:bCs/>
          <w:sz w:val="24"/>
          <w:szCs w:val="24"/>
          <w:highlight w:val="lightGray"/>
        </w:rPr>
        <w:t>area</w:t>
      </w:r>
      <w:r w:rsidR="00B32941" w:rsidRPr="00C00B09">
        <w:rPr>
          <w:rFonts w:ascii="Times New Roman" w:hAnsi="Times New Roman"/>
          <w:bCs/>
          <w:sz w:val="24"/>
          <w:szCs w:val="24"/>
        </w:rPr>
        <w:t>]</w:t>
      </w:r>
      <w:r w:rsidR="00B32941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  <w:r w:rsidR="00EC4F58" w:rsidRPr="00C00B09">
        <w:rPr>
          <w:rFonts w:ascii="Times New Roman" w:hAnsi="Times New Roman"/>
          <w:color w:val="000000"/>
          <w:sz w:val="24"/>
          <w:szCs w:val="24"/>
        </w:rPr>
        <w:t xml:space="preserve">benefits </w:t>
      </w:r>
      <w:r w:rsidR="00D62EE4" w:rsidRPr="00C00B09">
        <w:rPr>
          <w:rFonts w:ascii="Times New Roman" w:hAnsi="Times New Roman"/>
          <w:color w:val="000000"/>
          <w:sz w:val="24"/>
          <w:szCs w:val="24"/>
        </w:rPr>
        <w:t>when</w:t>
      </w:r>
      <w:r w:rsidR="00D1751A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584" w:rsidRPr="00C00B09">
        <w:rPr>
          <w:rFonts w:ascii="Times New Roman" w:hAnsi="Times New Roman"/>
          <w:color w:val="000000"/>
          <w:sz w:val="24"/>
          <w:szCs w:val="24"/>
        </w:rPr>
        <w:t>people of all ages</w:t>
      </w:r>
      <w:r w:rsidR="00D651F9" w:rsidRPr="00C00B09">
        <w:rPr>
          <w:rFonts w:ascii="Times New Roman" w:hAnsi="Times New Roman"/>
          <w:color w:val="000000"/>
          <w:sz w:val="24"/>
          <w:szCs w:val="24"/>
        </w:rPr>
        <w:t>, abilities, and backgrounds</w:t>
      </w:r>
      <w:r w:rsidR="00D62EE4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F55" w:rsidRPr="00C00B09">
        <w:rPr>
          <w:rFonts w:ascii="Times New Roman" w:hAnsi="Times New Roman"/>
          <w:color w:val="000000"/>
          <w:sz w:val="24"/>
          <w:szCs w:val="24"/>
        </w:rPr>
        <w:t xml:space="preserve">are included and encouraged to </w:t>
      </w:r>
      <w:r w:rsidR="00EC4F58" w:rsidRPr="00C00B09">
        <w:rPr>
          <w:rFonts w:ascii="Times New Roman" w:hAnsi="Times New Roman"/>
          <w:color w:val="000000"/>
          <w:sz w:val="24"/>
          <w:szCs w:val="24"/>
        </w:rPr>
        <w:t>share their successes and stories of resilience</w:t>
      </w:r>
      <w:r w:rsidR="00B32941" w:rsidRPr="00C00B09">
        <w:rPr>
          <w:rFonts w:ascii="Times New Roman" w:hAnsi="Times New Roman"/>
          <w:color w:val="000000"/>
          <w:sz w:val="24"/>
          <w:szCs w:val="24"/>
        </w:rPr>
        <w:t>; and</w:t>
      </w:r>
    </w:p>
    <w:p w14:paraId="485DB308" w14:textId="77777777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AA1BFD" w14:textId="3B9E043F" w:rsidR="009964DD" w:rsidRPr="00C00B09" w:rsidRDefault="009964DD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198" w:rsidRPr="00C00B09">
        <w:rPr>
          <w:rFonts w:ascii="Times New Roman" w:hAnsi="Times New Roman"/>
          <w:bCs/>
          <w:sz w:val="24"/>
          <w:szCs w:val="24"/>
        </w:rPr>
        <w:t>[</w:t>
      </w:r>
      <w:r w:rsidR="004C2198" w:rsidRPr="00C00B09">
        <w:rPr>
          <w:rFonts w:ascii="Times New Roman" w:hAnsi="Times New Roman"/>
          <w:bCs/>
          <w:sz w:val="24"/>
          <w:szCs w:val="24"/>
          <w:highlight w:val="lightGray"/>
        </w:rPr>
        <w:t>community</w:t>
      </w:r>
      <w:r w:rsidR="001841AE" w:rsidRPr="00C00B09">
        <w:rPr>
          <w:rFonts w:ascii="Times New Roman" w:hAnsi="Times New Roman"/>
          <w:bCs/>
          <w:sz w:val="24"/>
          <w:szCs w:val="24"/>
          <w:highlight w:val="lightGray"/>
        </w:rPr>
        <w:t>/</w:t>
      </w:r>
      <w:r w:rsidR="004C2198" w:rsidRPr="00C00B09">
        <w:rPr>
          <w:rFonts w:ascii="Times New Roman" w:hAnsi="Times New Roman"/>
          <w:bCs/>
          <w:sz w:val="24"/>
          <w:szCs w:val="24"/>
          <w:highlight w:val="lightGray"/>
        </w:rPr>
        <w:t>area</w:t>
      </w:r>
      <w:r w:rsidR="004C2198" w:rsidRPr="00C00B09">
        <w:rPr>
          <w:rFonts w:ascii="Times New Roman" w:hAnsi="Times New Roman"/>
          <w:bCs/>
          <w:sz w:val="24"/>
          <w:szCs w:val="24"/>
        </w:rPr>
        <w:t>]</w:t>
      </w:r>
      <w:r w:rsidR="004C2198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198" w:rsidRPr="00C00B09">
        <w:rPr>
          <w:rFonts w:ascii="Times New Roman" w:hAnsi="Times New Roman"/>
          <w:bCs/>
          <w:sz w:val="24"/>
          <w:szCs w:val="24"/>
        </w:rPr>
        <w:t>recognizes</w:t>
      </w:r>
      <w:r w:rsidR="008207E2" w:rsidRPr="00C00B09">
        <w:rPr>
          <w:rFonts w:ascii="Times New Roman" w:hAnsi="Times New Roman"/>
          <w:sz w:val="24"/>
          <w:szCs w:val="24"/>
        </w:rPr>
        <w:t xml:space="preserve"> our need to nurture ourselves, reinforce our strength, and continue to thrive in times of both joy and difficulty</w:t>
      </w:r>
      <w:r w:rsidR="00B32941" w:rsidRPr="00C00B09">
        <w:rPr>
          <w:rFonts w:ascii="Times New Roman" w:hAnsi="Times New Roman"/>
          <w:sz w:val="24"/>
          <w:szCs w:val="24"/>
        </w:rPr>
        <w:t>; and</w:t>
      </w:r>
    </w:p>
    <w:p w14:paraId="120089D6" w14:textId="77777777" w:rsidR="009964DD" w:rsidRPr="00C00B09" w:rsidRDefault="009964DD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Style w:val="Strong"/>
          <w:rFonts w:ascii="Times New Roman" w:hAnsi="Times New Roman"/>
          <w:sz w:val="24"/>
          <w:szCs w:val="24"/>
        </w:rPr>
      </w:pPr>
    </w:p>
    <w:p w14:paraId="39B490D0" w14:textId="56658D1C" w:rsidR="009E2F8B" w:rsidRPr="00C00B09" w:rsidRDefault="009E2F8B" w:rsidP="00C00B09">
      <w:pPr>
        <w:widowControl w:val="0"/>
        <w:autoSpaceDE w:val="0"/>
        <w:autoSpaceDN w:val="0"/>
        <w:adjustRightInd w:val="0"/>
        <w:spacing w:after="120"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proofErr w:type="gramEnd"/>
      <w:r w:rsidRPr="00C00B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251C5" w:rsidRPr="00C00B09">
        <w:rPr>
          <w:rFonts w:ascii="Times New Roman" w:hAnsi="Times New Roman"/>
          <w:bCs/>
          <w:sz w:val="24"/>
          <w:szCs w:val="24"/>
        </w:rPr>
        <w:t>[</w:t>
      </w:r>
      <w:r w:rsidR="00A251C5" w:rsidRPr="00C00B09">
        <w:rPr>
          <w:rFonts w:ascii="Times New Roman" w:hAnsi="Times New Roman"/>
          <w:bCs/>
          <w:sz w:val="24"/>
          <w:szCs w:val="24"/>
          <w:highlight w:val="lightGray"/>
        </w:rPr>
        <w:t>community</w:t>
      </w:r>
      <w:r w:rsidR="09A17697" w:rsidRPr="00C00B09">
        <w:rPr>
          <w:rFonts w:ascii="Times New Roman" w:hAnsi="Times New Roman"/>
          <w:sz w:val="24"/>
          <w:szCs w:val="24"/>
          <w:highlight w:val="lightGray"/>
        </w:rPr>
        <w:t>/</w:t>
      </w:r>
      <w:r w:rsidR="00A251C5" w:rsidRPr="00C00B09">
        <w:rPr>
          <w:rFonts w:ascii="Times New Roman" w:hAnsi="Times New Roman"/>
          <w:bCs/>
          <w:sz w:val="24"/>
          <w:szCs w:val="24"/>
          <w:highlight w:val="lightGray"/>
        </w:rPr>
        <w:t>area</w:t>
      </w:r>
      <w:r w:rsidR="00A251C5"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 w:themeColor="text1"/>
          <w:sz w:val="24"/>
          <w:szCs w:val="24"/>
        </w:rPr>
        <w:t xml:space="preserve"> can </w:t>
      </w:r>
      <w:r w:rsidR="007B6DF2" w:rsidRPr="00C00B09">
        <w:rPr>
          <w:rFonts w:ascii="Times New Roman" w:hAnsi="Times New Roman"/>
          <w:color w:val="000000" w:themeColor="text1"/>
          <w:sz w:val="24"/>
          <w:szCs w:val="24"/>
        </w:rPr>
        <w:t>foster communities of strength by</w:t>
      </w:r>
      <w:r w:rsidRPr="00C00B0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610AE977" w14:textId="0F636207" w:rsidR="00E73226" w:rsidRPr="00C00B09" w:rsidRDefault="008207E2" w:rsidP="00E60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right="36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C00B09">
        <w:rPr>
          <w:rFonts w:ascii="Times New Roman" w:hAnsi="Times New Roman"/>
          <w:color w:val="000000"/>
          <w:sz w:val="24"/>
          <w:szCs w:val="24"/>
        </w:rPr>
        <w:t>creating opportunities to share stories and learn from each other</w:t>
      </w:r>
      <w:r w:rsidR="00E60359">
        <w:rPr>
          <w:rFonts w:ascii="Times New Roman" w:hAnsi="Times New Roman"/>
          <w:color w:val="000000"/>
          <w:sz w:val="24"/>
          <w:szCs w:val="24"/>
        </w:rPr>
        <w:t>;</w:t>
      </w:r>
    </w:p>
    <w:p w14:paraId="7563B600" w14:textId="2EDEC9CC" w:rsidR="0011319B" w:rsidRPr="00C00B09" w:rsidRDefault="00A010B3" w:rsidP="00E60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right="36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C00B09">
        <w:rPr>
          <w:rFonts w:ascii="Times New Roman" w:hAnsi="Times New Roman"/>
          <w:color w:val="000000" w:themeColor="text1"/>
          <w:sz w:val="24"/>
          <w:szCs w:val="24"/>
        </w:rPr>
        <w:t xml:space="preserve">engaging </w:t>
      </w:r>
      <w:r w:rsidR="0011319B" w:rsidRPr="00C00B09">
        <w:rPr>
          <w:rFonts w:ascii="Times New Roman" w:hAnsi="Times New Roman"/>
          <w:color w:val="000000" w:themeColor="text1"/>
          <w:sz w:val="24"/>
          <w:szCs w:val="24"/>
        </w:rPr>
        <w:t xml:space="preserve">older adults through </w:t>
      </w:r>
      <w:r w:rsidR="590E6346" w:rsidRPr="00C00B09">
        <w:rPr>
          <w:rFonts w:ascii="Times New Roman" w:hAnsi="Times New Roman"/>
          <w:color w:val="000000" w:themeColor="text1"/>
          <w:sz w:val="24"/>
          <w:szCs w:val="24"/>
        </w:rPr>
        <w:t>education</w:t>
      </w:r>
      <w:r w:rsidR="00AF34D3" w:rsidRPr="00C00B09">
        <w:rPr>
          <w:rFonts w:ascii="Times New Roman" w:hAnsi="Times New Roman"/>
          <w:color w:val="000000" w:themeColor="text1"/>
          <w:sz w:val="24"/>
          <w:szCs w:val="24"/>
        </w:rPr>
        <w:t>, recreation, and service</w:t>
      </w:r>
      <w:r w:rsidR="0011319B" w:rsidRPr="00C00B09">
        <w:rPr>
          <w:rFonts w:ascii="Times New Roman" w:hAnsi="Times New Roman"/>
          <w:color w:val="000000" w:themeColor="text1"/>
          <w:sz w:val="24"/>
          <w:szCs w:val="24"/>
        </w:rPr>
        <w:t>; and</w:t>
      </w:r>
    </w:p>
    <w:p w14:paraId="3878D155" w14:textId="40C1E833" w:rsidR="0011319B" w:rsidRPr="00C00B09" w:rsidRDefault="008207E2" w:rsidP="00E603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right="360" w:hanging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C00B09">
        <w:rPr>
          <w:rFonts w:ascii="Times New Roman" w:hAnsi="Times New Roman"/>
          <w:color w:val="000000"/>
          <w:sz w:val="24"/>
          <w:szCs w:val="24"/>
        </w:rPr>
        <w:t xml:space="preserve">encouraging people of all ages to celebrate </w:t>
      </w:r>
      <w:r w:rsidR="00E60359">
        <w:rPr>
          <w:rFonts w:ascii="Times New Roman" w:hAnsi="Times New Roman"/>
          <w:color w:val="000000"/>
          <w:sz w:val="24"/>
          <w:szCs w:val="24"/>
        </w:rPr>
        <w:t>connection</w:t>
      </w:r>
      <w:r w:rsidRPr="00C00B09">
        <w:rPr>
          <w:rFonts w:ascii="Times New Roman" w:hAnsi="Times New Roman"/>
          <w:color w:val="000000"/>
          <w:sz w:val="24"/>
          <w:szCs w:val="24"/>
        </w:rPr>
        <w:t>s and resilience.</w:t>
      </w:r>
    </w:p>
    <w:p w14:paraId="6C380A9D" w14:textId="77777777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FC154F" w14:textId="1F293DE8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00B09">
        <w:rPr>
          <w:rStyle w:val="Strong"/>
          <w:rFonts w:ascii="Times New Roman" w:hAnsi="Times New Roman"/>
          <w:sz w:val="24"/>
          <w:szCs w:val="24"/>
        </w:rPr>
        <w:t>Now</w:t>
      </w:r>
      <w:r w:rsidR="00C0272B" w:rsidRPr="00C00B09">
        <w:rPr>
          <w:rStyle w:val="Strong"/>
          <w:rFonts w:ascii="Times New Roman" w:hAnsi="Times New Roman"/>
          <w:sz w:val="24"/>
          <w:szCs w:val="24"/>
        </w:rPr>
        <w:t>,</w:t>
      </w:r>
      <w:r w:rsidRPr="00C00B09">
        <w:rPr>
          <w:rStyle w:val="Strong"/>
          <w:rFonts w:ascii="Times New Roman" w:hAnsi="Times New Roman"/>
          <w:sz w:val="24"/>
          <w:szCs w:val="24"/>
        </w:rPr>
        <w:t xml:space="preserve"> therefore</w:t>
      </w:r>
      <w:r w:rsidRPr="00C00B0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I/we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 xml:space="preserve">city/town, </w:t>
      </w:r>
      <w:proofErr w:type="gramStart"/>
      <w:r w:rsidRPr="00C00B09">
        <w:rPr>
          <w:rFonts w:ascii="Times New Roman" w:hAnsi="Times New Roman"/>
          <w:bCs/>
          <w:sz w:val="24"/>
          <w:szCs w:val="24"/>
          <w:highlight w:val="lightGray"/>
        </w:rPr>
        <w:t>state</w:t>
      </w:r>
      <w:proofErr w:type="gramEnd"/>
      <w:r w:rsidR="001841AE" w:rsidRPr="00C00B09">
        <w:rPr>
          <w:rFonts w:ascii="Times New Roman" w:hAnsi="Times New Roman"/>
          <w:bCs/>
          <w:sz w:val="24"/>
          <w:szCs w:val="24"/>
        </w:rPr>
        <w:t xml:space="preserve"> or community/area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do hereby proclaim May 20</w:t>
      </w:r>
      <w:r w:rsidR="008B642A" w:rsidRPr="00C00B09">
        <w:rPr>
          <w:rFonts w:ascii="Times New Roman" w:hAnsi="Times New Roman"/>
          <w:color w:val="000000"/>
          <w:sz w:val="24"/>
          <w:szCs w:val="24"/>
        </w:rPr>
        <w:t>2</w:t>
      </w:r>
      <w:r w:rsidR="008207E2" w:rsidRPr="00C00B09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to be Older Americans Month.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I/we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urge every resident to </w:t>
      </w:r>
      <w:r w:rsidR="00D5417C" w:rsidRPr="00C00B09">
        <w:rPr>
          <w:rFonts w:ascii="Times New Roman" w:hAnsi="Times New Roman"/>
          <w:color w:val="000000"/>
          <w:sz w:val="24"/>
          <w:szCs w:val="24"/>
        </w:rPr>
        <w:t>recognize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older adults and the people who </w:t>
      </w:r>
      <w:r w:rsidR="000713C1" w:rsidRPr="00C00B09">
        <w:rPr>
          <w:rFonts w:ascii="Times New Roman" w:hAnsi="Times New Roman"/>
          <w:color w:val="000000"/>
          <w:sz w:val="24"/>
          <w:szCs w:val="24"/>
        </w:rPr>
        <w:t>support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them </w:t>
      </w:r>
      <w:r w:rsidR="00F04C72" w:rsidRPr="00C00B09">
        <w:rPr>
          <w:rFonts w:ascii="Times New Roman" w:hAnsi="Times New Roman"/>
          <w:color w:val="000000"/>
          <w:sz w:val="24"/>
          <w:szCs w:val="24"/>
        </w:rPr>
        <w:t xml:space="preserve">as essential contributors to </w:t>
      </w:r>
      <w:r w:rsidR="007B6DF2" w:rsidRPr="00C00B09">
        <w:rPr>
          <w:rFonts w:ascii="Times New Roman" w:hAnsi="Times New Roman"/>
          <w:color w:val="000000"/>
          <w:sz w:val="24"/>
          <w:szCs w:val="24"/>
        </w:rPr>
        <w:t>the strength of our community.</w:t>
      </w:r>
    </w:p>
    <w:p w14:paraId="2DCA3D4F" w14:textId="77777777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9ECFB9" w14:textId="37CED429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00B09">
        <w:rPr>
          <w:rFonts w:ascii="Times New Roman" w:hAnsi="Times New Roman"/>
          <w:color w:val="000000"/>
          <w:sz w:val="24"/>
          <w:szCs w:val="24"/>
        </w:rPr>
        <w:t xml:space="preserve">Dated this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day</w:t>
      </w:r>
      <w:r w:rsidRPr="00C00B09">
        <w:rPr>
          <w:rFonts w:ascii="Times New Roman" w:hAnsi="Times New Roman"/>
          <w:bCs/>
          <w:sz w:val="24"/>
          <w:szCs w:val="24"/>
        </w:rPr>
        <w:t xml:space="preserve">] 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day of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month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C00B09">
        <w:rPr>
          <w:rFonts w:ascii="Times New Roman" w:hAnsi="Times New Roman"/>
          <w:color w:val="000000"/>
          <w:sz w:val="24"/>
          <w:szCs w:val="24"/>
        </w:rPr>
        <w:t>20</w:t>
      </w:r>
      <w:r w:rsidR="008B642A" w:rsidRPr="00C00B09">
        <w:rPr>
          <w:rFonts w:ascii="Times New Roman" w:hAnsi="Times New Roman"/>
          <w:color w:val="000000"/>
          <w:sz w:val="24"/>
          <w:szCs w:val="24"/>
        </w:rPr>
        <w:t>2</w:t>
      </w:r>
      <w:r w:rsidR="008207E2" w:rsidRPr="00C00B09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</w:p>
    <w:p w14:paraId="6193C5BF" w14:textId="77777777" w:rsidR="009E2F8B" w:rsidRPr="00C00B09" w:rsidRDefault="009E2F8B" w:rsidP="00C00B09">
      <w:pPr>
        <w:pStyle w:val="Default"/>
        <w:spacing w:line="360" w:lineRule="auto"/>
        <w:ind w:left="360" w:right="360"/>
        <w:jc w:val="both"/>
        <w:rPr>
          <w:bCs/>
        </w:rPr>
      </w:pPr>
      <w:r w:rsidRPr="00C00B09">
        <w:rPr>
          <w:bCs/>
        </w:rPr>
        <w:t>[</w:t>
      </w:r>
      <w:r w:rsidRPr="00C00B09">
        <w:rPr>
          <w:bCs/>
          <w:highlight w:val="lightGray"/>
        </w:rPr>
        <w:t>Name of person/entity approving proclamation</w:t>
      </w:r>
      <w:r w:rsidRPr="00C00B09">
        <w:rPr>
          <w:bCs/>
        </w:rPr>
        <w:t>]</w:t>
      </w:r>
    </w:p>
    <w:p w14:paraId="30C4EFEB" w14:textId="7ACE27B8" w:rsidR="00BC2B01" w:rsidRPr="00AC78FE" w:rsidRDefault="009E2F8B" w:rsidP="00AC78FE">
      <w:pPr>
        <w:pStyle w:val="Default"/>
        <w:spacing w:line="360" w:lineRule="auto"/>
        <w:ind w:left="360" w:right="360"/>
        <w:jc w:val="both"/>
        <w:rPr>
          <w:bCs/>
        </w:rPr>
      </w:pPr>
      <w:r w:rsidRPr="00C00B09">
        <w:rPr>
          <w:bCs/>
        </w:rPr>
        <w:t>[</w:t>
      </w:r>
      <w:r w:rsidRPr="00C00B09">
        <w:rPr>
          <w:bCs/>
          <w:highlight w:val="lightGray"/>
        </w:rPr>
        <w:t>Seal, if applicable</w:t>
      </w:r>
      <w:r w:rsidRPr="00C00B09">
        <w:rPr>
          <w:bCs/>
        </w:rPr>
        <w:t>]</w:t>
      </w:r>
    </w:p>
    <w:p w14:paraId="285338E1" w14:textId="68658251" w:rsidR="00BC2B01" w:rsidRPr="00BC2B01" w:rsidRDefault="00BC2B01" w:rsidP="004B13A1">
      <w:pPr>
        <w:tabs>
          <w:tab w:val="left" w:pos="1140"/>
        </w:tabs>
        <w:spacing w:before="960"/>
        <w:jc w:val="right"/>
      </w:pPr>
      <w:r>
        <w:rPr>
          <w:b/>
          <w:caps/>
          <w:noProof/>
          <w:sz w:val="40"/>
          <w:szCs w:val="40"/>
        </w:rPr>
        <w:drawing>
          <wp:inline distT="0" distB="0" distL="0" distR="0" wp14:anchorId="1B51B16C" wp14:editId="2583B39E">
            <wp:extent cx="2302510" cy="1033059"/>
            <wp:effectExtent l="0" t="0" r="2540" b="0"/>
            <wp:docPr id="1" name="Picture 1" descr="Older Americans Month. Communities of Strength: May 202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lder Americans Month. Communities of Strength: May 2021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81" cy="107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B01" w:rsidRPr="00BC2B01" w:rsidSect="003B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A0525" w14:textId="77777777" w:rsidR="007C1DF2" w:rsidRDefault="007C1DF2" w:rsidP="00B31A1B">
      <w:r>
        <w:separator/>
      </w:r>
    </w:p>
  </w:endnote>
  <w:endnote w:type="continuationSeparator" w:id="0">
    <w:p w14:paraId="65F5FEBE" w14:textId="77777777" w:rsidR="007C1DF2" w:rsidRDefault="007C1DF2" w:rsidP="00B31A1B">
      <w:r>
        <w:continuationSeparator/>
      </w:r>
    </w:p>
  </w:endnote>
  <w:endnote w:type="continuationNotice" w:id="1">
    <w:p w14:paraId="486EA34D" w14:textId="77777777" w:rsidR="007C1DF2" w:rsidRDefault="007C1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40E3" w14:textId="77777777" w:rsidR="007C1DF2" w:rsidRDefault="007C1DF2" w:rsidP="00B31A1B">
      <w:r>
        <w:separator/>
      </w:r>
    </w:p>
  </w:footnote>
  <w:footnote w:type="continuationSeparator" w:id="0">
    <w:p w14:paraId="715904A5" w14:textId="77777777" w:rsidR="007C1DF2" w:rsidRDefault="007C1DF2" w:rsidP="00B31A1B">
      <w:r>
        <w:continuationSeparator/>
      </w:r>
    </w:p>
  </w:footnote>
  <w:footnote w:type="continuationNotice" w:id="1">
    <w:p w14:paraId="42B71BA6" w14:textId="77777777" w:rsidR="007C1DF2" w:rsidRDefault="007C1D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60C"/>
    <w:multiLevelType w:val="hybridMultilevel"/>
    <w:tmpl w:val="647ECBCC"/>
    <w:lvl w:ilvl="0" w:tplc="5D1EB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42DA7"/>
    <w:multiLevelType w:val="hybridMultilevel"/>
    <w:tmpl w:val="1116C174"/>
    <w:lvl w:ilvl="0" w:tplc="1ABC1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80"/>
    <w:rsid w:val="00006C91"/>
    <w:rsid w:val="00006F62"/>
    <w:rsid w:val="00010E89"/>
    <w:rsid w:val="000129A6"/>
    <w:rsid w:val="000130A0"/>
    <w:rsid w:val="0001752F"/>
    <w:rsid w:val="00020C9D"/>
    <w:rsid w:val="000239DC"/>
    <w:rsid w:val="00031B7A"/>
    <w:rsid w:val="00040DE8"/>
    <w:rsid w:val="000426D7"/>
    <w:rsid w:val="00045EFA"/>
    <w:rsid w:val="000465E9"/>
    <w:rsid w:val="00050AE2"/>
    <w:rsid w:val="00065015"/>
    <w:rsid w:val="00066369"/>
    <w:rsid w:val="000713C1"/>
    <w:rsid w:val="000961FA"/>
    <w:rsid w:val="000963E8"/>
    <w:rsid w:val="000E0FE0"/>
    <w:rsid w:val="000E1E56"/>
    <w:rsid w:val="00101CA0"/>
    <w:rsid w:val="0011319B"/>
    <w:rsid w:val="001365CA"/>
    <w:rsid w:val="001554C6"/>
    <w:rsid w:val="00156F55"/>
    <w:rsid w:val="0018303E"/>
    <w:rsid w:val="001841AE"/>
    <w:rsid w:val="001A6134"/>
    <w:rsid w:val="001A6605"/>
    <w:rsid w:val="001D02E0"/>
    <w:rsid w:val="001D1D56"/>
    <w:rsid w:val="001D6DF7"/>
    <w:rsid w:val="002052C5"/>
    <w:rsid w:val="00205D7D"/>
    <w:rsid w:val="00217C36"/>
    <w:rsid w:val="00242EF2"/>
    <w:rsid w:val="00272E94"/>
    <w:rsid w:val="0027592C"/>
    <w:rsid w:val="00276108"/>
    <w:rsid w:val="00277983"/>
    <w:rsid w:val="00277B6D"/>
    <w:rsid w:val="00280868"/>
    <w:rsid w:val="0028753B"/>
    <w:rsid w:val="00290060"/>
    <w:rsid w:val="002B6325"/>
    <w:rsid w:val="002C1F42"/>
    <w:rsid w:val="002C4F83"/>
    <w:rsid w:val="002D0161"/>
    <w:rsid w:val="002D70E3"/>
    <w:rsid w:val="002E29A0"/>
    <w:rsid w:val="002E480B"/>
    <w:rsid w:val="002F623A"/>
    <w:rsid w:val="0030503D"/>
    <w:rsid w:val="00315143"/>
    <w:rsid w:val="00323E96"/>
    <w:rsid w:val="0034422C"/>
    <w:rsid w:val="003526F8"/>
    <w:rsid w:val="00361B3F"/>
    <w:rsid w:val="00365B82"/>
    <w:rsid w:val="00373F94"/>
    <w:rsid w:val="00375AC8"/>
    <w:rsid w:val="00383447"/>
    <w:rsid w:val="003837F6"/>
    <w:rsid w:val="0039253D"/>
    <w:rsid w:val="003B08D9"/>
    <w:rsid w:val="003B2CF0"/>
    <w:rsid w:val="003B32C1"/>
    <w:rsid w:val="003B40B4"/>
    <w:rsid w:val="003D6025"/>
    <w:rsid w:val="00413762"/>
    <w:rsid w:val="00413BCB"/>
    <w:rsid w:val="004168C3"/>
    <w:rsid w:val="00421563"/>
    <w:rsid w:val="00422ED9"/>
    <w:rsid w:val="00440ABF"/>
    <w:rsid w:val="004440F7"/>
    <w:rsid w:val="00473010"/>
    <w:rsid w:val="004A1503"/>
    <w:rsid w:val="004B13A1"/>
    <w:rsid w:val="004C2198"/>
    <w:rsid w:val="004C5E83"/>
    <w:rsid w:val="004E4425"/>
    <w:rsid w:val="004E4B82"/>
    <w:rsid w:val="004E739B"/>
    <w:rsid w:val="004F3EDF"/>
    <w:rsid w:val="00501552"/>
    <w:rsid w:val="005128E3"/>
    <w:rsid w:val="00516C1F"/>
    <w:rsid w:val="005245EC"/>
    <w:rsid w:val="00577B31"/>
    <w:rsid w:val="00580B6D"/>
    <w:rsid w:val="005A3086"/>
    <w:rsid w:val="005A6DA4"/>
    <w:rsid w:val="005B5330"/>
    <w:rsid w:val="005C7F1D"/>
    <w:rsid w:val="005D36C4"/>
    <w:rsid w:val="005F115C"/>
    <w:rsid w:val="005F7031"/>
    <w:rsid w:val="006276C6"/>
    <w:rsid w:val="00642AA3"/>
    <w:rsid w:val="0066604E"/>
    <w:rsid w:val="00677656"/>
    <w:rsid w:val="00682A90"/>
    <w:rsid w:val="006A1013"/>
    <w:rsid w:val="006B32D2"/>
    <w:rsid w:val="006B59AA"/>
    <w:rsid w:val="006C1AA3"/>
    <w:rsid w:val="006D34AC"/>
    <w:rsid w:val="006F184A"/>
    <w:rsid w:val="006F193D"/>
    <w:rsid w:val="006F5575"/>
    <w:rsid w:val="006F5B80"/>
    <w:rsid w:val="00716D7D"/>
    <w:rsid w:val="007171CD"/>
    <w:rsid w:val="0077622A"/>
    <w:rsid w:val="00792D01"/>
    <w:rsid w:val="00794E1A"/>
    <w:rsid w:val="007B20C8"/>
    <w:rsid w:val="007B6DF2"/>
    <w:rsid w:val="007C1DF2"/>
    <w:rsid w:val="007C7065"/>
    <w:rsid w:val="007D7CA2"/>
    <w:rsid w:val="007E47D8"/>
    <w:rsid w:val="007F0E1A"/>
    <w:rsid w:val="007F1766"/>
    <w:rsid w:val="007F4A5A"/>
    <w:rsid w:val="008141E2"/>
    <w:rsid w:val="008207E2"/>
    <w:rsid w:val="00826022"/>
    <w:rsid w:val="00861AC8"/>
    <w:rsid w:val="00867D23"/>
    <w:rsid w:val="008730A8"/>
    <w:rsid w:val="0087353F"/>
    <w:rsid w:val="008974A5"/>
    <w:rsid w:val="00897803"/>
    <w:rsid w:val="008A2ACB"/>
    <w:rsid w:val="008B642A"/>
    <w:rsid w:val="008C0839"/>
    <w:rsid w:val="008C27AE"/>
    <w:rsid w:val="008E401C"/>
    <w:rsid w:val="008F01F0"/>
    <w:rsid w:val="008F6FE0"/>
    <w:rsid w:val="00915584"/>
    <w:rsid w:val="009173DC"/>
    <w:rsid w:val="00935EF3"/>
    <w:rsid w:val="00941680"/>
    <w:rsid w:val="00976E39"/>
    <w:rsid w:val="00992649"/>
    <w:rsid w:val="009964DD"/>
    <w:rsid w:val="009977BE"/>
    <w:rsid w:val="009B49CE"/>
    <w:rsid w:val="009E2F8B"/>
    <w:rsid w:val="009F1AB1"/>
    <w:rsid w:val="00A010B3"/>
    <w:rsid w:val="00A251C5"/>
    <w:rsid w:val="00A472CB"/>
    <w:rsid w:val="00A66753"/>
    <w:rsid w:val="00A85D23"/>
    <w:rsid w:val="00AA5CE3"/>
    <w:rsid w:val="00AB3B13"/>
    <w:rsid w:val="00AB765D"/>
    <w:rsid w:val="00AC2FA5"/>
    <w:rsid w:val="00AC57E2"/>
    <w:rsid w:val="00AC78FE"/>
    <w:rsid w:val="00AE68A5"/>
    <w:rsid w:val="00AF34D3"/>
    <w:rsid w:val="00AF57F6"/>
    <w:rsid w:val="00B03A10"/>
    <w:rsid w:val="00B06F37"/>
    <w:rsid w:val="00B26F75"/>
    <w:rsid w:val="00B31A1B"/>
    <w:rsid w:val="00B32941"/>
    <w:rsid w:val="00B44B55"/>
    <w:rsid w:val="00B74260"/>
    <w:rsid w:val="00BA674B"/>
    <w:rsid w:val="00BB2D48"/>
    <w:rsid w:val="00BC2B01"/>
    <w:rsid w:val="00C00B09"/>
    <w:rsid w:val="00C0272B"/>
    <w:rsid w:val="00C23CBC"/>
    <w:rsid w:val="00C24B85"/>
    <w:rsid w:val="00C36940"/>
    <w:rsid w:val="00C37420"/>
    <w:rsid w:val="00C407FD"/>
    <w:rsid w:val="00C57CCF"/>
    <w:rsid w:val="00C64711"/>
    <w:rsid w:val="00C70581"/>
    <w:rsid w:val="00C750DC"/>
    <w:rsid w:val="00C7554F"/>
    <w:rsid w:val="00C8359D"/>
    <w:rsid w:val="00CA6BA3"/>
    <w:rsid w:val="00CB0296"/>
    <w:rsid w:val="00CB693B"/>
    <w:rsid w:val="00CD06AE"/>
    <w:rsid w:val="00CD3A73"/>
    <w:rsid w:val="00CD5A4F"/>
    <w:rsid w:val="00CE6A50"/>
    <w:rsid w:val="00CF0099"/>
    <w:rsid w:val="00D01EA4"/>
    <w:rsid w:val="00D155C8"/>
    <w:rsid w:val="00D1751A"/>
    <w:rsid w:val="00D5417C"/>
    <w:rsid w:val="00D62EE4"/>
    <w:rsid w:val="00D651F9"/>
    <w:rsid w:val="00D70C1A"/>
    <w:rsid w:val="00D74DD8"/>
    <w:rsid w:val="00D81DA9"/>
    <w:rsid w:val="00DA2547"/>
    <w:rsid w:val="00DA2EA4"/>
    <w:rsid w:val="00DA3DB8"/>
    <w:rsid w:val="00DB5B2D"/>
    <w:rsid w:val="00DC2B98"/>
    <w:rsid w:val="00DE274E"/>
    <w:rsid w:val="00DE3752"/>
    <w:rsid w:val="00DF258A"/>
    <w:rsid w:val="00DF4E45"/>
    <w:rsid w:val="00E2527C"/>
    <w:rsid w:val="00E34CDE"/>
    <w:rsid w:val="00E60359"/>
    <w:rsid w:val="00E614E7"/>
    <w:rsid w:val="00E6650E"/>
    <w:rsid w:val="00E73226"/>
    <w:rsid w:val="00E77C47"/>
    <w:rsid w:val="00E870E1"/>
    <w:rsid w:val="00E8725A"/>
    <w:rsid w:val="00E96BCB"/>
    <w:rsid w:val="00EB5B5A"/>
    <w:rsid w:val="00EB7178"/>
    <w:rsid w:val="00EB7978"/>
    <w:rsid w:val="00EC4F58"/>
    <w:rsid w:val="00ED19EE"/>
    <w:rsid w:val="00EE272C"/>
    <w:rsid w:val="00F04C72"/>
    <w:rsid w:val="00F062BC"/>
    <w:rsid w:val="00F202D8"/>
    <w:rsid w:val="00F264A8"/>
    <w:rsid w:val="00F5701E"/>
    <w:rsid w:val="00F61BDD"/>
    <w:rsid w:val="00F71B4D"/>
    <w:rsid w:val="00F96499"/>
    <w:rsid w:val="00F97CCA"/>
    <w:rsid w:val="00FA2BF8"/>
    <w:rsid w:val="00FC3A18"/>
    <w:rsid w:val="00FF4F76"/>
    <w:rsid w:val="092399A7"/>
    <w:rsid w:val="09A17697"/>
    <w:rsid w:val="0A89F703"/>
    <w:rsid w:val="1DBCB7FB"/>
    <w:rsid w:val="1EC45D39"/>
    <w:rsid w:val="305E0069"/>
    <w:rsid w:val="321A5490"/>
    <w:rsid w:val="454A0F04"/>
    <w:rsid w:val="497E8D83"/>
    <w:rsid w:val="55257292"/>
    <w:rsid w:val="590E6346"/>
    <w:rsid w:val="6CCFC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737FF"/>
  <w15:docId w15:val="{AAB26657-CD32-404F-90D1-72678DF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31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A1B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B31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A1B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semiHidden/>
    <w:unhideWhenUsed/>
    <w:rsid w:val="008735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53F"/>
    <w:rPr>
      <w:rFonts w:ascii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53F"/>
    <w:rPr>
      <w:rFonts w:ascii="Calibri" w:hAnsi="Calibri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7353F"/>
    <w:pPr>
      <w:spacing w:before="0" w:after="0" w:line="240" w:lineRule="auto"/>
    </w:pPr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  <SharedWithUsers xmlns="9c4568af-78d6-4de7-8a7f-d4a1b22f7f5e">
      <UserInfo>
        <DisplayName>Sarah Kinder</DisplayName>
        <AccountId>73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DB9F1-BADB-49E2-B631-2BF9119AF21E}">
  <ds:schemaRefs>
    <ds:schemaRef ds:uri="http://schemas.microsoft.com/office/2006/metadata/properties"/>
    <ds:schemaRef ds:uri="http://schemas.microsoft.com/office/infopath/2007/PartnerControls"/>
    <ds:schemaRef ds:uri="cba8d4a1-0a1c-4299-93a5-2682bf5a17ad"/>
    <ds:schemaRef ds:uri="9c4568af-78d6-4de7-8a7f-d4a1b22f7f5e"/>
  </ds:schemaRefs>
</ds:datastoreItem>
</file>

<file path=customXml/itemProps2.xml><?xml version="1.0" encoding="utf-8"?>
<ds:datastoreItem xmlns:ds="http://schemas.openxmlformats.org/officeDocument/2006/customXml" ds:itemID="{A0D9E77C-2E0D-4C89-91F6-A5AE74D5E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294F4-BB92-4265-9D80-D76EBFFBB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1004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OAM2021_CommProc</vt:lpstr>
    </vt:vector>
  </TitlesOfParts>
  <Company>ACL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OAM2021_CommProc</dc:title>
  <dc:subject>Older Americans Month 2021</dc:subject>
  <dc:creator>The Administration for Community Living (ACL)</dc:creator>
  <cp:keywords/>
  <cp:lastModifiedBy>Sarah Kinder</cp:lastModifiedBy>
  <cp:revision>17</cp:revision>
  <cp:lastPrinted>2019-02-21T19:51:00Z</cp:lastPrinted>
  <dcterms:created xsi:type="dcterms:W3CDTF">2021-01-21T19:42:00Z</dcterms:created>
  <dcterms:modified xsi:type="dcterms:W3CDTF">2021-03-01T21:22:00Z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