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0D19" w14:textId="3A0FE7B4" w:rsidR="00D650A8" w:rsidRPr="00323FCF" w:rsidRDefault="00D650A8" w:rsidP="00D650A8">
      <w:pPr>
        <w:jc w:val="center"/>
        <w:rPr>
          <w:rFonts w:eastAsia="Times New Roman"/>
        </w:rPr>
      </w:pPr>
      <w:bookmarkStart w:id="0" w:name="_Toc21090947"/>
      <w:bookmarkStart w:id="1" w:name="_Toc21091053"/>
      <w:bookmarkStart w:id="2" w:name="_GoBack"/>
      <w:bookmarkEnd w:id="2"/>
      <w:r>
        <w:rPr>
          <w:noProof/>
        </w:rPr>
        <w:drawing>
          <wp:inline distT="0" distB="0" distL="0" distR="0" wp14:anchorId="52EB0294" wp14:editId="2FB04475">
            <wp:extent cx="3261353" cy="676275"/>
            <wp:effectExtent l="0" t="0" r="0" b="0"/>
            <wp:docPr id="1" name="Picture 1" descr="Administration for Community Living (ACL) logo. New Editions Consulting,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ministration for Community Living (ACL) logo. New Editions Consulting, Inc. logo."/>
                    <pic:cNvPicPr/>
                  </pic:nvPicPr>
                  <pic:blipFill>
                    <a:blip r:embed="rId8">
                      <a:extLst>
                        <a:ext uri="{28A0092B-C50C-407E-A947-70E740481C1C}">
                          <a14:useLocalDpi xmlns:a14="http://schemas.microsoft.com/office/drawing/2010/main" val="0"/>
                        </a:ext>
                      </a:extLst>
                    </a:blip>
                    <a:stretch>
                      <a:fillRect/>
                    </a:stretch>
                  </pic:blipFill>
                  <pic:spPr>
                    <a:xfrm>
                      <a:off x="0" y="0"/>
                      <a:ext cx="3289945" cy="682204"/>
                    </a:xfrm>
                    <a:prstGeom prst="rect">
                      <a:avLst/>
                    </a:prstGeom>
                  </pic:spPr>
                </pic:pic>
              </a:graphicData>
            </a:graphic>
          </wp:inline>
        </w:drawing>
      </w:r>
    </w:p>
    <w:p w14:paraId="12844F27" w14:textId="77777777" w:rsidR="00D650A8" w:rsidRPr="00E819DA" w:rsidRDefault="00D650A8" w:rsidP="00D650A8">
      <w:pPr>
        <w:pStyle w:val="Heading1"/>
        <w:spacing w:before="1440" w:after="360"/>
        <w:jc w:val="center"/>
        <w:rPr>
          <w:rFonts w:eastAsia="Times New Roman"/>
          <w:color w:val="2F5496" w:themeColor="accent1" w:themeShade="BF"/>
          <w:sz w:val="56"/>
          <w:szCs w:val="56"/>
        </w:rPr>
      </w:pPr>
      <w:bookmarkStart w:id="3" w:name="_Toc39583713"/>
      <w:bookmarkStart w:id="4" w:name="_Toc39584599"/>
      <w:bookmarkStart w:id="5" w:name="_Toc40720795"/>
      <w:bookmarkStart w:id="6" w:name="_Toc52181162"/>
      <w:r w:rsidRPr="00E819DA">
        <w:rPr>
          <w:rFonts w:eastAsia="Times New Roman"/>
          <w:color w:val="2F5496" w:themeColor="accent1" w:themeShade="BF"/>
          <w:sz w:val="56"/>
          <w:szCs w:val="56"/>
        </w:rPr>
        <w:t>ACL Data Council</w:t>
      </w:r>
      <w:bookmarkEnd w:id="0"/>
      <w:bookmarkEnd w:id="1"/>
      <w:bookmarkEnd w:id="3"/>
      <w:bookmarkEnd w:id="4"/>
      <w:bookmarkEnd w:id="5"/>
      <w:bookmarkEnd w:id="6"/>
    </w:p>
    <w:p w14:paraId="78DD4130" w14:textId="77777777" w:rsidR="00D650A8" w:rsidRDefault="00D650A8" w:rsidP="00D650A8">
      <w:pPr>
        <w:pStyle w:val="Heading1"/>
        <w:spacing w:after="480"/>
        <w:jc w:val="center"/>
        <w:rPr>
          <w:color w:val="2F5496" w:themeColor="accent1" w:themeShade="BF"/>
          <w:sz w:val="32"/>
        </w:rPr>
      </w:pPr>
      <w:bookmarkStart w:id="7" w:name="_Toc39583714"/>
      <w:bookmarkStart w:id="8" w:name="_Toc39584600"/>
      <w:bookmarkStart w:id="9" w:name="_Toc40720796"/>
      <w:bookmarkStart w:id="10" w:name="_Toc52181163"/>
      <w:r w:rsidRPr="00E819DA">
        <w:rPr>
          <w:color w:val="2F5496" w:themeColor="accent1" w:themeShade="BF"/>
          <w:sz w:val="32"/>
        </w:rPr>
        <w:t>Data Governance Standards</w:t>
      </w:r>
      <w:r>
        <w:rPr>
          <w:color w:val="2F5496" w:themeColor="accent1" w:themeShade="BF"/>
          <w:sz w:val="32"/>
        </w:rPr>
        <w:t xml:space="preserve"> </w:t>
      </w:r>
      <w:r w:rsidRPr="00E819DA">
        <w:rPr>
          <w:color w:val="2F5496" w:themeColor="accent1" w:themeShade="BF"/>
          <w:sz w:val="32"/>
        </w:rPr>
        <w:t>Working Group</w:t>
      </w:r>
      <w:bookmarkEnd w:id="7"/>
      <w:bookmarkEnd w:id="8"/>
      <w:bookmarkEnd w:id="9"/>
      <w:bookmarkEnd w:id="10"/>
    </w:p>
    <w:p w14:paraId="5B1ACD37" w14:textId="762F5E82" w:rsidR="00D650A8" w:rsidRDefault="00D650A8" w:rsidP="00D650A8">
      <w:pPr>
        <w:pStyle w:val="Heading1"/>
        <w:ind w:left="720" w:right="720"/>
        <w:jc w:val="center"/>
        <w:rPr>
          <w:color w:val="2F5496" w:themeColor="accent1" w:themeShade="BF"/>
          <w:sz w:val="32"/>
        </w:rPr>
      </w:pPr>
      <w:bookmarkStart w:id="11" w:name="_Toc52181164"/>
      <w:r>
        <w:rPr>
          <w:color w:val="2F5496" w:themeColor="accent1" w:themeShade="BF"/>
          <w:sz w:val="32"/>
        </w:rPr>
        <w:t>ACL Data Governance Primer</w:t>
      </w:r>
      <w:bookmarkEnd w:id="11"/>
    </w:p>
    <w:p w14:paraId="1249864F" w14:textId="1978D0E3" w:rsidR="009C20BC" w:rsidRPr="003D42CB" w:rsidRDefault="009C20BC" w:rsidP="003D42CB">
      <w:pPr>
        <w:spacing w:before="360"/>
        <w:jc w:val="center"/>
        <w:rPr>
          <w:color w:val="C00000"/>
          <w:sz w:val="32"/>
        </w:rPr>
      </w:pPr>
      <w:r w:rsidRPr="003D42CB">
        <w:rPr>
          <w:b/>
          <w:color w:val="C00000"/>
          <w:sz w:val="32"/>
          <w:szCs w:val="32"/>
        </w:rPr>
        <w:t>Version 1</w:t>
      </w:r>
    </w:p>
    <w:p w14:paraId="13534048" w14:textId="31A17637" w:rsidR="00D815F0" w:rsidRPr="00D650A8" w:rsidRDefault="00D650A8" w:rsidP="00EA6E93">
      <w:pPr>
        <w:spacing w:before="880"/>
        <w:jc w:val="center"/>
        <w:rPr>
          <w:b/>
          <w:bCs/>
          <w:color w:val="C00000"/>
          <w:sz w:val="32"/>
          <w:szCs w:val="32"/>
        </w:rPr>
      </w:pPr>
      <w:r w:rsidRPr="00D650A8">
        <w:rPr>
          <w:b/>
          <w:bCs/>
          <w:color w:val="C00000"/>
          <w:sz w:val="32"/>
          <w:szCs w:val="32"/>
        </w:rPr>
        <w:t>DRAFT</w:t>
      </w:r>
    </w:p>
    <w:p w14:paraId="1A40FCB7" w14:textId="391C825A" w:rsidR="00D650A8" w:rsidRDefault="00F03D03" w:rsidP="00D650A8">
      <w:pPr>
        <w:jc w:val="center"/>
        <w:rPr>
          <w:b/>
          <w:bCs/>
          <w:color w:val="C00000"/>
          <w:sz w:val="32"/>
          <w:szCs w:val="32"/>
        </w:rPr>
      </w:pPr>
      <w:r>
        <w:rPr>
          <w:b/>
          <w:bCs/>
          <w:color w:val="C00000"/>
          <w:sz w:val="32"/>
          <w:szCs w:val="32"/>
        </w:rPr>
        <w:t>September</w:t>
      </w:r>
      <w:r w:rsidR="00D650A8" w:rsidRPr="00D650A8">
        <w:rPr>
          <w:b/>
          <w:bCs/>
          <w:color w:val="C00000"/>
          <w:sz w:val="32"/>
          <w:szCs w:val="32"/>
        </w:rPr>
        <w:t xml:space="preserve"> 2020</w:t>
      </w:r>
    </w:p>
    <w:p w14:paraId="041D3995" w14:textId="77777777" w:rsidR="00D650A8" w:rsidRDefault="00D650A8" w:rsidP="00D650A8">
      <w:pPr>
        <w:jc w:val="center"/>
        <w:rPr>
          <w:sz w:val="32"/>
          <w:szCs w:val="32"/>
        </w:rPr>
        <w:sectPr w:rsidR="00D650A8">
          <w:footerReference w:type="default" r:id="rId9"/>
          <w:footerReference w:type="firs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343851921"/>
        <w:docPartObj>
          <w:docPartGallery w:val="Table of Contents"/>
          <w:docPartUnique/>
        </w:docPartObj>
      </w:sdtPr>
      <w:sdtEndPr>
        <w:rPr>
          <w:b/>
          <w:bCs/>
          <w:noProof/>
        </w:rPr>
      </w:sdtEndPr>
      <w:sdtContent>
        <w:p w14:paraId="7DADE4BF" w14:textId="61DB3C15" w:rsidR="008A740A" w:rsidRPr="008A740A" w:rsidRDefault="008A740A" w:rsidP="008A740A">
          <w:pPr>
            <w:pStyle w:val="TOCHeading"/>
            <w:spacing w:after="120"/>
            <w:rPr>
              <w:b/>
              <w:bCs/>
              <w:color w:val="2F5496"/>
            </w:rPr>
          </w:pPr>
          <w:r w:rsidRPr="008A740A">
            <w:rPr>
              <w:b/>
              <w:bCs/>
              <w:color w:val="2F5496"/>
            </w:rPr>
            <w:t>Table of Contents</w:t>
          </w:r>
        </w:p>
        <w:p w14:paraId="08C93324" w14:textId="42EAA8A4" w:rsidR="00F56298" w:rsidRDefault="005D244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52181162" w:history="1">
            <w:r w:rsidR="00F56298" w:rsidRPr="00BA5075">
              <w:rPr>
                <w:rStyle w:val="Hyperlink"/>
                <w:rFonts w:eastAsia="Times New Roman"/>
                <w:noProof/>
              </w:rPr>
              <w:t>ACL Data Council</w:t>
            </w:r>
            <w:r w:rsidR="00F56298">
              <w:rPr>
                <w:noProof/>
                <w:webHidden/>
              </w:rPr>
              <w:tab/>
            </w:r>
            <w:r w:rsidR="00F56298">
              <w:rPr>
                <w:noProof/>
                <w:webHidden/>
              </w:rPr>
              <w:fldChar w:fldCharType="begin"/>
            </w:r>
            <w:r w:rsidR="00F56298">
              <w:rPr>
                <w:noProof/>
                <w:webHidden/>
              </w:rPr>
              <w:instrText xml:space="preserve"> PAGEREF _Toc52181162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29BBB49C" w14:textId="24632FFA" w:rsidR="00F56298" w:rsidRDefault="005A473B">
          <w:pPr>
            <w:pStyle w:val="TOC1"/>
            <w:tabs>
              <w:tab w:val="right" w:leader="dot" w:pos="9350"/>
            </w:tabs>
            <w:rPr>
              <w:rFonts w:eastAsiaTheme="minorEastAsia"/>
              <w:noProof/>
            </w:rPr>
          </w:pPr>
          <w:hyperlink w:anchor="_Toc52181163" w:history="1">
            <w:r w:rsidR="00F56298" w:rsidRPr="00BA5075">
              <w:rPr>
                <w:rStyle w:val="Hyperlink"/>
                <w:noProof/>
              </w:rPr>
              <w:t>Data Governance Standards Working Group</w:t>
            </w:r>
            <w:r w:rsidR="00F56298">
              <w:rPr>
                <w:noProof/>
                <w:webHidden/>
              </w:rPr>
              <w:tab/>
            </w:r>
            <w:r w:rsidR="00F56298">
              <w:rPr>
                <w:noProof/>
                <w:webHidden/>
              </w:rPr>
              <w:fldChar w:fldCharType="begin"/>
            </w:r>
            <w:r w:rsidR="00F56298">
              <w:rPr>
                <w:noProof/>
                <w:webHidden/>
              </w:rPr>
              <w:instrText xml:space="preserve"> PAGEREF _Toc52181163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210C97EB" w14:textId="50A69EA7" w:rsidR="00F56298" w:rsidRDefault="005A473B">
          <w:pPr>
            <w:pStyle w:val="TOC1"/>
            <w:tabs>
              <w:tab w:val="right" w:leader="dot" w:pos="9350"/>
            </w:tabs>
            <w:rPr>
              <w:rFonts w:eastAsiaTheme="minorEastAsia"/>
              <w:noProof/>
            </w:rPr>
          </w:pPr>
          <w:hyperlink w:anchor="_Toc52181164" w:history="1">
            <w:r w:rsidR="00F56298" w:rsidRPr="00BA5075">
              <w:rPr>
                <w:rStyle w:val="Hyperlink"/>
                <w:noProof/>
              </w:rPr>
              <w:t>ACL Data Governance Primer</w:t>
            </w:r>
            <w:r w:rsidR="00F56298">
              <w:rPr>
                <w:noProof/>
                <w:webHidden/>
              </w:rPr>
              <w:tab/>
            </w:r>
            <w:r w:rsidR="00F56298">
              <w:rPr>
                <w:noProof/>
                <w:webHidden/>
              </w:rPr>
              <w:fldChar w:fldCharType="begin"/>
            </w:r>
            <w:r w:rsidR="00F56298">
              <w:rPr>
                <w:noProof/>
                <w:webHidden/>
              </w:rPr>
              <w:instrText xml:space="preserve"> PAGEREF _Toc52181164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7B2CE4A4" w14:textId="4F63F1D8" w:rsidR="00F56298" w:rsidRDefault="005A473B">
          <w:pPr>
            <w:pStyle w:val="TOC2"/>
            <w:tabs>
              <w:tab w:val="right" w:leader="dot" w:pos="9350"/>
            </w:tabs>
            <w:rPr>
              <w:rFonts w:eastAsiaTheme="minorEastAsia"/>
              <w:noProof/>
            </w:rPr>
          </w:pPr>
          <w:hyperlink w:anchor="_Toc52181165" w:history="1">
            <w:r w:rsidR="00F56298" w:rsidRPr="00BA5075">
              <w:rPr>
                <w:rStyle w:val="Hyperlink"/>
                <w:noProof/>
              </w:rPr>
              <w:t>Introduction</w:t>
            </w:r>
            <w:r w:rsidR="00F56298">
              <w:rPr>
                <w:noProof/>
                <w:webHidden/>
              </w:rPr>
              <w:tab/>
            </w:r>
            <w:r w:rsidR="00F56298">
              <w:rPr>
                <w:noProof/>
                <w:webHidden/>
              </w:rPr>
              <w:fldChar w:fldCharType="begin"/>
            </w:r>
            <w:r w:rsidR="00F56298">
              <w:rPr>
                <w:noProof/>
                <w:webHidden/>
              </w:rPr>
              <w:instrText xml:space="preserve"> PAGEREF _Toc52181165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044C525B" w14:textId="20ED1A56" w:rsidR="00F56298" w:rsidRDefault="005A473B">
          <w:pPr>
            <w:pStyle w:val="TOC3"/>
            <w:tabs>
              <w:tab w:val="right" w:leader="dot" w:pos="9350"/>
            </w:tabs>
            <w:rPr>
              <w:rFonts w:eastAsiaTheme="minorEastAsia"/>
              <w:noProof/>
            </w:rPr>
          </w:pPr>
          <w:hyperlink w:anchor="_Toc52181166" w:history="1">
            <w:r w:rsidR="00F56298" w:rsidRPr="00BA5075">
              <w:rPr>
                <w:rStyle w:val="Hyperlink"/>
                <w:noProof/>
              </w:rPr>
              <w:t>What is the ACL Data Governance Primer?</w:t>
            </w:r>
            <w:r w:rsidR="00F56298">
              <w:rPr>
                <w:noProof/>
                <w:webHidden/>
              </w:rPr>
              <w:tab/>
            </w:r>
            <w:r w:rsidR="00F56298">
              <w:rPr>
                <w:noProof/>
                <w:webHidden/>
              </w:rPr>
              <w:fldChar w:fldCharType="begin"/>
            </w:r>
            <w:r w:rsidR="00F56298">
              <w:rPr>
                <w:noProof/>
                <w:webHidden/>
              </w:rPr>
              <w:instrText xml:space="preserve"> PAGEREF _Toc52181166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7F001A63" w14:textId="0D43FECF" w:rsidR="00F56298" w:rsidRDefault="005A473B">
          <w:pPr>
            <w:pStyle w:val="TOC3"/>
            <w:tabs>
              <w:tab w:val="right" w:leader="dot" w:pos="9350"/>
            </w:tabs>
            <w:rPr>
              <w:rFonts w:eastAsiaTheme="minorEastAsia"/>
              <w:noProof/>
            </w:rPr>
          </w:pPr>
          <w:hyperlink w:anchor="_Toc52181167" w:history="1">
            <w:r w:rsidR="00F56298" w:rsidRPr="00BA5075">
              <w:rPr>
                <w:rStyle w:val="Hyperlink"/>
                <w:noProof/>
              </w:rPr>
              <w:t>Who Should Use It?</w:t>
            </w:r>
            <w:r w:rsidR="00F56298">
              <w:rPr>
                <w:noProof/>
                <w:webHidden/>
              </w:rPr>
              <w:tab/>
            </w:r>
            <w:r w:rsidR="00F56298">
              <w:rPr>
                <w:noProof/>
                <w:webHidden/>
              </w:rPr>
              <w:fldChar w:fldCharType="begin"/>
            </w:r>
            <w:r w:rsidR="00F56298">
              <w:rPr>
                <w:noProof/>
                <w:webHidden/>
              </w:rPr>
              <w:instrText xml:space="preserve"> PAGEREF _Toc52181167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4201440C" w14:textId="19B65CB1" w:rsidR="00F56298" w:rsidRDefault="005A473B">
          <w:pPr>
            <w:pStyle w:val="TOC3"/>
            <w:tabs>
              <w:tab w:val="right" w:leader="dot" w:pos="9350"/>
            </w:tabs>
            <w:rPr>
              <w:rFonts w:eastAsiaTheme="minorEastAsia"/>
              <w:noProof/>
            </w:rPr>
          </w:pPr>
          <w:hyperlink w:anchor="_Toc52181168" w:history="1">
            <w:r w:rsidR="00F56298" w:rsidRPr="00BA5075">
              <w:rPr>
                <w:rStyle w:val="Hyperlink"/>
                <w:noProof/>
              </w:rPr>
              <w:t>How Should It Be Used?</w:t>
            </w:r>
            <w:r w:rsidR="00F56298">
              <w:rPr>
                <w:noProof/>
                <w:webHidden/>
              </w:rPr>
              <w:tab/>
            </w:r>
            <w:r w:rsidR="00F56298">
              <w:rPr>
                <w:noProof/>
                <w:webHidden/>
              </w:rPr>
              <w:fldChar w:fldCharType="begin"/>
            </w:r>
            <w:r w:rsidR="00F56298">
              <w:rPr>
                <w:noProof/>
                <w:webHidden/>
              </w:rPr>
              <w:instrText xml:space="preserve"> PAGEREF _Toc52181168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459C5268" w14:textId="406ADB6E" w:rsidR="00F56298" w:rsidRDefault="005A473B">
          <w:pPr>
            <w:pStyle w:val="TOC3"/>
            <w:tabs>
              <w:tab w:val="right" w:leader="dot" w:pos="9350"/>
            </w:tabs>
            <w:rPr>
              <w:rFonts w:eastAsiaTheme="minorEastAsia"/>
              <w:noProof/>
            </w:rPr>
          </w:pPr>
          <w:hyperlink w:anchor="_Toc52181169" w:history="1">
            <w:r w:rsidR="00F56298" w:rsidRPr="00BA5075">
              <w:rPr>
                <w:rStyle w:val="Hyperlink"/>
                <w:noProof/>
              </w:rPr>
              <w:t>How Was the Primer Developed?</w:t>
            </w:r>
            <w:r w:rsidR="00F56298">
              <w:rPr>
                <w:noProof/>
                <w:webHidden/>
              </w:rPr>
              <w:tab/>
            </w:r>
            <w:r w:rsidR="00F56298">
              <w:rPr>
                <w:noProof/>
                <w:webHidden/>
              </w:rPr>
              <w:fldChar w:fldCharType="begin"/>
            </w:r>
            <w:r w:rsidR="00F56298">
              <w:rPr>
                <w:noProof/>
                <w:webHidden/>
              </w:rPr>
              <w:instrText xml:space="preserve"> PAGEREF _Toc52181169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191235A7" w14:textId="2E17465A" w:rsidR="00F56298" w:rsidRDefault="005A473B">
          <w:pPr>
            <w:pStyle w:val="TOC2"/>
            <w:tabs>
              <w:tab w:val="right" w:leader="dot" w:pos="9350"/>
            </w:tabs>
            <w:rPr>
              <w:rFonts w:eastAsiaTheme="minorEastAsia"/>
              <w:noProof/>
            </w:rPr>
          </w:pPr>
          <w:hyperlink w:anchor="_Toc52181170" w:history="1">
            <w:r w:rsidR="00F56298" w:rsidRPr="00BA5075">
              <w:rPr>
                <w:rStyle w:val="Hyperlink"/>
                <w:noProof/>
              </w:rPr>
              <w:t>Background</w:t>
            </w:r>
            <w:r w:rsidR="00F56298">
              <w:rPr>
                <w:noProof/>
                <w:webHidden/>
              </w:rPr>
              <w:tab/>
            </w:r>
            <w:r w:rsidR="00F56298">
              <w:rPr>
                <w:noProof/>
                <w:webHidden/>
              </w:rPr>
              <w:fldChar w:fldCharType="begin"/>
            </w:r>
            <w:r w:rsidR="00F56298">
              <w:rPr>
                <w:noProof/>
                <w:webHidden/>
              </w:rPr>
              <w:instrText xml:space="preserve"> PAGEREF _Toc52181170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6AA10149" w14:textId="70F280E9" w:rsidR="00F56298" w:rsidRDefault="005A473B">
          <w:pPr>
            <w:pStyle w:val="TOC3"/>
            <w:tabs>
              <w:tab w:val="right" w:leader="dot" w:pos="9350"/>
            </w:tabs>
            <w:rPr>
              <w:rFonts w:eastAsiaTheme="minorEastAsia"/>
              <w:noProof/>
            </w:rPr>
          </w:pPr>
          <w:hyperlink w:anchor="_Toc52181171" w:history="1">
            <w:r w:rsidR="00F56298" w:rsidRPr="00BA5075">
              <w:rPr>
                <w:rStyle w:val="Hyperlink"/>
                <w:noProof/>
              </w:rPr>
              <w:t>What is Data Governance?</w:t>
            </w:r>
            <w:r w:rsidR="00F56298">
              <w:rPr>
                <w:noProof/>
                <w:webHidden/>
              </w:rPr>
              <w:tab/>
            </w:r>
            <w:r w:rsidR="00F56298">
              <w:rPr>
                <w:noProof/>
                <w:webHidden/>
              </w:rPr>
              <w:fldChar w:fldCharType="begin"/>
            </w:r>
            <w:r w:rsidR="00F56298">
              <w:rPr>
                <w:noProof/>
                <w:webHidden/>
              </w:rPr>
              <w:instrText xml:space="preserve"> PAGEREF _Toc52181171 \h </w:instrText>
            </w:r>
            <w:r w:rsidR="00F56298">
              <w:rPr>
                <w:noProof/>
                <w:webHidden/>
              </w:rPr>
            </w:r>
            <w:r w:rsidR="00F56298">
              <w:rPr>
                <w:noProof/>
                <w:webHidden/>
              </w:rPr>
              <w:fldChar w:fldCharType="separate"/>
            </w:r>
            <w:r w:rsidR="00CE2FA7">
              <w:rPr>
                <w:noProof/>
                <w:webHidden/>
              </w:rPr>
              <w:t>1</w:t>
            </w:r>
            <w:r w:rsidR="00F56298">
              <w:rPr>
                <w:noProof/>
                <w:webHidden/>
              </w:rPr>
              <w:fldChar w:fldCharType="end"/>
            </w:r>
          </w:hyperlink>
        </w:p>
        <w:p w14:paraId="3DBB4182" w14:textId="4DBC69A6" w:rsidR="00F56298" w:rsidRDefault="005A473B">
          <w:pPr>
            <w:pStyle w:val="TOC3"/>
            <w:tabs>
              <w:tab w:val="right" w:leader="dot" w:pos="9350"/>
            </w:tabs>
            <w:rPr>
              <w:rFonts w:eastAsiaTheme="minorEastAsia"/>
              <w:noProof/>
            </w:rPr>
          </w:pPr>
          <w:hyperlink w:anchor="_Toc52181172" w:history="1">
            <w:r w:rsidR="00F56298" w:rsidRPr="00BA5075">
              <w:rPr>
                <w:rStyle w:val="Hyperlink"/>
                <w:noProof/>
              </w:rPr>
              <w:t>What Is the Difference Between Data Governance, Data Management, and Data Stewardship?</w:t>
            </w:r>
            <w:r w:rsidR="00F56298">
              <w:rPr>
                <w:noProof/>
                <w:webHidden/>
              </w:rPr>
              <w:tab/>
            </w:r>
            <w:r w:rsidR="00F56298">
              <w:rPr>
                <w:noProof/>
                <w:webHidden/>
              </w:rPr>
              <w:fldChar w:fldCharType="begin"/>
            </w:r>
            <w:r w:rsidR="00F56298">
              <w:rPr>
                <w:noProof/>
                <w:webHidden/>
              </w:rPr>
              <w:instrText xml:space="preserve"> PAGEREF _Toc52181172 \h </w:instrText>
            </w:r>
            <w:r w:rsidR="00F56298">
              <w:rPr>
                <w:noProof/>
                <w:webHidden/>
              </w:rPr>
            </w:r>
            <w:r w:rsidR="00F56298">
              <w:rPr>
                <w:noProof/>
                <w:webHidden/>
              </w:rPr>
              <w:fldChar w:fldCharType="separate"/>
            </w:r>
            <w:r w:rsidR="00CE2FA7">
              <w:rPr>
                <w:noProof/>
                <w:webHidden/>
              </w:rPr>
              <w:t>2</w:t>
            </w:r>
            <w:r w:rsidR="00F56298">
              <w:rPr>
                <w:noProof/>
                <w:webHidden/>
              </w:rPr>
              <w:fldChar w:fldCharType="end"/>
            </w:r>
          </w:hyperlink>
        </w:p>
        <w:p w14:paraId="53CCF8F5" w14:textId="0CD8E8F8" w:rsidR="00F56298" w:rsidRDefault="005A473B">
          <w:pPr>
            <w:pStyle w:val="TOC3"/>
            <w:tabs>
              <w:tab w:val="right" w:leader="dot" w:pos="9350"/>
            </w:tabs>
            <w:rPr>
              <w:rFonts w:eastAsiaTheme="minorEastAsia"/>
              <w:noProof/>
            </w:rPr>
          </w:pPr>
          <w:hyperlink w:anchor="_Toc52181173" w:history="1">
            <w:r w:rsidR="00F56298" w:rsidRPr="00BA5075">
              <w:rPr>
                <w:rStyle w:val="Hyperlink"/>
                <w:noProof/>
                <w:shd w:val="clear" w:color="auto" w:fill="FFFFFF"/>
              </w:rPr>
              <w:t>Why Does Data Governance Matter?</w:t>
            </w:r>
            <w:r w:rsidR="00F56298">
              <w:rPr>
                <w:noProof/>
                <w:webHidden/>
              </w:rPr>
              <w:tab/>
            </w:r>
            <w:r w:rsidR="00F56298">
              <w:rPr>
                <w:noProof/>
                <w:webHidden/>
              </w:rPr>
              <w:fldChar w:fldCharType="begin"/>
            </w:r>
            <w:r w:rsidR="00F56298">
              <w:rPr>
                <w:noProof/>
                <w:webHidden/>
              </w:rPr>
              <w:instrText xml:space="preserve"> PAGEREF _Toc52181173 \h </w:instrText>
            </w:r>
            <w:r w:rsidR="00F56298">
              <w:rPr>
                <w:noProof/>
                <w:webHidden/>
              </w:rPr>
            </w:r>
            <w:r w:rsidR="00F56298">
              <w:rPr>
                <w:noProof/>
                <w:webHidden/>
              </w:rPr>
              <w:fldChar w:fldCharType="separate"/>
            </w:r>
            <w:r w:rsidR="00CE2FA7">
              <w:rPr>
                <w:noProof/>
                <w:webHidden/>
              </w:rPr>
              <w:t>2</w:t>
            </w:r>
            <w:r w:rsidR="00F56298">
              <w:rPr>
                <w:noProof/>
                <w:webHidden/>
              </w:rPr>
              <w:fldChar w:fldCharType="end"/>
            </w:r>
          </w:hyperlink>
        </w:p>
        <w:p w14:paraId="7977BBF2" w14:textId="3342939E" w:rsidR="00F56298" w:rsidRDefault="005A473B">
          <w:pPr>
            <w:pStyle w:val="TOC2"/>
            <w:tabs>
              <w:tab w:val="right" w:leader="dot" w:pos="9350"/>
            </w:tabs>
            <w:rPr>
              <w:rFonts w:eastAsiaTheme="minorEastAsia"/>
              <w:noProof/>
            </w:rPr>
          </w:pPr>
          <w:hyperlink w:anchor="_Toc52181174" w:history="1">
            <w:r w:rsidR="00F56298" w:rsidRPr="00BA5075">
              <w:rPr>
                <w:rStyle w:val="Hyperlink"/>
                <w:noProof/>
              </w:rPr>
              <w:t>Data Governance Framework</w:t>
            </w:r>
            <w:r w:rsidR="00F56298">
              <w:rPr>
                <w:noProof/>
                <w:webHidden/>
              </w:rPr>
              <w:tab/>
            </w:r>
            <w:r w:rsidR="00F56298">
              <w:rPr>
                <w:noProof/>
                <w:webHidden/>
              </w:rPr>
              <w:fldChar w:fldCharType="begin"/>
            </w:r>
            <w:r w:rsidR="00F56298">
              <w:rPr>
                <w:noProof/>
                <w:webHidden/>
              </w:rPr>
              <w:instrText xml:space="preserve"> PAGEREF _Toc52181174 \h </w:instrText>
            </w:r>
            <w:r w:rsidR="00F56298">
              <w:rPr>
                <w:noProof/>
                <w:webHidden/>
              </w:rPr>
            </w:r>
            <w:r w:rsidR="00F56298">
              <w:rPr>
                <w:noProof/>
                <w:webHidden/>
              </w:rPr>
              <w:fldChar w:fldCharType="separate"/>
            </w:r>
            <w:r w:rsidR="00CE2FA7">
              <w:rPr>
                <w:noProof/>
                <w:webHidden/>
              </w:rPr>
              <w:t>3</w:t>
            </w:r>
            <w:r w:rsidR="00F56298">
              <w:rPr>
                <w:noProof/>
                <w:webHidden/>
              </w:rPr>
              <w:fldChar w:fldCharType="end"/>
            </w:r>
          </w:hyperlink>
        </w:p>
        <w:p w14:paraId="0172372B" w14:textId="775C5E61" w:rsidR="00F56298" w:rsidRDefault="005A473B">
          <w:pPr>
            <w:pStyle w:val="TOC3"/>
            <w:tabs>
              <w:tab w:val="right" w:leader="dot" w:pos="9350"/>
            </w:tabs>
            <w:rPr>
              <w:rFonts w:eastAsiaTheme="minorEastAsia"/>
              <w:noProof/>
            </w:rPr>
          </w:pPr>
          <w:hyperlink w:anchor="_Toc52181175" w:history="1">
            <w:r w:rsidR="00F56298" w:rsidRPr="00BA5075">
              <w:rPr>
                <w:rStyle w:val="Hyperlink"/>
                <w:noProof/>
              </w:rPr>
              <w:t>Data Governance Participants and Roles</w:t>
            </w:r>
            <w:r w:rsidR="00F56298">
              <w:rPr>
                <w:noProof/>
                <w:webHidden/>
              </w:rPr>
              <w:tab/>
            </w:r>
            <w:r w:rsidR="00F56298">
              <w:rPr>
                <w:noProof/>
                <w:webHidden/>
              </w:rPr>
              <w:fldChar w:fldCharType="begin"/>
            </w:r>
            <w:r w:rsidR="00F56298">
              <w:rPr>
                <w:noProof/>
                <w:webHidden/>
              </w:rPr>
              <w:instrText xml:space="preserve"> PAGEREF _Toc52181175 \h </w:instrText>
            </w:r>
            <w:r w:rsidR="00F56298">
              <w:rPr>
                <w:noProof/>
                <w:webHidden/>
              </w:rPr>
            </w:r>
            <w:r w:rsidR="00F56298">
              <w:rPr>
                <w:noProof/>
                <w:webHidden/>
              </w:rPr>
              <w:fldChar w:fldCharType="separate"/>
            </w:r>
            <w:r w:rsidR="00CE2FA7">
              <w:rPr>
                <w:noProof/>
                <w:webHidden/>
              </w:rPr>
              <w:t>3</w:t>
            </w:r>
            <w:r w:rsidR="00F56298">
              <w:rPr>
                <w:noProof/>
                <w:webHidden/>
              </w:rPr>
              <w:fldChar w:fldCharType="end"/>
            </w:r>
          </w:hyperlink>
        </w:p>
        <w:p w14:paraId="15BB10AA" w14:textId="14521FF5" w:rsidR="00F56298" w:rsidRDefault="005A473B">
          <w:pPr>
            <w:pStyle w:val="TOC4"/>
            <w:tabs>
              <w:tab w:val="right" w:leader="dot" w:pos="9350"/>
            </w:tabs>
            <w:rPr>
              <w:rFonts w:eastAsiaTheme="minorEastAsia"/>
              <w:noProof/>
            </w:rPr>
          </w:pPr>
          <w:hyperlink w:anchor="_Toc52181176" w:history="1">
            <w:r w:rsidR="00F56298" w:rsidRPr="00BA5075">
              <w:rPr>
                <w:rStyle w:val="Hyperlink"/>
                <w:noProof/>
              </w:rPr>
              <w:t>Data governance leaders</w:t>
            </w:r>
            <w:r w:rsidR="00F56298">
              <w:rPr>
                <w:noProof/>
                <w:webHidden/>
              </w:rPr>
              <w:tab/>
            </w:r>
            <w:r w:rsidR="00F56298">
              <w:rPr>
                <w:noProof/>
                <w:webHidden/>
              </w:rPr>
              <w:fldChar w:fldCharType="begin"/>
            </w:r>
            <w:r w:rsidR="00F56298">
              <w:rPr>
                <w:noProof/>
                <w:webHidden/>
              </w:rPr>
              <w:instrText xml:space="preserve"> PAGEREF _Toc52181176 \h </w:instrText>
            </w:r>
            <w:r w:rsidR="00F56298">
              <w:rPr>
                <w:noProof/>
                <w:webHidden/>
              </w:rPr>
            </w:r>
            <w:r w:rsidR="00F56298">
              <w:rPr>
                <w:noProof/>
                <w:webHidden/>
              </w:rPr>
              <w:fldChar w:fldCharType="separate"/>
            </w:r>
            <w:r w:rsidR="00CE2FA7">
              <w:rPr>
                <w:noProof/>
                <w:webHidden/>
              </w:rPr>
              <w:t>3</w:t>
            </w:r>
            <w:r w:rsidR="00F56298">
              <w:rPr>
                <w:noProof/>
                <w:webHidden/>
              </w:rPr>
              <w:fldChar w:fldCharType="end"/>
            </w:r>
          </w:hyperlink>
        </w:p>
        <w:p w14:paraId="447B0B65" w14:textId="09B5E7A4" w:rsidR="00F56298" w:rsidRDefault="005A473B">
          <w:pPr>
            <w:pStyle w:val="TOC4"/>
            <w:tabs>
              <w:tab w:val="right" w:leader="dot" w:pos="9350"/>
            </w:tabs>
            <w:rPr>
              <w:rFonts w:eastAsiaTheme="minorEastAsia"/>
              <w:noProof/>
            </w:rPr>
          </w:pPr>
          <w:hyperlink w:anchor="_Toc52181177" w:history="1">
            <w:r w:rsidR="00F56298" w:rsidRPr="00BA5075">
              <w:rPr>
                <w:rStyle w:val="Hyperlink"/>
                <w:noProof/>
              </w:rPr>
              <w:t>Data stewards</w:t>
            </w:r>
            <w:r w:rsidR="00F56298">
              <w:rPr>
                <w:noProof/>
                <w:webHidden/>
              </w:rPr>
              <w:tab/>
            </w:r>
            <w:r w:rsidR="00F56298">
              <w:rPr>
                <w:noProof/>
                <w:webHidden/>
              </w:rPr>
              <w:fldChar w:fldCharType="begin"/>
            </w:r>
            <w:r w:rsidR="00F56298">
              <w:rPr>
                <w:noProof/>
                <w:webHidden/>
              </w:rPr>
              <w:instrText xml:space="preserve"> PAGEREF _Toc52181177 \h </w:instrText>
            </w:r>
            <w:r w:rsidR="00F56298">
              <w:rPr>
                <w:noProof/>
                <w:webHidden/>
              </w:rPr>
            </w:r>
            <w:r w:rsidR="00F56298">
              <w:rPr>
                <w:noProof/>
                <w:webHidden/>
              </w:rPr>
              <w:fldChar w:fldCharType="separate"/>
            </w:r>
            <w:r w:rsidR="00CE2FA7">
              <w:rPr>
                <w:noProof/>
                <w:webHidden/>
              </w:rPr>
              <w:t>3</w:t>
            </w:r>
            <w:r w:rsidR="00F56298">
              <w:rPr>
                <w:noProof/>
                <w:webHidden/>
              </w:rPr>
              <w:fldChar w:fldCharType="end"/>
            </w:r>
          </w:hyperlink>
        </w:p>
        <w:p w14:paraId="3F710B87" w14:textId="4610A2C8" w:rsidR="00F56298" w:rsidRDefault="005A473B">
          <w:pPr>
            <w:pStyle w:val="TOC4"/>
            <w:tabs>
              <w:tab w:val="right" w:leader="dot" w:pos="9350"/>
            </w:tabs>
            <w:rPr>
              <w:rFonts w:eastAsiaTheme="minorEastAsia"/>
              <w:noProof/>
            </w:rPr>
          </w:pPr>
          <w:hyperlink w:anchor="_Toc52181178" w:history="1">
            <w:r w:rsidR="00F56298" w:rsidRPr="00BA5075">
              <w:rPr>
                <w:rStyle w:val="Hyperlink"/>
                <w:noProof/>
              </w:rPr>
              <w:t>Technical advisors</w:t>
            </w:r>
            <w:r w:rsidR="00F56298">
              <w:rPr>
                <w:noProof/>
                <w:webHidden/>
              </w:rPr>
              <w:tab/>
            </w:r>
            <w:r w:rsidR="00F56298">
              <w:rPr>
                <w:noProof/>
                <w:webHidden/>
              </w:rPr>
              <w:fldChar w:fldCharType="begin"/>
            </w:r>
            <w:r w:rsidR="00F56298">
              <w:rPr>
                <w:noProof/>
                <w:webHidden/>
              </w:rPr>
              <w:instrText xml:space="preserve"> PAGEREF _Toc52181178 \h </w:instrText>
            </w:r>
            <w:r w:rsidR="00F56298">
              <w:rPr>
                <w:noProof/>
                <w:webHidden/>
              </w:rPr>
            </w:r>
            <w:r w:rsidR="00F56298">
              <w:rPr>
                <w:noProof/>
                <w:webHidden/>
              </w:rPr>
              <w:fldChar w:fldCharType="separate"/>
            </w:r>
            <w:r w:rsidR="00CE2FA7">
              <w:rPr>
                <w:noProof/>
                <w:webHidden/>
              </w:rPr>
              <w:t>4</w:t>
            </w:r>
            <w:r w:rsidR="00F56298">
              <w:rPr>
                <w:noProof/>
                <w:webHidden/>
              </w:rPr>
              <w:fldChar w:fldCharType="end"/>
            </w:r>
          </w:hyperlink>
        </w:p>
        <w:p w14:paraId="6ED41680" w14:textId="7DD6B20E" w:rsidR="00F56298" w:rsidRDefault="005A473B">
          <w:pPr>
            <w:pStyle w:val="TOC4"/>
            <w:tabs>
              <w:tab w:val="right" w:leader="dot" w:pos="9350"/>
            </w:tabs>
            <w:rPr>
              <w:rFonts w:eastAsiaTheme="minorEastAsia"/>
              <w:noProof/>
            </w:rPr>
          </w:pPr>
          <w:hyperlink w:anchor="_Toc52181179" w:history="1">
            <w:r w:rsidR="00F56298" w:rsidRPr="00BA5075">
              <w:rPr>
                <w:rStyle w:val="Hyperlink"/>
                <w:noProof/>
              </w:rPr>
              <w:t>Other data stakeholders</w:t>
            </w:r>
            <w:r w:rsidR="00F56298">
              <w:rPr>
                <w:noProof/>
                <w:webHidden/>
              </w:rPr>
              <w:tab/>
            </w:r>
            <w:r w:rsidR="00F56298">
              <w:rPr>
                <w:noProof/>
                <w:webHidden/>
              </w:rPr>
              <w:fldChar w:fldCharType="begin"/>
            </w:r>
            <w:r w:rsidR="00F56298">
              <w:rPr>
                <w:noProof/>
                <w:webHidden/>
              </w:rPr>
              <w:instrText xml:space="preserve"> PAGEREF _Toc52181179 \h </w:instrText>
            </w:r>
            <w:r w:rsidR="00F56298">
              <w:rPr>
                <w:noProof/>
                <w:webHidden/>
              </w:rPr>
            </w:r>
            <w:r w:rsidR="00F56298">
              <w:rPr>
                <w:noProof/>
                <w:webHidden/>
              </w:rPr>
              <w:fldChar w:fldCharType="separate"/>
            </w:r>
            <w:r w:rsidR="00CE2FA7">
              <w:rPr>
                <w:noProof/>
                <w:webHidden/>
              </w:rPr>
              <w:t>4</w:t>
            </w:r>
            <w:r w:rsidR="00F56298">
              <w:rPr>
                <w:noProof/>
                <w:webHidden/>
              </w:rPr>
              <w:fldChar w:fldCharType="end"/>
            </w:r>
          </w:hyperlink>
        </w:p>
        <w:p w14:paraId="5970323F" w14:textId="498AE81C" w:rsidR="00F56298" w:rsidRDefault="005A473B">
          <w:pPr>
            <w:pStyle w:val="TOC3"/>
            <w:tabs>
              <w:tab w:val="right" w:leader="dot" w:pos="9350"/>
            </w:tabs>
            <w:rPr>
              <w:rFonts w:eastAsiaTheme="minorEastAsia"/>
              <w:noProof/>
            </w:rPr>
          </w:pPr>
          <w:hyperlink w:anchor="_Toc52181180" w:history="1">
            <w:r w:rsidR="00F56298" w:rsidRPr="00BA5075">
              <w:rPr>
                <w:rStyle w:val="Hyperlink"/>
                <w:noProof/>
              </w:rPr>
              <w:t>Data Maturity Assessment</w:t>
            </w:r>
            <w:r w:rsidR="00F56298">
              <w:rPr>
                <w:noProof/>
                <w:webHidden/>
              </w:rPr>
              <w:tab/>
            </w:r>
            <w:r w:rsidR="00F56298">
              <w:rPr>
                <w:noProof/>
                <w:webHidden/>
              </w:rPr>
              <w:fldChar w:fldCharType="begin"/>
            </w:r>
            <w:r w:rsidR="00F56298">
              <w:rPr>
                <w:noProof/>
                <w:webHidden/>
              </w:rPr>
              <w:instrText xml:space="preserve"> PAGEREF _Toc52181180 \h </w:instrText>
            </w:r>
            <w:r w:rsidR="00F56298">
              <w:rPr>
                <w:noProof/>
                <w:webHidden/>
              </w:rPr>
            </w:r>
            <w:r w:rsidR="00F56298">
              <w:rPr>
                <w:noProof/>
                <w:webHidden/>
              </w:rPr>
              <w:fldChar w:fldCharType="separate"/>
            </w:r>
            <w:r w:rsidR="00CE2FA7">
              <w:rPr>
                <w:noProof/>
                <w:webHidden/>
              </w:rPr>
              <w:t>4</w:t>
            </w:r>
            <w:r w:rsidR="00F56298">
              <w:rPr>
                <w:noProof/>
                <w:webHidden/>
              </w:rPr>
              <w:fldChar w:fldCharType="end"/>
            </w:r>
          </w:hyperlink>
        </w:p>
        <w:p w14:paraId="40447D91" w14:textId="5D4A52A5" w:rsidR="00F56298" w:rsidRDefault="005A473B">
          <w:pPr>
            <w:pStyle w:val="TOC3"/>
            <w:tabs>
              <w:tab w:val="right" w:leader="dot" w:pos="9350"/>
            </w:tabs>
            <w:rPr>
              <w:rFonts w:eastAsiaTheme="minorEastAsia"/>
              <w:noProof/>
            </w:rPr>
          </w:pPr>
          <w:hyperlink w:anchor="_Toc52181181" w:history="1">
            <w:r w:rsidR="00F56298" w:rsidRPr="00BA5075">
              <w:rPr>
                <w:rStyle w:val="Hyperlink"/>
                <w:noProof/>
              </w:rPr>
              <w:t>ACL Governance Guidance</w:t>
            </w:r>
            <w:r w:rsidR="00F56298">
              <w:rPr>
                <w:noProof/>
                <w:webHidden/>
              </w:rPr>
              <w:tab/>
            </w:r>
            <w:r w:rsidR="00F56298">
              <w:rPr>
                <w:noProof/>
                <w:webHidden/>
              </w:rPr>
              <w:fldChar w:fldCharType="begin"/>
            </w:r>
            <w:r w:rsidR="00F56298">
              <w:rPr>
                <w:noProof/>
                <w:webHidden/>
              </w:rPr>
              <w:instrText xml:space="preserve"> PAGEREF _Toc52181181 \h </w:instrText>
            </w:r>
            <w:r w:rsidR="00F56298">
              <w:rPr>
                <w:noProof/>
                <w:webHidden/>
              </w:rPr>
            </w:r>
            <w:r w:rsidR="00F56298">
              <w:rPr>
                <w:noProof/>
                <w:webHidden/>
              </w:rPr>
              <w:fldChar w:fldCharType="separate"/>
            </w:r>
            <w:r w:rsidR="00CE2FA7">
              <w:rPr>
                <w:noProof/>
                <w:webHidden/>
              </w:rPr>
              <w:t>6</w:t>
            </w:r>
            <w:r w:rsidR="00F56298">
              <w:rPr>
                <w:noProof/>
                <w:webHidden/>
              </w:rPr>
              <w:fldChar w:fldCharType="end"/>
            </w:r>
          </w:hyperlink>
        </w:p>
        <w:p w14:paraId="1E9205FC" w14:textId="5B19AA33" w:rsidR="00F56298" w:rsidRDefault="005A473B">
          <w:pPr>
            <w:pStyle w:val="TOC4"/>
            <w:tabs>
              <w:tab w:val="right" w:leader="dot" w:pos="9350"/>
            </w:tabs>
            <w:rPr>
              <w:rFonts w:eastAsiaTheme="minorEastAsia"/>
              <w:noProof/>
            </w:rPr>
          </w:pPr>
          <w:hyperlink w:anchor="_Toc52181182" w:history="1">
            <w:r w:rsidR="00F56298" w:rsidRPr="00BA5075">
              <w:rPr>
                <w:rStyle w:val="Hyperlink"/>
                <w:noProof/>
              </w:rPr>
              <w:t>Data principles</w:t>
            </w:r>
            <w:r w:rsidR="00F56298">
              <w:rPr>
                <w:noProof/>
                <w:webHidden/>
              </w:rPr>
              <w:tab/>
            </w:r>
            <w:r w:rsidR="00F56298">
              <w:rPr>
                <w:noProof/>
                <w:webHidden/>
              </w:rPr>
              <w:fldChar w:fldCharType="begin"/>
            </w:r>
            <w:r w:rsidR="00F56298">
              <w:rPr>
                <w:noProof/>
                <w:webHidden/>
              </w:rPr>
              <w:instrText xml:space="preserve"> PAGEREF _Toc52181182 \h </w:instrText>
            </w:r>
            <w:r w:rsidR="00F56298">
              <w:rPr>
                <w:noProof/>
                <w:webHidden/>
              </w:rPr>
            </w:r>
            <w:r w:rsidR="00F56298">
              <w:rPr>
                <w:noProof/>
                <w:webHidden/>
              </w:rPr>
              <w:fldChar w:fldCharType="separate"/>
            </w:r>
            <w:r w:rsidR="00CE2FA7">
              <w:rPr>
                <w:noProof/>
                <w:webHidden/>
              </w:rPr>
              <w:t>6</w:t>
            </w:r>
            <w:r w:rsidR="00F56298">
              <w:rPr>
                <w:noProof/>
                <w:webHidden/>
              </w:rPr>
              <w:fldChar w:fldCharType="end"/>
            </w:r>
          </w:hyperlink>
        </w:p>
        <w:p w14:paraId="62FC5402" w14:textId="50ABF0FC" w:rsidR="00F56298" w:rsidRDefault="005A473B">
          <w:pPr>
            <w:pStyle w:val="TOC4"/>
            <w:tabs>
              <w:tab w:val="right" w:leader="dot" w:pos="9350"/>
            </w:tabs>
            <w:rPr>
              <w:rFonts w:eastAsiaTheme="minorEastAsia"/>
              <w:noProof/>
            </w:rPr>
          </w:pPr>
          <w:hyperlink w:anchor="_Toc52181183" w:history="1">
            <w:r w:rsidR="00F56298" w:rsidRPr="00BA5075">
              <w:rPr>
                <w:rStyle w:val="Hyperlink"/>
                <w:noProof/>
              </w:rPr>
              <w:t>Data quality</w:t>
            </w:r>
            <w:r w:rsidR="00F56298">
              <w:rPr>
                <w:noProof/>
                <w:webHidden/>
              </w:rPr>
              <w:tab/>
            </w:r>
            <w:r w:rsidR="00F56298">
              <w:rPr>
                <w:noProof/>
                <w:webHidden/>
              </w:rPr>
              <w:fldChar w:fldCharType="begin"/>
            </w:r>
            <w:r w:rsidR="00F56298">
              <w:rPr>
                <w:noProof/>
                <w:webHidden/>
              </w:rPr>
              <w:instrText xml:space="preserve"> PAGEREF _Toc52181183 \h </w:instrText>
            </w:r>
            <w:r w:rsidR="00F56298">
              <w:rPr>
                <w:noProof/>
                <w:webHidden/>
              </w:rPr>
            </w:r>
            <w:r w:rsidR="00F56298">
              <w:rPr>
                <w:noProof/>
                <w:webHidden/>
              </w:rPr>
              <w:fldChar w:fldCharType="separate"/>
            </w:r>
            <w:r w:rsidR="00CE2FA7">
              <w:rPr>
                <w:noProof/>
                <w:webHidden/>
              </w:rPr>
              <w:t>7</w:t>
            </w:r>
            <w:r w:rsidR="00F56298">
              <w:rPr>
                <w:noProof/>
                <w:webHidden/>
              </w:rPr>
              <w:fldChar w:fldCharType="end"/>
            </w:r>
          </w:hyperlink>
        </w:p>
        <w:p w14:paraId="052FCB2A" w14:textId="5985DA69" w:rsidR="00F56298" w:rsidRDefault="005A473B">
          <w:pPr>
            <w:pStyle w:val="TOC4"/>
            <w:tabs>
              <w:tab w:val="right" w:leader="dot" w:pos="9350"/>
            </w:tabs>
            <w:rPr>
              <w:rFonts w:eastAsiaTheme="minorEastAsia"/>
              <w:noProof/>
            </w:rPr>
          </w:pPr>
          <w:hyperlink w:anchor="_Toc52181184" w:history="1">
            <w:r w:rsidR="00F56298" w:rsidRPr="00BA5075">
              <w:rPr>
                <w:rStyle w:val="Hyperlink"/>
                <w:noProof/>
              </w:rPr>
              <w:t>Data lifecycle</w:t>
            </w:r>
            <w:r w:rsidR="00F56298">
              <w:rPr>
                <w:noProof/>
                <w:webHidden/>
              </w:rPr>
              <w:tab/>
            </w:r>
            <w:r w:rsidR="00F56298">
              <w:rPr>
                <w:noProof/>
                <w:webHidden/>
              </w:rPr>
              <w:fldChar w:fldCharType="begin"/>
            </w:r>
            <w:r w:rsidR="00F56298">
              <w:rPr>
                <w:noProof/>
                <w:webHidden/>
              </w:rPr>
              <w:instrText xml:space="preserve"> PAGEREF _Toc52181184 \h </w:instrText>
            </w:r>
            <w:r w:rsidR="00F56298">
              <w:rPr>
                <w:noProof/>
                <w:webHidden/>
              </w:rPr>
            </w:r>
            <w:r w:rsidR="00F56298">
              <w:rPr>
                <w:noProof/>
                <w:webHidden/>
              </w:rPr>
              <w:fldChar w:fldCharType="separate"/>
            </w:r>
            <w:r w:rsidR="00CE2FA7">
              <w:rPr>
                <w:noProof/>
                <w:webHidden/>
              </w:rPr>
              <w:t>9</w:t>
            </w:r>
            <w:r w:rsidR="00F56298">
              <w:rPr>
                <w:noProof/>
                <w:webHidden/>
              </w:rPr>
              <w:fldChar w:fldCharType="end"/>
            </w:r>
          </w:hyperlink>
        </w:p>
        <w:p w14:paraId="1591B618" w14:textId="777A40A9" w:rsidR="00F56298" w:rsidRDefault="005A473B">
          <w:pPr>
            <w:pStyle w:val="TOC4"/>
            <w:tabs>
              <w:tab w:val="right" w:leader="dot" w:pos="9350"/>
            </w:tabs>
            <w:rPr>
              <w:rFonts w:eastAsiaTheme="minorEastAsia"/>
              <w:noProof/>
            </w:rPr>
          </w:pPr>
          <w:hyperlink w:anchor="_Toc52181185" w:history="1">
            <w:r w:rsidR="00F56298" w:rsidRPr="00BA5075">
              <w:rPr>
                <w:rStyle w:val="Hyperlink"/>
                <w:noProof/>
              </w:rPr>
              <w:t>Metadata</w:t>
            </w:r>
            <w:r w:rsidR="00F56298">
              <w:rPr>
                <w:noProof/>
                <w:webHidden/>
              </w:rPr>
              <w:tab/>
            </w:r>
            <w:r w:rsidR="00F56298">
              <w:rPr>
                <w:noProof/>
                <w:webHidden/>
              </w:rPr>
              <w:fldChar w:fldCharType="begin"/>
            </w:r>
            <w:r w:rsidR="00F56298">
              <w:rPr>
                <w:noProof/>
                <w:webHidden/>
              </w:rPr>
              <w:instrText xml:space="preserve"> PAGEREF _Toc52181185 \h </w:instrText>
            </w:r>
            <w:r w:rsidR="00F56298">
              <w:rPr>
                <w:noProof/>
                <w:webHidden/>
              </w:rPr>
            </w:r>
            <w:r w:rsidR="00F56298">
              <w:rPr>
                <w:noProof/>
                <w:webHidden/>
              </w:rPr>
              <w:fldChar w:fldCharType="separate"/>
            </w:r>
            <w:r w:rsidR="00CE2FA7">
              <w:rPr>
                <w:noProof/>
                <w:webHidden/>
              </w:rPr>
              <w:t>11</w:t>
            </w:r>
            <w:r w:rsidR="00F56298">
              <w:rPr>
                <w:noProof/>
                <w:webHidden/>
              </w:rPr>
              <w:fldChar w:fldCharType="end"/>
            </w:r>
          </w:hyperlink>
        </w:p>
        <w:p w14:paraId="1203742A" w14:textId="775C34CF" w:rsidR="00F56298" w:rsidRDefault="005A473B">
          <w:pPr>
            <w:pStyle w:val="TOC4"/>
            <w:tabs>
              <w:tab w:val="right" w:leader="dot" w:pos="9350"/>
            </w:tabs>
            <w:rPr>
              <w:rFonts w:eastAsiaTheme="minorEastAsia"/>
              <w:noProof/>
            </w:rPr>
          </w:pPr>
          <w:hyperlink w:anchor="_Toc52181186" w:history="1">
            <w:r w:rsidR="00F56298" w:rsidRPr="00BA5075">
              <w:rPr>
                <w:rStyle w:val="Hyperlink"/>
                <w:noProof/>
              </w:rPr>
              <w:t>Data access</w:t>
            </w:r>
            <w:r w:rsidR="00F56298">
              <w:rPr>
                <w:noProof/>
                <w:webHidden/>
              </w:rPr>
              <w:tab/>
            </w:r>
            <w:r w:rsidR="00F56298">
              <w:rPr>
                <w:noProof/>
                <w:webHidden/>
              </w:rPr>
              <w:fldChar w:fldCharType="begin"/>
            </w:r>
            <w:r w:rsidR="00F56298">
              <w:rPr>
                <w:noProof/>
                <w:webHidden/>
              </w:rPr>
              <w:instrText xml:space="preserve"> PAGEREF _Toc52181186 \h </w:instrText>
            </w:r>
            <w:r w:rsidR="00F56298">
              <w:rPr>
                <w:noProof/>
                <w:webHidden/>
              </w:rPr>
            </w:r>
            <w:r w:rsidR="00F56298">
              <w:rPr>
                <w:noProof/>
                <w:webHidden/>
              </w:rPr>
              <w:fldChar w:fldCharType="separate"/>
            </w:r>
            <w:r w:rsidR="00CE2FA7">
              <w:rPr>
                <w:noProof/>
                <w:webHidden/>
              </w:rPr>
              <w:t>12</w:t>
            </w:r>
            <w:r w:rsidR="00F56298">
              <w:rPr>
                <w:noProof/>
                <w:webHidden/>
              </w:rPr>
              <w:fldChar w:fldCharType="end"/>
            </w:r>
          </w:hyperlink>
        </w:p>
        <w:p w14:paraId="298C20A3" w14:textId="19C8F8EC" w:rsidR="00F56298" w:rsidRDefault="005A473B">
          <w:pPr>
            <w:pStyle w:val="TOC2"/>
            <w:tabs>
              <w:tab w:val="right" w:leader="dot" w:pos="9350"/>
            </w:tabs>
            <w:rPr>
              <w:rFonts w:eastAsiaTheme="minorEastAsia"/>
              <w:noProof/>
            </w:rPr>
          </w:pPr>
          <w:hyperlink w:anchor="_Toc52181187" w:history="1">
            <w:r w:rsidR="00F56298" w:rsidRPr="00BA5075">
              <w:rPr>
                <w:rStyle w:val="Hyperlink"/>
                <w:noProof/>
              </w:rPr>
              <w:t>Next Steps</w:t>
            </w:r>
            <w:r w:rsidR="00F56298">
              <w:rPr>
                <w:noProof/>
                <w:webHidden/>
              </w:rPr>
              <w:tab/>
            </w:r>
            <w:r w:rsidR="00F56298">
              <w:rPr>
                <w:noProof/>
                <w:webHidden/>
              </w:rPr>
              <w:fldChar w:fldCharType="begin"/>
            </w:r>
            <w:r w:rsidR="00F56298">
              <w:rPr>
                <w:noProof/>
                <w:webHidden/>
              </w:rPr>
              <w:instrText xml:space="preserve"> PAGEREF _Toc52181187 \h </w:instrText>
            </w:r>
            <w:r w:rsidR="00F56298">
              <w:rPr>
                <w:noProof/>
                <w:webHidden/>
              </w:rPr>
            </w:r>
            <w:r w:rsidR="00F56298">
              <w:rPr>
                <w:noProof/>
                <w:webHidden/>
              </w:rPr>
              <w:fldChar w:fldCharType="separate"/>
            </w:r>
            <w:r w:rsidR="00CE2FA7">
              <w:rPr>
                <w:noProof/>
                <w:webHidden/>
              </w:rPr>
              <w:t>13</w:t>
            </w:r>
            <w:r w:rsidR="00F56298">
              <w:rPr>
                <w:noProof/>
                <w:webHidden/>
              </w:rPr>
              <w:fldChar w:fldCharType="end"/>
            </w:r>
          </w:hyperlink>
        </w:p>
        <w:p w14:paraId="7FCCDB96" w14:textId="459A5B47" w:rsidR="00F56298" w:rsidRDefault="005A473B">
          <w:pPr>
            <w:pStyle w:val="TOC2"/>
            <w:tabs>
              <w:tab w:val="right" w:leader="dot" w:pos="9350"/>
            </w:tabs>
            <w:rPr>
              <w:rFonts w:eastAsiaTheme="minorEastAsia"/>
              <w:noProof/>
            </w:rPr>
          </w:pPr>
          <w:hyperlink w:anchor="_Toc52181188" w:history="1">
            <w:r w:rsidR="00F56298" w:rsidRPr="00BA5075">
              <w:rPr>
                <w:rStyle w:val="Hyperlink"/>
                <w:noProof/>
              </w:rPr>
              <w:t>References</w:t>
            </w:r>
            <w:r w:rsidR="00F56298">
              <w:rPr>
                <w:noProof/>
                <w:webHidden/>
              </w:rPr>
              <w:tab/>
            </w:r>
            <w:r w:rsidR="00F56298">
              <w:rPr>
                <w:noProof/>
                <w:webHidden/>
              </w:rPr>
              <w:fldChar w:fldCharType="begin"/>
            </w:r>
            <w:r w:rsidR="00F56298">
              <w:rPr>
                <w:noProof/>
                <w:webHidden/>
              </w:rPr>
              <w:instrText xml:space="preserve"> PAGEREF _Toc52181188 \h </w:instrText>
            </w:r>
            <w:r w:rsidR="00F56298">
              <w:rPr>
                <w:noProof/>
                <w:webHidden/>
              </w:rPr>
            </w:r>
            <w:r w:rsidR="00F56298">
              <w:rPr>
                <w:noProof/>
                <w:webHidden/>
              </w:rPr>
              <w:fldChar w:fldCharType="separate"/>
            </w:r>
            <w:r w:rsidR="00CE2FA7">
              <w:rPr>
                <w:noProof/>
                <w:webHidden/>
              </w:rPr>
              <w:t>14</w:t>
            </w:r>
            <w:r w:rsidR="00F56298">
              <w:rPr>
                <w:noProof/>
                <w:webHidden/>
              </w:rPr>
              <w:fldChar w:fldCharType="end"/>
            </w:r>
          </w:hyperlink>
        </w:p>
        <w:p w14:paraId="7111098B" w14:textId="70BE4775" w:rsidR="00F56298" w:rsidRDefault="005A473B">
          <w:pPr>
            <w:pStyle w:val="TOC2"/>
            <w:tabs>
              <w:tab w:val="right" w:leader="dot" w:pos="9350"/>
            </w:tabs>
            <w:rPr>
              <w:rFonts w:eastAsiaTheme="minorEastAsia"/>
              <w:noProof/>
            </w:rPr>
          </w:pPr>
          <w:hyperlink w:anchor="_Toc52181189" w:history="1">
            <w:r w:rsidR="00F56298" w:rsidRPr="00BA5075">
              <w:rPr>
                <w:rStyle w:val="Hyperlink"/>
                <w:noProof/>
              </w:rPr>
              <w:t>Appendix A. Definitions</w:t>
            </w:r>
            <w:r w:rsidR="00F56298">
              <w:rPr>
                <w:noProof/>
                <w:webHidden/>
              </w:rPr>
              <w:tab/>
            </w:r>
            <w:r w:rsidR="00F56298">
              <w:rPr>
                <w:noProof/>
                <w:webHidden/>
              </w:rPr>
              <w:fldChar w:fldCharType="begin"/>
            </w:r>
            <w:r w:rsidR="00F56298">
              <w:rPr>
                <w:noProof/>
                <w:webHidden/>
              </w:rPr>
              <w:instrText xml:space="preserve"> PAGEREF _Toc52181189 \h </w:instrText>
            </w:r>
            <w:r w:rsidR="00F56298">
              <w:rPr>
                <w:noProof/>
                <w:webHidden/>
              </w:rPr>
            </w:r>
            <w:r w:rsidR="00F56298">
              <w:rPr>
                <w:noProof/>
                <w:webHidden/>
              </w:rPr>
              <w:fldChar w:fldCharType="separate"/>
            </w:r>
            <w:r w:rsidR="00CE2FA7">
              <w:rPr>
                <w:noProof/>
                <w:webHidden/>
              </w:rPr>
              <w:t>16</w:t>
            </w:r>
            <w:r w:rsidR="00F56298">
              <w:rPr>
                <w:noProof/>
                <w:webHidden/>
              </w:rPr>
              <w:fldChar w:fldCharType="end"/>
            </w:r>
          </w:hyperlink>
        </w:p>
        <w:p w14:paraId="35A803AC" w14:textId="770C2F64" w:rsidR="00F56298" w:rsidRDefault="005A473B">
          <w:pPr>
            <w:pStyle w:val="TOC2"/>
            <w:tabs>
              <w:tab w:val="right" w:leader="dot" w:pos="9350"/>
            </w:tabs>
            <w:rPr>
              <w:rFonts w:eastAsiaTheme="minorEastAsia"/>
              <w:noProof/>
            </w:rPr>
          </w:pPr>
          <w:hyperlink w:anchor="_Toc52181190" w:history="1">
            <w:r w:rsidR="00F56298" w:rsidRPr="00BA5075">
              <w:rPr>
                <w:rStyle w:val="Hyperlink"/>
                <w:noProof/>
              </w:rPr>
              <w:t>Appendix B. Federal Government Data Maturity Model</w:t>
            </w:r>
            <w:r w:rsidR="00F56298">
              <w:rPr>
                <w:noProof/>
                <w:webHidden/>
              </w:rPr>
              <w:tab/>
            </w:r>
            <w:r w:rsidR="00F56298">
              <w:rPr>
                <w:noProof/>
                <w:webHidden/>
              </w:rPr>
              <w:fldChar w:fldCharType="begin"/>
            </w:r>
            <w:r w:rsidR="00F56298">
              <w:rPr>
                <w:noProof/>
                <w:webHidden/>
              </w:rPr>
              <w:instrText xml:space="preserve"> PAGEREF _Toc52181190 \h </w:instrText>
            </w:r>
            <w:r w:rsidR="00F56298">
              <w:rPr>
                <w:noProof/>
                <w:webHidden/>
              </w:rPr>
            </w:r>
            <w:r w:rsidR="00F56298">
              <w:rPr>
                <w:noProof/>
                <w:webHidden/>
              </w:rPr>
              <w:fldChar w:fldCharType="separate"/>
            </w:r>
            <w:r w:rsidR="00CE2FA7">
              <w:rPr>
                <w:noProof/>
                <w:webHidden/>
              </w:rPr>
              <w:t>18</w:t>
            </w:r>
            <w:r w:rsidR="00F56298">
              <w:rPr>
                <w:noProof/>
                <w:webHidden/>
              </w:rPr>
              <w:fldChar w:fldCharType="end"/>
            </w:r>
          </w:hyperlink>
        </w:p>
        <w:p w14:paraId="09A19FCD" w14:textId="22625877" w:rsidR="00F56298" w:rsidRDefault="005A473B">
          <w:pPr>
            <w:pStyle w:val="TOC2"/>
            <w:tabs>
              <w:tab w:val="right" w:leader="dot" w:pos="9350"/>
            </w:tabs>
            <w:rPr>
              <w:rFonts w:eastAsiaTheme="minorEastAsia"/>
              <w:noProof/>
            </w:rPr>
          </w:pPr>
          <w:hyperlink w:anchor="_Toc52181191" w:history="1">
            <w:r w:rsidR="00F56298" w:rsidRPr="00BA5075">
              <w:rPr>
                <w:rStyle w:val="Hyperlink"/>
                <w:noProof/>
              </w:rPr>
              <w:t>Appendix C. Application of the Federal Government Data Maturity Model to ACL</w:t>
            </w:r>
            <w:r w:rsidR="00F56298">
              <w:rPr>
                <w:noProof/>
                <w:webHidden/>
              </w:rPr>
              <w:tab/>
            </w:r>
            <w:r w:rsidR="00F56298">
              <w:rPr>
                <w:noProof/>
                <w:webHidden/>
              </w:rPr>
              <w:fldChar w:fldCharType="begin"/>
            </w:r>
            <w:r w:rsidR="00F56298">
              <w:rPr>
                <w:noProof/>
                <w:webHidden/>
              </w:rPr>
              <w:instrText xml:space="preserve"> PAGEREF _Toc52181191 \h </w:instrText>
            </w:r>
            <w:r w:rsidR="00F56298">
              <w:rPr>
                <w:noProof/>
                <w:webHidden/>
              </w:rPr>
            </w:r>
            <w:r w:rsidR="00F56298">
              <w:rPr>
                <w:noProof/>
                <w:webHidden/>
              </w:rPr>
              <w:fldChar w:fldCharType="separate"/>
            </w:r>
            <w:r w:rsidR="00CE2FA7">
              <w:rPr>
                <w:noProof/>
                <w:webHidden/>
              </w:rPr>
              <w:t>19</w:t>
            </w:r>
            <w:r w:rsidR="00F56298">
              <w:rPr>
                <w:noProof/>
                <w:webHidden/>
              </w:rPr>
              <w:fldChar w:fldCharType="end"/>
            </w:r>
          </w:hyperlink>
        </w:p>
        <w:p w14:paraId="132D5FBC" w14:textId="187C256F" w:rsidR="008A740A" w:rsidRDefault="005D2449">
          <w:r>
            <w:fldChar w:fldCharType="end"/>
          </w:r>
        </w:p>
      </w:sdtContent>
    </w:sdt>
    <w:p w14:paraId="284E71A5" w14:textId="77777777" w:rsidR="008A740A" w:rsidRDefault="008A740A" w:rsidP="008A740A">
      <w:pPr>
        <w:sectPr w:rsidR="008A740A" w:rsidSect="008A740A">
          <w:footerReference w:type="default" r:id="rId11"/>
          <w:endnotePr>
            <w:numFmt w:val="decimal"/>
          </w:endnotePr>
          <w:pgSz w:w="12240" w:h="15840"/>
          <w:pgMar w:top="1440" w:right="1440" w:bottom="1440" w:left="1440" w:header="720" w:footer="720" w:gutter="0"/>
          <w:pgNumType w:fmt="lowerRoman" w:start="1"/>
          <w:cols w:space="720"/>
          <w:titlePg/>
          <w:docGrid w:linePitch="360"/>
        </w:sectPr>
      </w:pPr>
    </w:p>
    <w:p w14:paraId="18F17E68" w14:textId="5D6C9592" w:rsidR="000F2B34" w:rsidRDefault="000F2B34" w:rsidP="00F17535">
      <w:pPr>
        <w:pStyle w:val="Heading2"/>
        <w:spacing w:after="160"/>
      </w:pPr>
      <w:bookmarkStart w:id="12" w:name="_Toc52181165"/>
      <w:r>
        <w:lastRenderedPageBreak/>
        <w:t>Intr</w:t>
      </w:r>
      <w:r w:rsidRPr="008A740A">
        <w:rPr>
          <w:color w:val="2F5496"/>
        </w:rPr>
        <w:t>oduct</w:t>
      </w:r>
      <w:r>
        <w:t>ion</w:t>
      </w:r>
      <w:bookmarkEnd w:id="12"/>
    </w:p>
    <w:p w14:paraId="101754B4" w14:textId="2AD58756" w:rsidR="000F2B34" w:rsidRDefault="007C36B9" w:rsidP="00F17535">
      <w:pPr>
        <w:pStyle w:val="Heading3"/>
        <w:spacing w:before="0"/>
      </w:pPr>
      <w:bookmarkStart w:id="13" w:name="_Toc52181166"/>
      <w:r>
        <w:t>What is the ACL Data Governance Primer?</w:t>
      </w:r>
      <w:bookmarkEnd w:id="13"/>
    </w:p>
    <w:p w14:paraId="08884DA2" w14:textId="5B833D1E" w:rsidR="00B7157F" w:rsidRDefault="00BD4C0E" w:rsidP="001F0FCC">
      <w:pPr>
        <w:spacing w:after="240"/>
      </w:pPr>
      <w:r>
        <w:t xml:space="preserve">This ACL Data Governance Primer (hereinafter “Primer”) </w:t>
      </w:r>
      <w:r w:rsidR="00F26F3C">
        <w:t xml:space="preserve">is </w:t>
      </w:r>
      <w:r>
        <w:t xml:space="preserve">a </w:t>
      </w:r>
      <w:r w:rsidR="007C36B9">
        <w:t xml:space="preserve">practical tool to </w:t>
      </w:r>
      <w:r w:rsidR="009B270A">
        <w:t>guide ACL’s data policies, standards, and practices. It is designed to strengthen</w:t>
      </w:r>
      <w:r w:rsidR="007C36B9">
        <w:t xml:space="preserve"> ACL’s data management and </w:t>
      </w:r>
      <w:r w:rsidR="009B270A">
        <w:t>to help ensure that the</w:t>
      </w:r>
      <w:r w:rsidR="007C36B9">
        <w:t xml:space="preserve"> </w:t>
      </w:r>
      <w:r w:rsidR="007C36B9" w:rsidRPr="007C36B9">
        <w:t>data ACL collects through its evaluation, grant reporting, and administrative performance measures</w:t>
      </w:r>
      <w:r w:rsidR="007C36B9">
        <w:t xml:space="preserve"> </w:t>
      </w:r>
      <w:r w:rsidR="00C634DD">
        <w:t xml:space="preserve">are </w:t>
      </w:r>
      <w:r w:rsidR="007C36B9">
        <w:t>available, usable, consistent, and secure.</w:t>
      </w:r>
    </w:p>
    <w:p w14:paraId="762E8DBC" w14:textId="6DCA78B7" w:rsidR="00BD4C0E" w:rsidRDefault="007C36B9" w:rsidP="00F17535">
      <w:pPr>
        <w:pStyle w:val="Heading3"/>
        <w:spacing w:before="0"/>
      </w:pPr>
      <w:bookmarkStart w:id="14" w:name="_Toc52181167"/>
      <w:r>
        <w:t>Who Should Use It?</w:t>
      </w:r>
      <w:bookmarkEnd w:id="14"/>
    </w:p>
    <w:p w14:paraId="5199829A" w14:textId="0EC11095" w:rsidR="00951DE8" w:rsidRPr="00BD4C0E" w:rsidRDefault="00F26F3C" w:rsidP="00951DE8">
      <w:pPr>
        <w:spacing w:after="0"/>
      </w:pPr>
      <w:r w:rsidRPr="00F26F3C">
        <w:t>All ACL staff can benefit from the Primer. Grant Officers are both data curators receiving important information from grantees and ensuring its accuracy as well as consumers who use the data received to draft funding opportunity announcements (FAOs). Mangers and leadership use data to define and implement policy</w:t>
      </w:r>
      <w:r w:rsidR="00F17535">
        <w:t>.</w:t>
      </w:r>
    </w:p>
    <w:p w14:paraId="11C8B407" w14:textId="0BF5093B" w:rsidR="00BD4C0E" w:rsidRDefault="007C36B9" w:rsidP="00F17535">
      <w:pPr>
        <w:pStyle w:val="Heading3"/>
        <w:spacing w:before="240"/>
      </w:pPr>
      <w:bookmarkStart w:id="15" w:name="_Toc52181168"/>
      <w:r>
        <w:t>How Should It Be Used?</w:t>
      </w:r>
      <w:bookmarkEnd w:id="15"/>
    </w:p>
    <w:p w14:paraId="6FEB61EE" w14:textId="264B41D2" w:rsidR="000716B4" w:rsidRDefault="000716B4" w:rsidP="000716B4">
      <w:r>
        <w:t xml:space="preserve">The Primer </w:t>
      </w:r>
      <w:r w:rsidR="00C634DD">
        <w:t xml:space="preserve">should be used </w:t>
      </w:r>
      <w:r w:rsidR="00F60620">
        <w:t>as</w:t>
      </w:r>
    </w:p>
    <w:p w14:paraId="5DBEA14D" w14:textId="29A4C21E" w:rsidR="00C634DD" w:rsidRDefault="004E62E2" w:rsidP="000A0327">
      <w:pPr>
        <w:pStyle w:val="ListParagraph"/>
        <w:numPr>
          <w:ilvl w:val="0"/>
          <w:numId w:val="5"/>
        </w:numPr>
        <w:spacing w:after="120"/>
        <w:contextualSpacing w:val="0"/>
      </w:pPr>
      <w:r>
        <w:t>a l</w:t>
      </w:r>
      <w:r w:rsidR="00C634DD">
        <w:t>earning tool to</w:t>
      </w:r>
      <w:r w:rsidR="000A0327">
        <w:t xml:space="preserve"> become familiar with key federal data standards and to</w:t>
      </w:r>
      <w:r w:rsidR="00C634DD">
        <w:t xml:space="preserve"> understand ACL’s approach to data governance</w:t>
      </w:r>
      <w:r>
        <w:t>,</w:t>
      </w:r>
      <w:r w:rsidR="00C634DD">
        <w:t xml:space="preserve"> </w:t>
      </w:r>
    </w:p>
    <w:p w14:paraId="18FD11E4" w14:textId="30B7AF86" w:rsidR="00C634DD" w:rsidRDefault="004E62E2" w:rsidP="000A0327">
      <w:pPr>
        <w:pStyle w:val="ListParagraph"/>
        <w:numPr>
          <w:ilvl w:val="0"/>
          <w:numId w:val="5"/>
        </w:numPr>
        <w:spacing w:after="120"/>
        <w:contextualSpacing w:val="0"/>
      </w:pPr>
      <w:r>
        <w:t xml:space="preserve">a </w:t>
      </w:r>
      <w:r w:rsidR="007D5675">
        <w:t>framework t</w:t>
      </w:r>
      <w:r w:rsidR="00C634DD">
        <w:t>o guide what</w:t>
      </w:r>
      <w:r w:rsidR="006E3225">
        <w:t xml:space="preserve"> ACL</w:t>
      </w:r>
      <w:r w:rsidR="00C634DD">
        <w:t xml:space="preserve"> programs do, by building data governance into program planning and design</w:t>
      </w:r>
      <w:r>
        <w:t>, and</w:t>
      </w:r>
    </w:p>
    <w:p w14:paraId="7A8048E3" w14:textId="1AA6343A" w:rsidR="003972E5" w:rsidRDefault="004E62E2" w:rsidP="00F17535">
      <w:pPr>
        <w:pStyle w:val="ListParagraph"/>
        <w:numPr>
          <w:ilvl w:val="0"/>
          <w:numId w:val="5"/>
        </w:numPr>
        <w:spacing w:after="240"/>
      </w:pPr>
      <w:r>
        <w:t xml:space="preserve">a </w:t>
      </w:r>
      <w:r w:rsidR="007D5675">
        <w:t>practical tool to help</w:t>
      </w:r>
      <w:r w:rsidR="00C634DD">
        <w:t xml:space="preserve"> ACL Centers </w:t>
      </w:r>
      <w:r w:rsidR="00B7157F" w:rsidRPr="009B270A">
        <w:t xml:space="preserve">determine where they are and where they want to be in terms of </w:t>
      </w:r>
      <w:r w:rsidR="00F26F3C">
        <w:t>implementing good data policy and procedures</w:t>
      </w:r>
      <w:r w:rsidR="000716B4">
        <w:t>.</w:t>
      </w:r>
    </w:p>
    <w:p w14:paraId="64974098" w14:textId="2E37BE04" w:rsidR="003972E5" w:rsidRDefault="00641EE8" w:rsidP="00F17535">
      <w:pPr>
        <w:pStyle w:val="Heading3"/>
        <w:spacing w:before="0"/>
      </w:pPr>
      <w:bookmarkStart w:id="16" w:name="_Toc52181169"/>
      <w:r>
        <w:t>How Was the Primer Developed?</w:t>
      </w:r>
      <w:bookmarkEnd w:id="16"/>
    </w:p>
    <w:p w14:paraId="30FCE812" w14:textId="4C19A42E" w:rsidR="00845FAB" w:rsidRDefault="003972E5" w:rsidP="00F60620">
      <w:pPr>
        <w:spacing w:after="120"/>
      </w:pPr>
      <w:r>
        <w:t xml:space="preserve">The Primer was developed by </w:t>
      </w:r>
      <w:r w:rsidR="004E62E2">
        <w:t xml:space="preserve">the Data Governance Standards Working Group of </w:t>
      </w:r>
      <w:r w:rsidR="00845FAB">
        <w:t>the</w:t>
      </w:r>
      <w:r>
        <w:t xml:space="preserve"> ACL Data Council</w:t>
      </w:r>
      <w:r w:rsidR="00845FAB">
        <w:t>. The content is based on</w:t>
      </w:r>
      <w:r w:rsidR="00845FAB" w:rsidRPr="00C1769B">
        <w:t xml:space="preserve"> </w:t>
      </w:r>
      <w:r w:rsidR="00845FAB">
        <w:t>current</w:t>
      </w:r>
      <w:r w:rsidR="00845FAB" w:rsidRPr="00C1769B">
        <w:t xml:space="preserve"> data governance frameworks, models, and guidance</w:t>
      </w:r>
      <w:r w:rsidR="00845FAB">
        <w:t xml:space="preserve"> (resources) that apply to ACL and its programs. These resources inform what ACL is required to do and what ACL staff must </w:t>
      </w:r>
      <w:r w:rsidR="003F3397">
        <w:t>consider</w:t>
      </w:r>
      <w:r w:rsidR="00845FAB">
        <w:t xml:space="preserve"> when making decisions about data policies, practices, and standards.</w:t>
      </w:r>
      <w:r w:rsidR="00441B2F">
        <w:t xml:space="preserve"> For a list of the resources and details about how they apply to ACL</w:t>
      </w:r>
      <w:r w:rsidR="004E62E2">
        <w:t>,</w:t>
      </w:r>
      <w:r w:rsidR="00441B2F">
        <w:t xml:space="preserve"> see </w:t>
      </w:r>
      <w:r w:rsidR="007B3C24">
        <w:t xml:space="preserve">this </w:t>
      </w:r>
      <w:hyperlink r:id="rId12" w:history="1">
        <w:r w:rsidR="007B3C24" w:rsidRPr="007B3C24">
          <w:rPr>
            <w:rStyle w:val="Hyperlink"/>
          </w:rPr>
          <w:t>annotated bibliography</w:t>
        </w:r>
      </w:hyperlink>
      <w:r w:rsidR="007B3C24">
        <w:t xml:space="preserve">. </w:t>
      </w:r>
    </w:p>
    <w:p w14:paraId="31B36518" w14:textId="72AABD2E" w:rsidR="003972E5" w:rsidRDefault="00F60620" w:rsidP="001F0FCC">
      <w:pPr>
        <w:spacing w:after="0"/>
      </w:pPr>
      <w:r>
        <w:t xml:space="preserve">The content of the Primer should not be considered static. Rather, data governance is an ongoing iterative process that </w:t>
      </w:r>
      <w:r w:rsidR="003F3397">
        <w:t>must</w:t>
      </w:r>
      <w:r>
        <w:t xml:space="preserve"> be responsive to current federal guidance as</w:t>
      </w:r>
      <w:r w:rsidR="00B3246C">
        <w:t xml:space="preserve"> well as</w:t>
      </w:r>
      <w:r>
        <w:t xml:space="preserve"> ACL’s data </w:t>
      </w:r>
      <w:r w:rsidR="004E62E2">
        <w:t xml:space="preserve">needs </w:t>
      </w:r>
      <w:r>
        <w:t>and related infrastructure needs.</w:t>
      </w:r>
      <w:r w:rsidR="001B5EDF">
        <w:t xml:space="preserve"> </w:t>
      </w:r>
    </w:p>
    <w:p w14:paraId="7297D3FF" w14:textId="34FEE1FE" w:rsidR="000F2B34" w:rsidRDefault="00BD4C0E" w:rsidP="001F0FCC">
      <w:pPr>
        <w:pStyle w:val="Heading2"/>
        <w:spacing w:before="240" w:after="160"/>
      </w:pPr>
      <w:bookmarkStart w:id="17" w:name="_Toc52181170"/>
      <w:r>
        <w:t>Background</w:t>
      </w:r>
      <w:bookmarkEnd w:id="17"/>
    </w:p>
    <w:p w14:paraId="31308FA9" w14:textId="1D9A2221" w:rsidR="00BD4C0E" w:rsidRDefault="00BD4C0E" w:rsidP="00F17535">
      <w:pPr>
        <w:pStyle w:val="Heading3"/>
        <w:spacing w:before="0"/>
      </w:pPr>
      <w:bookmarkStart w:id="18" w:name="_Toc52181171"/>
      <w:r>
        <w:t>What is Data Governance</w:t>
      </w:r>
      <w:r w:rsidR="00641EE8">
        <w:t>?</w:t>
      </w:r>
      <w:bookmarkEnd w:id="18"/>
    </w:p>
    <w:p w14:paraId="3D1C0CF4" w14:textId="2EC83B2B" w:rsidR="00BF4E1E" w:rsidRPr="00BF4E1E" w:rsidRDefault="00BF4E1E" w:rsidP="00B41818">
      <w:r>
        <w:t>According to the Office of Management and Budget (OMB):</w:t>
      </w:r>
    </w:p>
    <w:p w14:paraId="33AF2F85" w14:textId="1F98A77B" w:rsidR="00BD4C0E" w:rsidRPr="00FD1A9F" w:rsidRDefault="005A473B" w:rsidP="00F17535">
      <w:pPr>
        <w:spacing w:after="240"/>
        <w:ind w:left="720"/>
        <w:rPr>
          <w:vertAlign w:val="superscript"/>
        </w:rPr>
      </w:pPr>
      <w:hyperlink w:anchor="DataGovernance" w:history="1">
        <w:r w:rsidR="00BD4C0E" w:rsidRPr="00FD1A9F">
          <w:rPr>
            <w:rStyle w:val="Hyperlink"/>
          </w:rPr>
          <w:t>Data governance</w:t>
        </w:r>
      </w:hyperlink>
      <w:r w:rsidR="00BD4C0E">
        <w:t xml:space="preserve"> is the process of setting and enforcing priorities for managing and using data as</w:t>
      </w:r>
      <w:r w:rsidR="004E62E2">
        <w:t xml:space="preserve"> </w:t>
      </w:r>
      <w:r w:rsidR="00BD4C0E">
        <w:t>a strategic asset. A Data Governance Body with authority and oversight over the management of agency</w:t>
      </w:r>
      <w:r w:rsidR="004E62E2">
        <w:t xml:space="preserve"> </w:t>
      </w:r>
      <w:r w:rsidR="00BD4C0E">
        <w:t xml:space="preserve">data assets is a key piece of data infrastructure. These bodies are commonly called by </w:t>
      </w:r>
      <w:r w:rsidR="00BD4C0E">
        <w:lastRenderedPageBreak/>
        <w:t>such names as</w:t>
      </w:r>
      <w:r w:rsidR="004E62E2">
        <w:t xml:space="preserve"> </w:t>
      </w:r>
      <w:r w:rsidR="00BD4C0E">
        <w:t>Data Governance Boards, Data Councils, or Data Strategy Teams. The Data Governance Body establishes</w:t>
      </w:r>
      <w:r w:rsidR="004E62E2">
        <w:t xml:space="preserve"> </w:t>
      </w:r>
      <w:r w:rsidR="00BD4C0E">
        <w:t>policy, procedures, and roles for developing, overseeing, and</w:t>
      </w:r>
      <w:r w:rsidR="004E62E2">
        <w:t xml:space="preserve"> </w:t>
      </w:r>
      <w:r w:rsidR="00BD4C0E">
        <w:t>coordinating data management policy and</w:t>
      </w:r>
      <w:r w:rsidR="00BF4E1E">
        <w:t xml:space="preserve"> </w:t>
      </w:r>
      <w:r w:rsidR="00BD4C0E">
        <w:t>helps prioritize data resource allocations to answer</w:t>
      </w:r>
      <w:r w:rsidR="004E62E2">
        <w:t xml:space="preserve"> </w:t>
      </w:r>
      <w:r w:rsidR="00BD4C0E">
        <w:t>agency key questions and meet stakeholder needs.</w:t>
      </w:r>
      <w:r w:rsidR="005C037F">
        <w:rPr>
          <w:rStyle w:val="EndnoteReference"/>
        </w:rPr>
        <w:endnoteReference w:id="1"/>
      </w:r>
    </w:p>
    <w:p w14:paraId="36AE3C93" w14:textId="01579BB5" w:rsidR="00D650A8" w:rsidRDefault="002D73E8" w:rsidP="002D73E8">
      <w:pPr>
        <w:pStyle w:val="Heading3"/>
      </w:pPr>
      <w:bookmarkStart w:id="19" w:name="_Toc52181172"/>
      <w:r>
        <w:t>What Is the Difference Between Data Governance, Data Management</w:t>
      </w:r>
      <w:r w:rsidR="00641EE8">
        <w:t>, and Data Stewardship</w:t>
      </w:r>
      <w:r>
        <w:t>?</w:t>
      </w:r>
      <w:bookmarkEnd w:id="19"/>
      <w:r w:rsidR="00D650A8">
        <w:t xml:space="preserve"> </w:t>
      </w:r>
    </w:p>
    <w:p w14:paraId="221BEAFE" w14:textId="68DBD795" w:rsidR="00BF4E1E" w:rsidRPr="00B41818" w:rsidRDefault="002D73E8" w:rsidP="00B41818">
      <w:pPr>
        <w:rPr>
          <w:rFonts w:cstheme="minorHAnsi"/>
          <w:shd w:val="clear" w:color="auto" w:fill="FFFFFF"/>
        </w:rPr>
      </w:pPr>
      <w:r w:rsidRPr="008864B8">
        <w:rPr>
          <w:rFonts w:cstheme="minorHAnsi"/>
          <w:shd w:val="clear" w:color="auto" w:fill="FFFFFF"/>
        </w:rPr>
        <w:t xml:space="preserve">Whereas </w:t>
      </w:r>
      <w:hyperlink w:anchor="DataGovernance" w:history="1">
        <w:r w:rsidRPr="00FD1A9F">
          <w:rPr>
            <w:rStyle w:val="Hyperlink"/>
            <w:rFonts w:cstheme="minorHAnsi"/>
            <w:b/>
            <w:bCs/>
            <w:shd w:val="clear" w:color="auto" w:fill="FFFFFF"/>
          </w:rPr>
          <w:t xml:space="preserve">data </w:t>
        </w:r>
        <w:bookmarkStart w:id="20" w:name="_Hlk47546438"/>
        <w:r w:rsidRPr="00FD1A9F">
          <w:rPr>
            <w:rStyle w:val="Hyperlink"/>
            <w:rFonts w:cstheme="minorHAnsi"/>
            <w:b/>
            <w:bCs/>
            <w:shd w:val="clear" w:color="auto" w:fill="FFFFFF"/>
          </w:rPr>
          <w:t>governance</w:t>
        </w:r>
      </w:hyperlink>
      <w:r w:rsidRPr="00C7219C">
        <w:rPr>
          <w:rFonts w:cstheme="minorHAnsi"/>
          <w:b/>
          <w:bCs/>
          <w:shd w:val="clear" w:color="auto" w:fill="FFFFFF"/>
        </w:rPr>
        <w:t xml:space="preserve"> is</w:t>
      </w:r>
      <w:r w:rsidR="00EB094A" w:rsidRPr="00C7219C">
        <w:rPr>
          <w:rFonts w:cstheme="minorHAnsi"/>
          <w:b/>
          <w:bCs/>
          <w:shd w:val="clear" w:color="auto" w:fill="FFFFFF"/>
        </w:rPr>
        <w:t xml:space="preserve"> </w:t>
      </w:r>
      <w:r w:rsidR="006A4756" w:rsidRPr="00C7219C">
        <w:rPr>
          <w:rFonts w:cstheme="minorHAnsi"/>
          <w:b/>
          <w:bCs/>
          <w:shd w:val="clear" w:color="auto" w:fill="FFFFFF"/>
        </w:rPr>
        <w:t>the “strategy of data”</w:t>
      </w:r>
      <w:r w:rsidR="006A4756">
        <w:rPr>
          <w:rFonts w:cstheme="minorHAnsi"/>
          <w:shd w:val="clear" w:color="auto" w:fill="FFFFFF"/>
        </w:rPr>
        <w:t xml:space="preserve"> –</w:t>
      </w:r>
      <w:r w:rsidR="001C5802">
        <w:rPr>
          <w:rFonts w:cstheme="minorHAnsi"/>
          <w:shd w:val="clear" w:color="auto" w:fill="FFFFFF"/>
        </w:rPr>
        <w:t xml:space="preserve"> meaning</w:t>
      </w:r>
      <w:r w:rsidR="006A4756">
        <w:rPr>
          <w:rFonts w:cstheme="minorHAnsi"/>
          <w:shd w:val="clear" w:color="auto" w:fill="FFFFFF"/>
        </w:rPr>
        <w:t xml:space="preserve"> </w:t>
      </w:r>
      <w:r w:rsidR="00B3246C">
        <w:rPr>
          <w:rFonts w:cstheme="minorHAnsi"/>
          <w:shd w:val="clear" w:color="auto" w:fill="FFFFFF"/>
        </w:rPr>
        <w:t>the policies, procedures, and rules that govern the data</w:t>
      </w:r>
      <w:bookmarkEnd w:id="20"/>
      <w:r w:rsidR="00BF4E1E">
        <w:rPr>
          <w:rFonts w:cstheme="minorHAnsi"/>
          <w:shd w:val="clear" w:color="auto" w:fill="FFFFFF"/>
        </w:rPr>
        <w:t>,</w:t>
      </w:r>
      <w:r w:rsidR="006A4756">
        <w:rPr>
          <w:rFonts w:cstheme="minorHAnsi"/>
          <w:shd w:val="clear" w:color="auto" w:fill="FFFFFF"/>
        </w:rPr>
        <w:t xml:space="preserve"> – </w:t>
      </w:r>
      <w:hyperlink w:anchor="DataManagement" w:history="1">
        <w:r w:rsidRPr="00FD1A9F">
          <w:rPr>
            <w:rStyle w:val="Hyperlink"/>
            <w:rFonts w:cstheme="minorHAnsi"/>
            <w:b/>
            <w:bCs/>
            <w:shd w:val="clear" w:color="auto" w:fill="FFFFFF"/>
          </w:rPr>
          <w:t>data management</w:t>
        </w:r>
      </w:hyperlink>
      <w:r w:rsidRPr="00C7219C">
        <w:rPr>
          <w:rFonts w:cstheme="minorHAnsi"/>
          <w:b/>
          <w:bCs/>
          <w:shd w:val="clear" w:color="auto" w:fill="FFFFFF"/>
        </w:rPr>
        <w:t xml:space="preserve"> </w:t>
      </w:r>
      <w:r w:rsidR="00EB094A" w:rsidRPr="00C7219C">
        <w:rPr>
          <w:rFonts w:cstheme="minorHAnsi"/>
          <w:b/>
          <w:bCs/>
          <w:shd w:val="clear" w:color="auto" w:fill="FFFFFF"/>
        </w:rPr>
        <w:t>is</w:t>
      </w:r>
      <w:r w:rsidRPr="00C7219C">
        <w:rPr>
          <w:rFonts w:cstheme="minorHAnsi"/>
          <w:b/>
          <w:bCs/>
          <w:shd w:val="clear" w:color="auto" w:fill="FFFFFF"/>
        </w:rPr>
        <w:t xml:space="preserve"> </w:t>
      </w:r>
      <w:r w:rsidR="00C7219C" w:rsidRPr="00C7219C">
        <w:rPr>
          <w:rFonts w:cstheme="minorHAnsi"/>
          <w:b/>
          <w:bCs/>
          <w:shd w:val="clear" w:color="auto" w:fill="FFFFFF"/>
        </w:rPr>
        <w:t>the “logistics of data</w:t>
      </w:r>
      <w:r w:rsidRPr="00C7219C">
        <w:rPr>
          <w:rFonts w:cstheme="minorHAnsi"/>
          <w:b/>
          <w:bCs/>
          <w:shd w:val="clear" w:color="auto" w:fill="FFFFFF"/>
        </w:rPr>
        <w:t>"</w:t>
      </w:r>
      <w:r w:rsidR="00C7219C">
        <w:rPr>
          <w:rFonts w:cstheme="minorHAnsi"/>
          <w:shd w:val="clear" w:color="auto" w:fill="FFFFFF"/>
        </w:rPr>
        <w:t xml:space="preserve"> – meaning the </w:t>
      </w:r>
      <w:r w:rsidRPr="008864B8">
        <w:rPr>
          <w:rFonts w:cstheme="minorHAnsi"/>
          <w:shd w:val="clear" w:color="auto" w:fill="FFFFFF"/>
        </w:rPr>
        <w:t>processes used to plan, specify, enable, create, acquire, maintain, use, archive, retrieve, control, and purge data.</w:t>
      </w:r>
      <w:r w:rsidR="006A4756" w:rsidRPr="006A4756">
        <w:t xml:space="preserve"> </w:t>
      </w:r>
      <w:r w:rsidR="006A4756">
        <w:t xml:space="preserve">Data management </w:t>
      </w:r>
      <w:r w:rsidR="006A4756" w:rsidRPr="006A4756">
        <w:rPr>
          <w:rFonts w:cstheme="minorHAnsi"/>
          <w:shd w:val="clear" w:color="auto" w:fill="FFFFFF"/>
        </w:rPr>
        <w:t xml:space="preserve">encompasses the entire </w:t>
      </w:r>
      <w:hyperlink w:anchor="DataLifecycle" w:history="1">
        <w:r w:rsidR="006A4756" w:rsidRPr="00A76ADE">
          <w:rPr>
            <w:rStyle w:val="Hyperlink"/>
            <w:rFonts w:cstheme="minorHAnsi"/>
            <w:shd w:val="clear" w:color="auto" w:fill="FFFFFF"/>
          </w:rPr>
          <w:t>lifecycle</w:t>
        </w:r>
      </w:hyperlink>
      <w:r w:rsidR="006A4756" w:rsidRPr="006A4756">
        <w:rPr>
          <w:rFonts w:cstheme="minorHAnsi"/>
          <w:shd w:val="clear" w:color="auto" w:fill="FFFFFF"/>
        </w:rPr>
        <w:t xml:space="preserve"> of a </w:t>
      </w:r>
      <w:hyperlink w:anchor="DataAsset" w:history="1">
        <w:r w:rsidR="006A4756" w:rsidRPr="00A76ADE">
          <w:rPr>
            <w:rStyle w:val="Hyperlink"/>
            <w:rFonts w:cstheme="minorHAnsi"/>
            <w:shd w:val="clear" w:color="auto" w:fill="FFFFFF"/>
          </w:rPr>
          <w:t>data asset</w:t>
        </w:r>
      </w:hyperlink>
      <w:r w:rsidR="006A4756" w:rsidRPr="006A4756">
        <w:rPr>
          <w:rFonts w:cstheme="minorHAnsi"/>
          <w:shd w:val="clear" w:color="auto" w:fill="FFFFFF"/>
        </w:rPr>
        <w:t>, from the very initial creation of the data to the final retirement of the data</w:t>
      </w:r>
      <w:r w:rsidR="001C5802">
        <w:rPr>
          <w:rFonts w:cstheme="minorHAnsi"/>
          <w:shd w:val="clear" w:color="auto" w:fill="FFFFFF"/>
        </w:rPr>
        <w:t>.</w:t>
      </w:r>
      <w:r w:rsidR="00B3246C">
        <w:rPr>
          <w:rFonts w:cstheme="minorHAnsi"/>
          <w:shd w:val="clear" w:color="auto" w:fill="FFFFFF"/>
        </w:rPr>
        <w:t xml:space="preserve"> </w:t>
      </w:r>
      <w:hyperlink w:anchor="DataStewardship" w:history="1">
        <w:r w:rsidR="00B3246C" w:rsidRPr="00FD1A9F">
          <w:rPr>
            <w:rStyle w:val="Hyperlink"/>
            <w:rFonts w:cstheme="minorHAnsi"/>
            <w:b/>
            <w:bCs/>
            <w:shd w:val="clear" w:color="auto" w:fill="FFFFFF"/>
          </w:rPr>
          <w:t>Data stewardship</w:t>
        </w:r>
      </w:hyperlink>
      <w:r w:rsidR="00B3246C">
        <w:rPr>
          <w:rFonts w:cstheme="minorHAnsi"/>
          <w:shd w:val="clear" w:color="auto" w:fill="FFFFFF"/>
        </w:rPr>
        <w:t xml:space="preserve"> is the</w:t>
      </w:r>
      <w:r w:rsidR="00641EE8">
        <w:rPr>
          <w:rFonts w:cstheme="minorHAnsi"/>
          <w:shd w:val="clear" w:color="auto" w:fill="FFFFFF"/>
        </w:rPr>
        <w:t xml:space="preserve"> actual</w:t>
      </w:r>
      <w:r w:rsidR="00B3246C">
        <w:rPr>
          <w:rFonts w:cstheme="minorHAnsi"/>
          <w:shd w:val="clear" w:color="auto" w:fill="FFFFFF"/>
        </w:rPr>
        <w:t xml:space="preserve"> implementation of the policies, procedures, and rules </w:t>
      </w:r>
      <w:r w:rsidR="00641EE8">
        <w:rPr>
          <w:rFonts w:cstheme="minorHAnsi"/>
          <w:shd w:val="clear" w:color="auto" w:fill="FFFFFF"/>
        </w:rPr>
        <w:t>that govern the data.</w:t>
      </w:r>
      <w:r w:rsidR="00641EE8" w:rsidRPr="00641EE8">
        <w:t xml:space="preserve"> </w:t>
      </w:r>
    </w:p>
    <w:p w14:paraId="19C48470" w14:textId="0367C727" w:rsidR="00BF4E1E" w:rsidRDefault="00641EE8" w:rsidP="00B41818">
      <w:pPr>
        <w:ind w:left="720"/>
        <w:rPr>
          <w:rFonts w:cstheme="minorHAnsi"/>
          <w:shd w:val="clear" w:color="auto" w:fill="FFFFFF"/>
        </w:rPr>
      </w:pPr>
      <w:r w:rsidRPr="00641EE8">
        <w:rPr>
          <w:rFonts w:cstheme="minorHAnsi"/>
          <w:shd w:val="clear" w:color="auto" w:fill="FFFFFF"/>
        </w:rPr>
        <w:t>Data stewardship can be thought of as a collection of data management methods covering acquisition, storage, aggregation, and deidentification, and procedures for data release and use. The concept of a data steward is intended to convey a fiduciary (or trust) relationship with data that turns on a data manager whose loyalty is to the interests of individuals and entities whose data are stored in and managed by the system.</w:t>
      </w:r>
      <w:r w:rsidR="005C037F">
        <w:rPr>
          <w:rStyle w:val="EndnoteReference"/>
          <w:rFonts w:cstheme="minorHAnsi"/>
          <w:shd w:val="clear" w:color="auto" w:fill="FFFFFF"/>
        </w:rPr>
        <w:endnoteReference w:id="2"/>
      </w:r>
    </w:p>
    <w:p w14:paraId="0B5464FA" w14:textId="1FA5DC67" w:rsidR="00171750" w:rsidRPr="00171750" w:rsidRDefault="00641EE8" w:rsidP="00F17535">
      <w:pPr>
        <w:spacing w:after="240"/>
        <w:rPr>
          <w:rFonts w:cstheme="minorHAnsi"/>
          <w:shd w:val="clear" w:color="auto" w:fill="FFFFFF"/>
        </w:rPr>
      </w:pPr>
      <w:r>
        <w:rPr>
          <w:rFonts w:cstheme="minorHAnsi"/>
          <w:shd w:val="clear" w:color="auto" w:fill="FFFFFF"/>
        </w:rPr>
        <w:t>Data governance is the strategy that enables stewardship.</w:t>
      </w:r>
    </w:p>
    <w:p w14:paraId="307DCD98" w14:textId="57173ECF" w:rsidR="00B3246C" w:rsidRDefault="00641EE8" w:rsidP="00641EE8">
      <w:pPr>
        <w:pStyle w:val="Heading3"/>
        <w:rPr>
          <w:shd w:val="clear" w:color="auto" w:fill="FFFFFF"/>
        </w:rPr>
      </w:pPr>
      <w:bookmarkStart w:id="21" w:name="_Toc52181173"/>
      <w:r>
        <w:rPr>
          <w:shd w:val="clear" w:color="auto" w:fill="FFFFFF"/>
        </w:rPr>
        <w:t>Why Does Data Governance Matter?</w:t>
      </w:r>
      <w:bookmarkEnd w:id="21"/>
    </w:p>
    <w:p w14:paraId="17281C29" w14:textId="77777777" w:rsidR="00996778" w:rsidRDefault="00996778" w:rsidP="00996778">
      <w:pPr>
        <w:ind w:left="360"/>
        <w:rPr>
          <w:rFonts w:cstheme="minorHAnsi"/>
        </w:rPr>
      </w:pPr>
      <w:r>
        <w:rPr>
          <w:noProof/>
        </w:rPr>
        <w:drawing>
          <wp:inline distT="0" distB="0" distL="0" distR="0" wp14:anchorId="7DFC4D08" wp14:editId="55C92741">
            <wp:extent cx="5071228" cy="3590925"/>
            <wp:effectExtent l="0" t="0" r="0" b="0"/>
            <wp:docPr id="7" name="Picture 7" descr="A federal data strategy for today's work environment: enterprise data governance includes access, use, and augmentation; decision-making and accountability; and commercialization, innovation, and public use. The four cross-cutting drivers of change are policy, people, process, and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federal data strategy for today's work environment: enterprise data governance includes access, use, and augmentation; decision-making and accountability; and commercialization, innovation, and public use. The four cross-cutting drivers of change are policy, people, process, and platform."/>
                    <pic:cNvPicPr/>
                  </pic:nvPicPr>
                  <pic:blipFill>
                    <a:blip r:embed="rId13"/>
                    <a:stretch>
                      <a:fillRect/>
                    </a:stretch>
                  </pic:blipFill>
                  <pic:spPr>
                    <a:xfrm>
                      <a:off x="0" y="0"/>
                      <a:ext cx="5121056" cy="3626208"/>
                    </a:xfrm>
                    <a:prstGeom prst="rect">
                      <a:avLst/>
                    </a:prstGeom>
                  </pic:spPr>
                </pic:pic>
              </a:graphicData>
            </a:graphic>
          </wp:inline>
        </w:drawing>
      </w:r>
    </w:p>
    <w:p w14:paraId="5D365C29" w14:textId="0CE0624F" w:rsidR="00D0314D" w:rsidRDefault="00D0314D" w:rsidP="00641EE8">
      <w:pPr>
        <w:rPr>
          <w:rFonts w:cstheme="minorHAnsi"/>
        </w:rPr>
      </w:pPr>
      <w:r>
        <w:rPr>
          <w:rFonts w:cstheme="minorHAnsi"/>
        </w:rPr>
        <w:lastRenderedPageBreak/>
        <w:t xml:space="preserve">With the generation of data comes the risk of poor data quality, duplicate data, and data breaches. A coordinated strategy for standardizing, collecting, storing, analyzing, sharing, and using data </w:t>
      </w:r>
      <w:r w:rsidR="00F26F3C">
        <w:rPr>
          <w:rFonts w:cstheme="minorHAnsi"/>
        </w:rPr>
        <w:t>helps</w:t>
      </w:r>
      <w:r>
        <w:rPr>
          <w:rFonts w:cstheme="minorHAnsi"/>
        </w:rPr>
        <w:t xml:space="preserve"> mitigate these risks.</w:t>
      </w:r>
    </w:p>
    <w:p w14:paraId="23858350" w14:textId="2757753D" w:rsidR="00C43B15" w:rsidRDefault="00EF73B1" w:rsidP="00641EE8">
      <w:pPr>
        <w:rPr>
          <w:rFonts w:cstheme="minorHAnsi"/>
        </w:rPr>
      </w:pPr>
      <w:r>
        <w:rPr>
          <w:rFonts w:cstheme="minorHAnsi"/>
        </w:rPr>
        <w:t>Thus, d</w:t>
      </w:r>
      <w:r w:rsidR="00757808">
        <w:rPr>
          <w:rFonts w:cstheme="minorHAnsi"/>
        </w:rPr>
        <w:t xml:space="preserve">ata </w:t>
      </w:r>
      <w:r w:rsidR="00C43B15">
        <w:rPr>
          <w:rFonts w:cstheme="minorHAnsi"/>
        </w:rPr>
        <w:t>g</w:t>
      </w:r>
      <w:r w:rsidR="00757808">
        <w:rPr>
          <w:rFonts w:cstheme="minorHAnsi"/>
        </w:rPr>
        <w:t xml:space="preserve">overnance </w:t>
      </w:r>
      <w:r w:rsidR="00757808" w:rsidRPr="00757808">
        <w:rPr>
          <w:rFonts w:cstheme="minorHAnsi"/>
        </w:rPr>
        <w:t>plays a fundamental role in an enterprise data management approach</w:t>
      </w:r>
      <w:r w:rsidR="00757808">
        <w:rPr>
          <w:rFonts w:cstheme="minorHAnsi"/>
        </w:rPr>
        <w:t xml:space="preserve"> that</w:t>
      </w:r>
      <w:r w:rsidR="00757808" w:rsidRPr="00757808">
        <w:rPr>
          <w:rFonts w:cstheme="minorHAnsi"/>
        </w:rPr>
        <w:t xml:space="preserve"> </w:t>
      </w:r>
      <w:r w:rsidR="00757808">
        <w:rPr>
          <w:rFonts w:cstheme="minorHAnsi"/>
        </w:rPr>
        <w:t>realizes</w:t>
      </w:r>
      <w:r w:rsidR="00757808" w:rsidRPr="00757808">
        <w:rPr>
          <w:rFonts w:cstheme="minorHAnsi"/>
        </w:rPr>
        <w:t xml:space="preserve"> the importance of managing information as an asset</w:t>
      </w:r>
      <w:r w:rsidR="00757808">
        <w:rPr>
          <w:rFonts w:cstheme="minorHAnsi"/>
        </w:rPr>
        <w:t xml:space="preserve"> and turning data into</w:t>
      </w:r>
      <w:r w:rsidR="00757808" w:rsidRPr="00757808">
        <w:rPr>
          <w:rFonts w:cstheme="minorHAnsi"/>
        </w:rPr>
        <w:t xml:space="preserve"> valuable information. </w:t>
      </w:r>
      <w:r w:rsidR="00C43B15" w:rsidRPr="006B172E">
        <w:rPr>
          <w:rFonts w:cstheme="minorHAnsi"/>
        </w:rPr>
        <w:t>A</w:t>
      </w:r>
      <w:r w:rsidR="00C43B15">
        <w:rPr>
          <w:rFonts w:cstheme="minorHAnsi"/>
        </w:rPr>
        <w:t xml:space="preserve">ccording to OMB </w:t>
      </w:r>
      <w:hyperlink r:id="rId14" w:history="1">
        <w:r w:rsidR="00C43B15" w:rsidRPr="003D42CB">
          <w:rPr>
            <w:rStyle w:val="Hyperlink"/>
            <w:rFonts w:cstheme="minorHAnsi"/>
          </w:rPr>
          <w:t>Memorandum M-19-18</w:t>
        </w:r>
        <w:r w:rsidR="003D42CB" w:rsidRPr="003D42CB">
          <w:rPr>
            <w:rStyle w:val="Hyperlink"/>
            <w:rFonts w:cstheme="minorHAnsi"/>
          </w:rPr>
          <w:t>: Federal Data Strategy – A Framework for Consistency</w:t>
        </w:r>
      </w:hyperlink>
      <w:r w:rsidR="00C43B15">
        <w:rPr>
          <w:rFonts w:cstheme="minorHAnsi"/>
        </w:rPr>
        <w:t xml:space="preserve">, </w:t>
      </w:r>
      <w:r w:rsidR="00DA4ADB">
        <w:rPr>
          <w:rFonts w:cstheme="minorHAnsi"/>
        </w:rPr>
        <w:t xml:space="preserve">a </w:t>
      </w:r>
      <w:r w:rsidR="00C43B15" w:rsidRPr="006B172E">
        <w:rPr>
          <w:rFonts w:cstheme="minorHAnsi"/>
        </w:rPr>
        <w:t>data governance structure helps agencies use data to answer important questions while meeting legal and ethical requirements essential to maintaining public trust, including protecting privacy and ensuring confidentiality.</w:t>
      </w:r>
      <w:r w:rsidR="005C037F">
        <w:rPr>
          <w:rStyle w:val="EndnoteReference"/>
          <w:rFonts w:cstheme="minorHAnsi"/>
        </w:rPr>
        <w:endnoteReference w:id="3"/>
      </w:r>
    </w:p>
    <w:p w14:paraId="5C4A058A" w14:textId="15421E0A" w:rsidR="00C43B15" w:rsidRPr="00C43B15" w:rsidRDefault="00757808" w:rsidP="00C43B15">
      <w:r w:rsidRPr="00757808">
        <w:rPr>
          <w:rFonts w:cstheme="minorHAnsi"/>
        </w:rPr>
        <w:t xml:space="preserve">Instituting a data governance </w:t>
      </w:r>
      <w:r>
        <w:rPr>
          <w:rFonts w:cstheme="minorHAnsi"/>
        </w:rPr>
        <w:t>framework</w:t>
      </w:r>
      <w:r w:rsidRPr="00757808">
        <w:rPr>
          <w:rFonts w:cstheme="minorHAnsi"/>
        </w:rPr>
        <w:t xml:space="preserve"> </w:t>
      </w:r>
      <w:r w:rsidR="00C43B15">
        <w:rPr>
          <w:rFonts w:cstheme="minorHAnsi"/>
        </w:rPr>
        <w:t>provides</w:t>
      </w:r>
      <w:r w:rsidR="00B634E6">
        <w:rPr>
          <w:rFonts w:cstheme="minorHAnsi"/>
        </w:rPr>
        <w:t xml:space="preserve"> entities</w:t>
      </w:r>
      <w:r>
        <w:rPr>
          <w:rFonts w:cstheme="minorHAnsi"/>
        </w:rPr>
        <w:t xml:space="preserve"> </w:t>
      </w:r>
      <w:r w:rsidR="00D0314D">
        <w:rPr>
          <w:rFonts w:cstheme="minorHAnsi"/>
        </w:rPr>
        <w:t>coordinated and systemic oversight</w:t>
      </w:r>
      <w:r>
        <w:rPr>
          <w:rFonts w:cstheme="minorHAnsi"/>
        </w:rPr>
        <w:t xml:space="preserve"> </w:t>
      </w:r>
      <w:r w:rsidRPr="00757808">
        <w:rPr>
          <w:rFonts w:cstheme="minorHAnsi"/>
        </w:rPr>
        <w:t>for identifying and controlling the collection, storage</w:t>
      </w:r>
      <w:r w:rsidR="00BF4E1E">
        <w:rPr>
          <w:rFonts w:cstheme="minorHAnsi"/>
        </w:rPr>
        <w:t>,</w:t>
      </w:r>
      <w:r w:rsidRPr="00757808">
        <w:rPr>
          <w:rFonts w:cstheme="minorHAnsi"/>
        </w:rPr>
        <w:t xml:space="preserve"> and disposition of information resources.</w:t>
      </w:r>
      <w:r w:rsidR="00C43B15" w:rsidRPr="00C43B15">
        <w:rPr>
          <w:rFonts w:cstheme="minorHAnsi"/>
        </w:rPr>
        <w:t xml:space="preserve"> </w:t>
      </w:r>
      <w:r w:rsidR="00C43B15">
        <w:rPr>
          <w:rFonts w:cstheme="minorHAnsi"/>
        </w:rPr>
        <w:t>Thus, the</w:t>
      </w:r>
      <w:r w:rsidR="004D2EEA">
        <w:rPr>
          <w:rFonts w:cstheme="minorHAnsi"/>
        </w:rPr>
        <w:t xml:space="preserve"> Federal Data Strategy</w:t>
      </w:r>
      <w:r w:rsidR="005C037F">
        <w:rPr>
          <w:rStyle w:val="EndnoteReference"/>
          <w:rFonts w:cstheme="minorHAnsi"/>
        </w:rPr>
        <w:endnoteReference w:id="4"/>
      </w:r>
      <w:r w:rsidR="00C43B15">
        <w:rPr>
          <w:rFonts w:cstheme="minorHAnsi"/>
        </w:rPr>
        <w:t xml:space="preserve"> encourages agencies to take action focused on data governance:</w:t>
      </w:r>
    </w:p>
    <w:p w14:paraId="2966659C" w14:textId="027BA3DD" w:rsidR="00757808" w:rsidRDefault="00757808" w:rsidP="008F2DA0">
      <w:pPr>
        <w:spacing w:after="100" w:afterAutospacing="1"/>
        <w:ind w:left="360"/>
        <w:rPr>
          <w:rFonts w:cstheme="minorHAnsi"/>
        </w:rPr>
      </w:pPr>
      <w:r w:rsidRPr="00757808">
        <w:rPr>
          <w:b/>
          <w:bCs/>
        </w:rPr>
        <w:t>Prioritize Data Governance</w:t>
      </w:r>
      <w:r>
        <w:t>: Ensure there are sufficient authorities, roles, organizational structures, policies, and resources in place to transparently support the management, maintenance, and use of strategic data assets.</w:t>
      </w:r>
    </w:p>
    <w:p w14:paraId="0E0AC68F" w14:textId="318BA3AB" w:rsidR="00673586" w:rsidRPr="00673586" w:rsidRDefault="00673586" w:rsidP="005D2449">
      <w:pPr>
        <w:pStyle w:val="Heading2"/>
        <w:spacing w:before="240" w:after="240"/>
      </w:pPr>
      <w:bookmarkStart w:id="22" w:name="_Toc52181174"/>
      <w:r w:rsidRPr="00673586">
        <w:t>Data Governance</w:t>
      </w:r>
      <w:r w:rsidR="00C52A31">
        <w:t xml:space="preserve"> </w:t>
      </w:r>
      <w:r w:rsidR="00564149">
        <w:t>Framework</w:t>
      </w:r>
      <w:bookmarkEnd w:id="22"/>
    </w:p>
    <w:p w14:paraId="288272FF" w14:textId="2290B4C2" w:rsidR="00C60C15" w:rsidRDefault="007C2D95" w:rsidP="00F17535">
      <w:pPr>
        <w:pStyle w:val="Heading3"/>
        <w:spacing w:before="0"/>
      </w:pPr>
      <w:bookmarkStart w:id="23" w:name="_Toc52181175"/>
      <w:r>
        <w:t xml:space="preserve">Data Governance </w:t>
      </w:r>
      <w:r w:rsidR="00C60C15">
        <w:t>Participants</w:t>
      </w:r>
      <w:r w:rsidR="00673586">
        <w:t xml:space="preserve"> and Roles</w:t>
      </w:r>
      <w:bookmarkEnd w:id="23"/>
    </w:p>
    <w:p w14:paraId="24733F89" w14:textId="36BCD5F1" w:rsidR="008552E0" w:rsidRDefault="008552E0" w:rsidP="008552E0">
      <w:r>
        <w:t>Effective data governance requires the participation of different type</w:t>
      </w:r>
      <w:r w:rsidR="002D4BC8">
        <w:t>s</w:t>
      </w:r>
      <w:r>
        <w:t xml:space="preserve"> of data stakeholders. In addition, the specific concerns and rules th</w:t>
      </w:r>
      <w:r w:rsidR="00E81D5C">
        <w:t>at</w:t>
      </w:r>
      <w:r>
        <w:t xml:space="preserve"> will be addressed will influence the mix of data stakeholders and the amount of effort required of stakeholders to </w:t>
      </w:r>
      <w:r w:rsidR="00F26F3C">
        <w:t>make sound</w:t>
      </w:r>
      <w:r w:rsidR="00E81D5C">
        <w:t xml:space="preserve"> data-related decisions and </w:t>
      </w:r>
      <w:r w:rsidR="00F26F3C">
        <w:t xml:space="preserve">take appropriate </w:t>
      </w:r>
      <w:r w:rsidR="00E81D5C">
        <w:t xml:space="preserve">action. </w:t>
      </w:r>
    </w:p>
    <w:p w14:paraId="70784052" w14:textId="77777777" w:rsidR="00E12EB6" w:rsidRDefault="00E12EB6" w:rsidP="00E12EB6">
      <w:pPr>
        <w:pStyle w:val="Heading4"/>
        <w:spacing w:before="200"/>
      </w:pPr>
      <w:bookmarkStart w:id="24" w:name="_Toc52181176"/>
      <w:r>
        <w:t>Data governance leaders</w:t>
      </w:r>
      <w:bookmarkEnd w:id="24"/>
    </w:p>
    <w:p w14:paraId="5048711D" w14:textId="77777777" w:rsidR="00E12EB6" w:rsidRPr="007033E1" w:rsidRDefault="00E12EB6" w:rsidP="00E12EB6">
      <w:pPr>
        <w:rPr>
          <w:b/>
          <w:bCs/>
        </w:rPr>
      </w:pPr>
      <w:r w:rsidRPr="007033E1">
        <w:rPr>
          <w:b/>
          <w:bCs/>
        </w:rPr>
        <w:t>What is the role of ACL’s data governance leaders?</w:t>
      </w:r>
    </w:p>
    <w:p w14:paraId="056851F3" w14:textId="372E3EDE" w:rsidR="00E12EB6" w:rsidRDefault="00E12EB6" w:rsidP="003D42CB">
      <w:pPr>
        <w:autoSpaceDE w:val="0"/>
        <w:autoSpaceDN w:val="0"/>
        <w:adjustRightInd w:val="0"/>
        <w:spacing w:after="0"/>
        <w:rPr>
          <w:rFonts w:cstheme="minorHAnsi"/>
        </w:rPr>
      </w:pPr>
      <w:r w:rsidRPr="009975C6">
        <w:rPr>
          <w:rFonts w:cstheme="minorHAnsi"/>
        </w:rPr>
        <w:t xml:space="preserve">ACL’s data governance leaders champion data solutions to ensure accountability and increase the value of </w:t>
      </w:r>
      <w:hyperlink w:anchor="DataAsset" w:history="1">
        <w:r w:rsidRPr="009975C6">
          <w:rPr>
            <w:rStyle w:val="Hyperlink"/>
            <w:rFonts w:cstheme="minorHAnsi"/>
          </w:rPr>
          <w:t>data assets</w:t>
        </w:r>
      </w:hyperlink>
      <w:r w:rsidRPr="009975C6">
        <w:rPr>
          <w:rFonts w:cstheme="minorHAnsi"/>
        </w:rPr>
        <w:t>.</w:t>
      </w:r>
      <w:r>
        <w:rPr>
          <w:rStyle w:val="EndnoteReference"/>
          <w:rFonts w:cstheme="minorHAnsi"/>
        </w:rPr>
        <w:endnoteReference w:id="5"/>
      </w:r>
      <w:r>
        <w:rPr>
          <w:rFonts w:cstheme="minorHAnsi"/>
          <w:vertAlign w:val="superscript"/>
        </w:rPr>
        <w:t xml:space="preserve"> </w:t>
      </w:r>
      <w:r w:rsidRPr="009975C6">
        <w:rPr>
          <w:rFonts w:cstheme="minorHAnsi"/>
        </w:rPr>
        <w:t xml:space="preserve">Their role is to promote data governance within ACL, </w:t>
      </w:r>
      <w:r>
        <w:rPr>
          <w:rFonts w:cstheme="minorHAnsi"/>
        </w:rPr>
        <w:t>set and enforce</w:t>
      </w:r>
      <w:r w:rsidRPr="00D65EA5">
        <w:rPr>
          <w:rFonts w:cstheme="minorHAnsi"/>
        </w:rPr>
        <w:t xml:space="preserve"> priorities for managing and using data as a strategic asset</w:t>
      </w:r>
      <w:r>
        <w:rPr>
          <w:rFonts w:cstheme="minorHAnsi"/>
        </w:rPr>
        <w:t xml:space="preserve">, </w:t>
      </w:r>
      <w:r w:rsidRPr="009975C6">
        <w:rPr>
          <w:rFonts w:cstheme="minorHAnsi"/>
        </w:rPr>
        <w:t xml:space="preserve">communicate data-related changes to ACL staff, and monitor progress on data governance tasks and projects. </w:t>
      </w:r>
      <w:r w:rsidR="00F65B0A">
        <w:rPr>
          <w:rFonts w:cstheme="minorHAnsi"/>
        </w:rPr>
        <w:t>They</w:t>
      </w:r>
      <w:r>
        <w:rPr>
          <w:rFonts w:cstheme="minorHAnsi"/>
        </w:rPr>
        <w:t xml:space="preserve"> may engage relevant technical advisors as needed.</w:t>
      </w:r>
      <w:r w:rsidRPr="00F26F3C">
        <w:rPr>
          <w:rFonts w:cstheme="minorHAnsi"/>
        </w:rPr>
        <w:t xml:space="preserve"> </w:t>
      </w:r>
      <w:r>
        <w:rPr>
          <w:rFonts w:cstheme="minorHAnsi"/>
        </w:rPr>
        <w:t>At ACL the primary responsibility for data governance falls with the Office of Performance and Evaluation which focusses on data quality and usability issues and the Office of Information Resource Management which ensures that ACL’s data are accessible and secure. Below are other important roles for ACL staff in maintaining high quality data.</w:t>
      </w:r>
    </w:p>
    <w:p w14:paraId="0C1FE2DE" w14:textId="77777777" w:rsidR="00E12EB6" w:rsidRDefault="00E12EB6" w:rsidP="00E12EB6">
      <w:pPr>
        <w:pStyle w:val="Heading4"/>
        <w:spacing w:before="200"/>
      </w:pPr>
      <w:bookmarkStart w:id="25" w:name="_Toc52181177"/>
      <w:r>
        <w:t>Data stewards</w:t>
      </w:r>
      <w:bookmarkEnd w:id="25"/>
    </w:p>
    <w:p w14:paraId="3E4F089C" w14:textId="77777777" w:rsidR="00E12EB6" w:rsidRDefault="00E12EB6" w:rsidP="00E12EB6">
      <w:pPr>
        <w:rPr>
          <w:b/>
          <w:bCs/>
        </w:rPr>
      </w:pPr>
      <w:r w:rsidRPr="00273779">
        <w:rPr>
          <w:b/>
          <w:bCs/>
        </w:rPr>
        <w:t xml:space="preserve">What </w:t>
      </w:r>
      <w:r>
        <w:rPr>
          <w:b/>
          <w:bCs/>
        </w:rPr>
        <w:t>is the role of</w:t>
      </w:r>
      <w:r w:rsidRPr="00273779">
        <w:rPr>
          <w:b/>
          <w:bCs/>
        </w:rPr>
        <w:t xml:space="preserve"> data steward</w:t>
      </w:r>
      <w:r>
        <w:rPr>
          <w:b/>
          <w:bCs/>
        </w:rPr>
        <w:t>s</w:t>
      </w:r>
      <w:r w:rsidRPr="00273779">
        <w:rPr>
          <w:b/>
          <w:bCs/>
        </w:rPr>
        <w:t>?</w:t>
      </w:r>
    </w:p>
    <w:p w14:paraId="790A17B8" w14:textId="77777777" w:rsidR="00E12EB6" w:rsidRDefault="00E12EB6" w:rsidP="00CE2FA7">
      <w:pPr>
        <w:spacing w:after="120"/>
      </w:pPr>
      <w:r>
        <w:t xml:space="preserve">ACL </w:t>
      </w:r>
      <w:hyperlink w:anchor="DataSteward" w:history="1">
        <w:r w:rsidRPr="007125B6">
          <w:rPr>
            <w:rStyle w:val="Hyperlink"/>
          </w:rPr>
          <w:t>data stewards</w:t>
        </w:r>
      </w:hyperlink>
      <w:r w:rsidRPr="002C4C4B">
        <w:t xml:space="preserve"> are the subject matter experts and points of contact for the </w:t>
      </w:r>
      <w:r>
        <w:t>ACL</w:t>
      </w:r>
      <w:r w:rsidRPr="002C4C4B">
        <w:t xml:space="preserve"> program</w:t>
      </w:r>
      <w:r>
        <w:t xml:space="preserve">s </w:t>
      </w:r>
      <w:r w:rsidRPr="002C4C4B">
        <w:t xml:space="preserve">they oversee. </w:t>
      </w:r>
      <w:r>
        <w:t xml:space="preserve">Data stewards are responsible for managing each program’s data elements, including content and </w:t>
      </w:r>
      <w:hyperlink w:anchor="MetaData" w:history="1">
        <w:r w:rsidRPr="00842E42">
          <w:rPr>
            <w:rStyle w:val="Hyperlink"/>
          </w:rPr>
          <w:t>metadata</w:t>
        </w:r>
      </w:hyperlink>
      <w:r>
        <w:t>.</w:t>
      </w:r>
      <w:r>
        <w:rPr>
          <w:rStyle w:val="EndnoteReference"/>
        </w:rPr>
        <w:endnoteReference w:id="6"/>
      </w:r>
      <w:r w:rsidRPr="00842E42">
        <w:rPr>
          <w:vertAlign w:val="superscript"/>
        </w:rPr>
        <w:t xml:space="preserve"> </w:t>
      </w:r>
      <w:r>
        <w:t xml:space="preserve"> This includes informing data policies as determined by ACL’s data governance rules and </w:t>
      </w:r>
      <w:r>
        <w:lastRenderedPageBreak/>
        <w:t xml:space="preserve">data quality standards, as well as </w:t>
      </w:r>
      <w:r w:rsidRPr="002C4C4B">
        <w:t>defining, managing,</w:t>
      </w:r>
      <w:r>
        <w:t xml:space="preserve"> </w:t>
      </w:r>
      <w:r w:rsidRPr="002C4C4B">
        <w:t>controlling, and preserving the integrity</w:t>
      </w:r>
      <w:r>
        <w:t xml:space="preserve"> </w:t>
      </w:r>
      <w:r w:rsidRPr="002C4C4B">
        <w:t xml:space="preserve">of </w:t>
      </w:r>
      <w:r>
        <w:t>the program data</w:t>
      </w:r>
      <w:r w:rsidRPr="002C4C4B">
        <w:t>.</w:t>
      </w:r>
      <w:r>
        <w:t xml:space="preserve"> Thus, the role of a data steward requires both technical and business-oriented skills.</w:t>
      </w:r>
    </w:p>
    <w:p w14:paraId="133CDFE3" w14:textId="77777777" w:rsidR="00E12EB6" w:rsidRPr="005D2449" w:rsidRDefault="00E12EB6" w:rsidP="00E12EB6">
      <w:pPr>
        <w:jc w:val="center"/>
        <w:rPr>
          <w:b/>
          <w:bCs/>
        </w:rPr>
      </w:pPr>
      <w:r w:rsidRPr="005D2449">
        <w:rPr>
          <w:b/>
          <w:bCs/>
        </w:rPr>
        <w:t>Key roles of data stewards</w:t>
      </w:r>
    </w:p>
    <w:p w14:paraId="2165CCA0" w14:textId="61402356" w:rsidR="00E12EB6" w:rsidRDefault="00E12EB6" w:rsidP="00CA7A2F">
      <w:pPr>
        <w:spacing w:after="0"/>
        <w:jc w:val="center"/>
      </w:pPr>
      <w:r>
        <w:rPr>
          <w:noProof/>
        </w:rPr>
        <mc:AlternateContent>
          <mc:Choice Requires="wps">
            <w:drawing>
              <wp:inline distT="0" distB="0" distL="0" distR="0" wp14:anchorId="28019573" wp14:editId="53771EEA">
                <wp:extent cx="1514475" cy="962025"/>
                <wp:effectExtent l="0" t="0" r="28575" b="28575"/>
                <wp:docPr id="8" name="Text Box 2" descr="Ensure the accuracy, completeness, privacy, and security of program 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62025"/>
                        </a:xfrm>
                        <a:prstGeom prst="rect">
                          <a:avLst/>
                        </a:prstGeom>
                        <a:solidFill>
                          <a:srgbClr val="2A4B86"/>
                        </a:solidFill>
                        <a:ln w="9525">
                          <a:solidFill>
                            <a:srgbClr val="000000"/>
                          </a:solidFill>
                          <a:miter lim="800000"/>
                          <a:headEnd/>
                          <a:tailEnd/>
                        </a:ln>
                      </wps:spPr>
                      <wps:txbx>
                        <w:txbxContent>
                          <w:p w14:paraId="0F266BFA" w14:textId="0DF8AF1C" w:rsidR="006B305B" w:rsidRPr="002A459E" w:rsidRDefault="006B305B" w:rsidP="00E12EB6">
                            <w:pPr>
                              <w:spacing w:after="0"/>
                              <w:jc w:val="center"/>
                              <w:rPr>
                                <w:color w:val="FFFFFF" w:themeColor="background1"/>
                              </w:rPr>
                            </w:pPr>
                            <w:r w:rsidRPr="002A459E">
                              <w:rPr>
                                <w:color w:val="FFFFFF" w:themeColor="background1"/>
                              </w:rPr>
                              <w:t>Ensure the accuracy, completeness, privacy, and security of program data</w:t>
                            </w:r>
                          </w:p>
                        </w:txbxContent>
                      </wps:txbx>
                      <wps:bodyPr rot="0" vert="horz" wrap="square" lIns="91440" tIns="45720" rIns="91440" bIns="45720" anchor="ctr"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019573" id="_x0000_t202" coordsize="21600,21600" o:spt="202" path="m,l,21600r21600,l21600,xe">
                <v:stroke joinstyle="miter"/>
                <v:path gradientshapeok="t" o:connecttype="rect"/>
              </v:shapetype>
              <v:shape id="Text Box 2" o:spid="_x0000_s1026" type="#_x0000_t202" alt="Ensure the accuracy, completeness, privacy, and security of program data" style="width:119.25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" fillcolor="#2a4b86">
                <v:textbox>
                  <w:txbxContent>
                    <w:p w14:paraId="0F266BFA" w14:textId="0DF8AF1C" w:rsidR="006B305B" w:rsidRPr="002A459E" w:rsidRDefault="006B305B" w:rsidP="00E12EB6">
                      <w:pPr>
                        <w:spacing w:after="0"/>
                        <w:jc w:val="center"/>
                        <w:rPr>
                          <w:color w:val="FFFFFF" w:themeColor="background1"/>
                        </w:rPr>
                      </w:pPr>
                      <w:r w:rsidRPr="002A459E">
                        <w:rPr>
                          <w:color w:val="FFFFFF" w:themeColor="background1"/>
                        </w:rPr>
                        <w:t>Ensure the accuracy, completeness, privacy, and security of program data</w:t>
                      </w:r>
                    </w:p>
                  </w:txbxContent>
                </v:textbox>
                <w10:anchorlock/>
              </v:shape>
            </w:pict>
          </mc:Fallback>
        </mc:AlternateContent>
      </w:r>
      <w:r>
        <w:rPr>
          <w:noProof/>
        </w:rPr>
        <mc:AlternateContent>
          <mc:Choice Requires="wps">
            <w:drawing>
              <wp:inline distT="0" distB="0" distL="0" distR="0" wp14:anchorId="2B32BFCA" wp14:editId="23AD7E95">
                <wp:extent cx="1543050" cy="962025"/>
                <wp:effectExtent l="0" t="0" r="19050" b="28575"/>
                <wp:docPr id="16" name="Text Box 2" descr="Ensure that the right data are available to the right people within AC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62025"/>
                        </a:xfrm>
                        <a:prstGeom prst="rect">
                          <a:avLst/>
                        </a:prstGeom>
                        <a:solidFill>
                          <a:srgbClr val="9A0000"/>
                        </a:solidFill>
                        <a:ln w="9525">
                          <a:solidFill>
                            <a:srgbClr val="000000"/>
                          </a:solidFill>
                          <a:miter lim="800000"/>
                          <a:headEnd/>
                          <a:tailEnd/>
                        </a:ln>
                      </wps:spPr>
                      <wps:txbx>
                        <w:txbxContent>
                          <w:p w14:paraId="0774063D" w14:textId="18627AD3" w:rsidR="006B305B" w:rsidRPr="002A459E" w:rsidRDefault="006B305B" w:rsidP="00E12EB6">
                            <w:pPr>
                              <w:spacing w:after="0"/>
                              <w:jc w:val="center"/>
                              <w:rPr>
                                <w:color w:val="FFFFFF" w:themeColor="background1"/>
                              </w:rPr>
                            </w:pPr>
                            <w:r w:rsidRPr="002A459E">
                              <w:rPr>
                                <w:color w:val="FFFFFF" w:themeColor="background1"/>
                              </w:rPr>
                              <w:t xml:space="preserve">Ensure that the right data </w:t>
                            </w:r>
                            <w:r>
                              <w:rPr>
                                <w:color w:val="FFFFFF" w:themeColor="background1"/>
                              </w:rPr>
                              <w:t>are</w:t>
                            </w:r>
                            <w:r w:rsidRPr="002A459E">
                              <w:rPr>
                                <w:color w:val="FFFFFF" w:themeColor="background1"/>
                              </w:rPr>
                              <w:t xml:space="preserve"> available to the right people within ACL</w:t>
                            </w:r>
                          </w:p>
                        </w:txbxContent>
                      </wps:txbx>
                      <wps:bodyPr rot="0" vert="horz" wrap="square" lIns="91440" tIns="45720" rIns="91440" bIns="45720" anchor="ctr"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2BFCA" id="_x0000_s1027" type="#_x0000_t202" alt="Ensure that the right data are available to the right people within ACL" style="width:121.5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" fillcolor="#9a0000">
                <v:textbox>
                  <w:txbxContent>
                    <w:p w14:paraId="0774063D" w14:textId="18627AD3" w:rsidR="006B305B" w:rsidRPr="002A459E" w:rsidRDefault="006B305B" w:rsidP="00E12EB6">
                      <w:pPr>
                        <w:spacing w:after="0"/>
                        <w:jc w:val="center"/>
                        <w:rPr>
                          <w:color w:val="FFFFFF" w:themeColor="background1"/>
                        </w:rPr>
                      </w:pPr>
                      <w:r w:rsidRPr="002A459E">
                        <w:rPr>
                          <w:color w:val="FFFFFF" w:themeColor="background1"/>
                        </w:rPr>
                        <w:t xml:space="preserve">Ensure that the right data </w:t>
                      </w:r>
                      <w:r>
                        <w:rPr>
                          <w:color w:val="FFFFFF" w:themeColor="background1"/>
                        </w:rPr>
                        <w:t>are</w:t>
                      </w:r>
                      <w:r w:rsidRPr="002A459E">
                        <w:rPr>
                          <w:color w:val="FFFFFF" w:themeColor="background1"/>
                        </w:rPr>
                        <w:t xml:space="preserve"> available to the right people within ACL</w:t>
                      </w:r>
                    </w:p>
                  </w:txbxContent>
                </v:textbox>
                <w10:anchorlock/>
              </v:shape>
            </w:pict>
          </mc:Fallback>
        </mc:AlternateContent>
      </w:r>
      <w:r>
        <w:rPr>
          <w:noProof/>
        </w:rPr>
        <mc:AlternateContent>
          <mc:Choice Requires="wps">
            <w:drawing>
              <wp:inline distT="0" distB="0" distL="0" distR="0" wp14:anchorId="3EDC286E" wp14:editId="7A09B4F5">
                <wp:extent cx="1524000" cy="962025"/>
                <wp:effectExtent l="0" t="0" r="19050" b="28575"/>
                <wp:docPr id="18" name="Text Box 2" descr="Understand ACL’s business needs and relevant federal data ru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62025"/>
                        </a:xfrm>
                        <a:prstGeom prst="rect">
                          <a:avLst/>
                        </a:prstGeom>
                        <a:solidFill>
                          <a:srgbClr val="EA9D04"/>
                        </a:solidFill>
                        <a:ln w="9525">
                          <a:solidFill>
                            <a:srgbClr val="000000"/>
                          </a:solidFill>
                          <a:miter lim="800000"/>
                          <a:headEnd/>
                          <a:tailEnd/>
                        </a:ln>
                      </wps:spPr>
                      <wps:txbx>
                        <w:txbxContent>
                          <w:p w14:paraId="2E765984" w14:textId="150EA63B" w:rsidR="006B305B" w:rsidRPr="00C63DD0" w:rsidRDefault="006B305B" w:rsidP="00E12EB6">
                            <w:pPr>
                              <w:spacing w:after="0"/>
                              <w:jc w:val="center"/>
                              <w:rPr>
                                <w:color w:val="000000" w:themeColor="text1"/>
                              </w:rPr>
                            </w:pPr>
                            <w:r w:rsidRPr="00C63DD0">
                              <w:rPr>
                                <w:color w:val="000000" w:themeColor="text1"/>
                              </w:rPr>
                              <w:t xml:space="preserve">Understand </w:t>
                            </w:r>
                            <w:r>
                              <w:rPr>
                                <w:color w:val="000000" w:themeColor="text1"/>
                              </w:rPr>
                              <w:t>ACL’s business needs and relevant federal data rules</w:t>
                            </w:r>
                          </w:p>
                        </w:txbxContent>
                      </wps:txbx>
                      <wps:bodyPr rot="0" vert="horz" wrap="square" lIns="91440" tIns="45720" rIns="91440" bIns="45720" anchor="ctr"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C286E" id="_x0000_s1028" type="#_x0000_t202" alt="Understand ACL’s business needs and relevant federal data rules" style="width:120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" fillcolor="#ea9d04">
                <v:textbox>
                  <w:txbxContent>
                    <w:p w14:paraId="2E765984" w14:textId="150EA63B" w:rsidR="006B305B" w:rsidRPr="00C63DD0" w:rsidRDefault="006B305B" w:rsidP="00E12EB6">
                      <w:pPr>
                        <w:spacing w:after="0"/>
                        <w:jc w:val="center"/>
                        <w:rPr>
                          <w:color w:val="000000" w:themeColor="text1"/>
                        </w:rPr>
                      </w:pPr>
                      <w:r w:rsidRPr="00C63DD0">
                        <w:rPr>
                          <w:color w:val="000000" w:themeColor="text1"/>
                        </w:rPr>
                        <w:t xml:space="preserve">Understand </w:t>
                      </w:r>
                      <w:r>
                        <w:rPr>
                          <w:color w:val="000000" w:themeColor="text1"/>
                        </w:rPr>
                        <w:t>ACL’s business needs and relevant federal data rules</w:t>
                      </w:r>
                    </w:p>
                  </w:txbxContent>
                </v:textbox>
                <w10:anchorlock/>
              </v:shape>
            </w:pict>
          </mc:Fallback>
        </mc:AlternateContent>
      </w:r>
    </w:p>
    <w:p w14:paraId="0170DF4C" w14:textId="77777777" w:rsidR="00E12EB6" w:rsidRDefault="00E12EB6" w:rsidP="00E64F42">
      <w:pPr>
        <w:pStyle w:val="Heading4"/>
        <w:spacing w:before="200"/>
      </w:pPr>
      <w:bookmarkStart w:id="26" w:name="_Toc52181178"/>
      <w:r>
        <w:t>Technical advisors</w:t>
      </w:r>
      <w:bookmarkEnd w:id="26"/>
    </w:p>
    <w:p w14:paraId="62331A29" w14:textId="77777777" w:rsidR="00E12EB6" w:rsidRPr="002C4C4B" w:rsidRDefault="00E12EB6" w:rsidP="00E12EB6">
      <w:pPr>
        <w:rPr>
          <w:b/>
          <w:bCs/>
        </w:rPr>
      </w:pPr>
      <w:r w:rsidRPr="002C4C4B">
        <w:rPr>
          <w:b/>
          <w:bCs/>
        </w:rPr>
        <w:t>What is the role of technical advisors?</w:t>
      </w:r>
    </w:p>
    <w:p w14:paraId="5D7F6F89" w14:textId="77777777" w:rsidR="00E12EB6" w:rsidRDefault="00E12EB6" w:rsidP="00E12EB6">
      <w:pPr>
        <w:spacing w:after="0"/>
      </w:pPr>
      <w:r>
        <w:t xml:space="preserve">Technical advisors assist data governance leaders in developing all formal documentation and providing guidance for data-related decision-making. Technical advisors should be selected based on their knowledge of the ACL program as well as data governance principles and best practices. </w:t>
      </w:r>
    </w:p>
    <w:p w14:paraId="22D8CAFF" w14:textId="0E80EFB2" w:rsidR="00673586" w:rsidRDefault="003D42CB" w:rsidP="007033E1">
      <w:pPr>
        <w:pStyle w:val="Heading4"/>
        <w:spacing w:before="200"/>
      </w:pPr>
      <w:bookmarkStart w:id="27" w:name="_Toc52181179"/>
      <w:r>
        <w:t xml:space="preserve">Other </w:t>
      </w:r>
      <w:r w:rsidR="001F0FCC">
        <w:t>d</w:t>
      </w:r>
      <w:r w:rsidR="00673586">
        <w:t>ata stakeholders</w:t>
      </w:r>
      <w:bookmarkEnd w:id="27"/>
    </w:p>
    <w:p w14:paraId="3A260ABB" w14:textId="5DED2E53" w:rsidR="00DF5972" w:rsidRPr="00DF5972" w:rsidRDefault="00DF5972" w:rsidP="00DF5972">
      <w:pPr>
        <w:rPr>
          <w:b/>
          <w:bCs/>
        </w:rPr>
      </w:pPr>
      <w:r w:rsidRPr="00DF5972">
        <w:rPr>
          <w:b/>
          <w:bCs/>
        </w:rPr>
        <w:t xml:space="preserve">What </w:t>
      </w:r>
      <w:r w:rsidR="001F0FCC">
        <w:rPr>
          <w:b/>
          <w:bCs/>
        </w:rPr>
        <w:t>are other types of</w:t>
      </w:r>
      <w:r w:rsidRPr="00DF5972">
        <w:rPr>
          <w:b/>
          <w:bCs/>
        </w:rPr>
        <w:t xml:space="preserve"> data stakeholder</w:t>
      </w:r>
      <w:r w:rsidR="001F0FCC">
        <w:rPr>
          <w:b/>
          <w:bCs/>
        </w:rPr>
        <w:t>s</w:t>
      </w:r>
      <w:r w:rsidRPr="00DF5972">
        <w:rPr>
          <w:b/>
          <w:bCs/>
        </w:rPr>
        <w:t>?</w:t>
      </w:r>
    </w:p>
    <w:p w14:paraId="3029F817" w14:textId="1488F743" w:rsidR="00273779" w:rsidRDefault="003D42CB" w:rsidP="00DF5972">
      <w:r>
        <w:t>In addition, to data governance leaders, data stewards, and technical advisors, there are other people who are essential to good data governance</w:t>
      </w:r>
      <w:r w:rsidR="001F0FCC">
        <w:t>. Other</w:t>
      </w:r>
      <w:r w:rsidR="00DF5972">
        <w:t xml:space="preserve"> data stakeholder</w:t>
      </w:r>
      <w:r w:rsidR="001F0FCC">
        <w:t>s are</w:t>
      </w:r>
      <w:r w:rsidR="00DF5972">
        <w:t xml:space="preserve"> </w:t>
      </w:r>
      <w:r w:rsidR="001F0FCC">
        <w:t>individuals or groups</w:t>
      </w:r>
      <w:r w:rsidR="00DF5972">
        <w:t xml:space="preserve"> </w:t>
      </w:r>
      <w:r w:rsidR="00541DB9">
        <w:t>who</w:t>
      </w:r>
      <w:r w:rsidR="00DF5972">
        <w:t xml:space="preserve"> could affect or be affected by ACL’s data.</w:t>
      </w:r>
      <w:r w:rsidR="00273779">
        <w:t xml:space="preserve"> Data stakeholders may be </w:t>
      </w:r>
      <w:r w:rsidR="002D4BC8">
        <w:t xml:space="preserve">grouped </w:t>
      </w:r>
      <w:r w:rsidR="00273779">
        <w:t>into broad categories</w:t>
      </w:r>
      <w:r w:rsidR="002D4BC8">
        <w:t xml:space="preserve"> according to their data role(s)</w:t>
      </w:r>
      <w:r w:rsidR="00273779">
        <w:t xml:space="preserve">, but any given stakeholder may </w:t>
      </w:r>
      <w:r w:rsidR="00A73874">
        <w:t xml:space="preserve">also </w:t>
      </w:r>
      <w:r w:rsidR="00273779">
        <w:t>represent one or more categories.</w:t>
      </w:r>
      <w:r w:rsidR="00443059">
        <w:t xml:space="preserve"> These include:</w:t>
      </w:r>
    </w:p>
    <w:p w14:paraId="2E53FADB" w14:textId="492F5F0A" w:rsidR="00273779" w:rsidRDefault="00F26F3C" w:rsidP="00CD66B1">
      <w:pPr>
        <w:pStyle w:val="ListParagraph"/>
        <w:numPr>
          <w:ilvl w:val="0"/>
          <w:numId w:val="12"/>
        </w:numPr>
        <w:spacing w:after="120"/>
        <w:contextualSpacing w:val="0"/>
      </w:pPr>
      <w:r>
        <w:t>Producers</w:t>
      </w:r>
      <w:r w:rsidR="00273779">
        <w:t xml:space="preserve"> – </w:t>
      </w:r>
      <w:r w:rsidR="00A73874">
        <w:t>stakeholders</w:t>
      </w:r>
      <w:r w:rsidR="00273779">
        <w:t xml:space="preserve"> </w:t>
      </w:r>
      <w:r w:rsidR="00541DB9">
        <w:t>(</w:t>
      </w:r>
      <w:r w:rsidR="00273779">
        <w:t>or technology</w:t>
      </w:r>
      <w:r w:rsidR="00541DB9">
        <w:t>)</w:t>
      </w:r>
      <w:r w:rsidR="00273779">
        <w:t xml:space="preserve"> </w:t>
      </w:r>
      <w:r w:rsidR="00541DB9">
        <w:t>who</w:t>
      </w:r>
      <w:r w:rsidR="00273779">
        <w:t xml:space="preserve"> create or collect primary data</w:t>
      </w:r>
    </w:p>
    <w:p w14:paraId="243EBE5C" w14:textId="418F83A4" w:rsidR="00A73874" w:rsidRDefault="00A73874" w:rsidP="00CD66B1">
      <w:pPr>
        <w:pStyle w:val="ListParagraph"/>
        <w:numPr>
          <w:ilvl w:val="0"/>
          <w:numId w:val="12"/>
        </w:numPr>
        <w:spacing w:after="120"/>
        <w:contextualSpacing w:val="0"/>
      </w:pPr>
      <w:r>
        <w:t>Managers – stakeholders who receive the primary data, ensure its quality</w:t>
      </w:r>
      <w:r w:rsidR="00821EF9">
        <w:t>,</w:t>
      </w:r>
      <w:r>
        <w:t xml:space="preserve"> and compile it into a </w:t>
      </w:r>
      <w:hyperlink w:anchor="DataRepository" w:history="1">
        <w:r w:rsidRPr="00A73874">
          <w:rPr>
            <w:rStyle w:val="Hyperlink"/>
          </w:rPr>
          <w:t>data repository</w:t>
        </w:r>
      </w:hyperlink>
      <w:r w:rsidR="001F0FCC" w:rsidRPr="001F0FCC">
        <w:rPr>
          <w:rStyle w:val="Hyperlink"/>
          <w:color w:val="000000" w:themeColor="text1"/>
          <w:u w:val="none"/>
        </w:rPr>
        <w:t>; someti</w:t>
      </w:r>
      <w:r w:rsidR="001F0FCC">
        <w:rPr>
          <w:rStyle w:val="Hyperlink"/>
          <w:color w:val="000000" w:themeColor="text1"/>
          <w:u w:val="none"/>
        </w:rPr>
        <w:t>mes referred to as data owners</w:t>
      </w:r>
    </w:p>
    <w:p w14:paraId="58B4040D" w14:textId="4EB6B71D" w:rsidR="00273779" w:rsidRDefault="00A73874" w:rsidP="00CD66B1">
      <w:pPr>
        <w:pStyle w:val="ListParagraph"/>
        <w:numPr>
          <w:ilvl w:val="0"/>
          <w:numId w:val="12"/>
        </w:numPr>
        <w:spacing w:after="120"/>
        <w:contextualSpacing w:val="0"/>
      </w:pPr>
      <w:r>
        <w:t xml:space="preserve">Curators </w:t>
      </w:r>
      <w:r w:rsidR="00273779">
        <w:t xml:space="preserve">– stakeholders </w:t>
      </w:r>
      <w:r>
        <w:t>who</w:t>
      </w:r>
      <w:r w:rsidR="00273779">
        <w:t xml:space="preserve"> </w:t>
      </w:r>
      <w:r w:rsidR="00CD66B1">
        <w:t xml:space="preserve">create, manage, and reconcile data repositories and </w:t>
      </w:r>
      <w:r w:rsidR="005C037F">
        <w:t>information technology</w:t>
      </w:r>
      <w:r w:rsidR="00CD66B1">
        <w:t xml:space="preserve"> systems</w:t>
      </w:r>
      <w:r w:rsidR="001F0FCC">
        <w:t>; sometimes referred to as data custodians</w:t>
      </w:r>
    </w:p>
    <w:p w14:paraId="69CE92C5" w14:textId="2A38B738" w:rsidR="008F2DA0" w:rsidRDefault="008F2DA0" w:rsidP="008F2DA0">
      <w:pPr>
        <w:pStyle w:val="ListParagraph"/>
        <w:numPr>
          <w:ilvl w:val="0"/>
          <w:numId w:val="12"/>
        </w:numPr>
        <w:spacing w:after="120"/>
        <w:contextualSpacing w:val="0"/>
      </w:pPr>
      <w:r>
        <w:t>Analysists – stakeholders who use data for analyses and to develop data summaries and findings (e.g., reports, journal articles, briefs); these may be ACL staff or external stakeholders</w:t>
      </w:r>
    </w:p>
    <w:p w14:paraId="55C81779" w14:textId="531783C4" w:rsidR="00DF5972" w:rsidRPr="00DF5972" w:rsidRDefault="00F26F3C" w:rsidP="001F0FCC">
      <w:pPr>
        <w:pStyle w:val="ListParagraph"/>
        <w:numPr>
          <w:ilvl w:val="0"/>
          <w:numId w:val="12"/>
        </w:numPr>
        <w:spacing w:after="240"/>
      </w:pPr>
      <w:r>
        <w:t>Consumers</w:t>
      </w:r>
      <w:r w:rsidR="00273779">
        <w:t xml:space="preserve"> – </w:t>
      </w:r>
      <w:r w:rsidR="002D4BC8">
        <w:t xml:space="preserve">stakeholders </w:t>
      </w:r>
      <w:r w:rsidR="00A73874">
        <w:t>who</w:t>
      </w:r>
      <w:r w:rsidR="00273779">
        <w:t xml:space="preserve"> </w:t>
      </w:r>
      <w:r w:rsidR="008F2DA0">
        <w:t xml:space="preserve">receive the data summaries and findings generated from the data </w:t>
      </w:r>
      <w:r w:rsidR="000E34E3">
        <w:t>(e.g.,</w:t>
      </w:r>
      <w:r w:rsidR="008F2DA0">
        <w:t xml:space="preserve"> program leaders</w:t>
      </w:r>
      <w:r w:rsidR="000E34E3">
        <w:t>, state agencies, legislators)</w:t>
      </w:r>
    </w:p>
    <w:p w14:paraId="19B7D73A" w14:textId="413F4F2D" w:rsidR="006B5268" w:rsidRDefault="00673586" w:rsidP="001F0FCC">
      <w:pPr>
        <w:pStyle w:val="Heading3"/>
        <w:spacing w:before="0"/>
      </w:pPr>
      <w:bookmarkStart w:id="28" w:name="_Toc52181180"/>
      <w:r>
        <w:t>D</w:t>
      </w:r>
      <w:r w:rsidR="00C60C15" w:rsidRPr="00967A8F">
        <w:t xml:space="preserve">ata </w:t>
      </w:r>
      <w:r w:rsidR="00C52A31">
        <w:t>M</w:t>
      </w:r>
      <w:r w:rsidR="00C60C15" w:rsidRPr="00967A8F">
        <w:t xml:space="preserve">aturity </w:t>
      </w:r>
      <w:r w:rsidR="00C52A31">
        <w:t>A</w:t>
      </w:r>
      <w:r w:rsidR="00C60C15" w:rsidRPr="002102E6">
        <w:t>ssessment</w:t>
      </w:r>
      <w:bookmarkEnd w:id="28"/>
      <w:r w:rsidR="008F2DA0" w:rsidRPr="008F2DA0">
        <w:rPr>
          <w:noProof/>
        </w:rPr>
        <w:t xml:space="preserve"> </w:t>
      </w:r>
    </w:p>
    <w:p w14:paraId="7A7CE69F" w14:textId="53FE7202" w:rsidR="008A740A" w:rsidRDefault="008A740A" w:rsidP="008A740A">
      <w:pPr>
        <w:rPr>
          <w:b/>
          <w:bCs/>
        </w:rPr>
      </w:pPr>
      <w:r w:rsidRPr="008A740A">
        <w:rPr>
          <w:b/>
          <w:bCs/>
        </w:rPr>
        <w:t>What is a data maturity assessment</w:t>
      </w:r>
      <w:r>
        <w:rPr>
          <w:b/>
          <w:bCs/>
        </w:rPr>
        <w:t>?</w:t>
      </w:r>
    </w:p>
    <w:p w14:paraId="40AF86E9" w14:textId="3E07C00F" w:rsidR="008A740A" w:rsidRDefault="00736D8E" w:rsidP="008A740A">
      <w:pPr>
        <w:spacing w:after="0"/>
      </w:pPr>
      <w:r>
        <w:t xml:space="preserve">A </w:t>
      </w:r>
      <w:hyperlink w:anchor="DataMaturityAssessment" w:history="1">
        <w:r w:rsidRPr="000D1C80">
          <w:rPr>
            <w:rStyle w:val="Hyperlink"/>
          </w:rPr>
          <w:t>data maturity assessment</w:t>
        </w:r>
      </w:hyperlink>
      <w:r>
        <w:t xml:space="preserve"> is a </w:t>
      </w:r>
      <w:r w:rsidRPr="008A740A">
        <w:t xml:space="preserve">high-level assessment of </w:t>
      </w:r>
      <w:r>
        <w:t xml:space="preserve">an organization’s </w:t>
      </w:r>
      <w:r w:rsidRPr="008A740A">
        <w:t xml:space="preserve">current </w:t>
      </w:r>
      <w:r>
        <w:t xml:space="preserve">data </w:t>
      </w:r>
      <w:r w:rsidRPr="008A740A">
        <w:t>capabilities and supporting processes</w:t>
      </w:r>
      <w:r>
        <w:t>. It is</w:t>
      </w:r>
      <w:r w:rsidR="00CE700B">
        <w:t xml:space="preserve"> a</w:t>
      </w:r>
      <w:r>
        <w:t xml:space="preserve"> tool to </w:t>
      </w:r>
      <w:r w:rsidR="00DA57E2">
        <w:t xml:space="preserve">help </w:t>
      </w:r>
      <w:r>
        <w:t xml:space="preserve">organizations </w:t>
      </w:r>
      <w:r w:rsidR="00DA57E2">
        <w:t>analyze</w:t>
      </w:r>
      <w:r w:rsidR="008A740A" w:rsidRPr="008A740A">
        <w:t xml:space="preserve"> all aspects of </w:t>
      </w:r>
      <w:r>
        <w:t>their</w:t>
      </w:r>
      <w:r w:rsidR="008A740A" w:rsidRPr="008A740A">
        <w:t xml:space="preserve"> policies, procedures, and operations related to data and data infrastructure, including data governance, data management, </w:t>
      </w:r>
      <w:r w:rsidR="008A740A" w:rsidRPr="008A740A">
        <w:lastRenderedPageBreak/>
        <w:t>data culture, data systems and tools, data analytics, staff skills and capacity, resource capacity, and compliance with law and policy.</w:t>
      </w:r>
      <w:r w:rsidR="005C037F">
        <w:rPr>
          <w:rStyle w:val="EndnoteReference"/>
        </w:rPr>
        <w:endnoteReference w:id="7"/>
      </w:r>
      <w:r w:rsidR="008A740A" w:rsidRPr="008A740A">
        <w:t xml:space="preserve"> </w:t>
      </w:r>
    </w:p>
    <w:p w14:paraId="3BCFD132" w14:textId="746BB0FF" w:rsidR="00736D8E" w:rsidRPr="00736D8E" w:rsidRDefault="00736D8E" w:rsidP="00736D8E">
      <w:pPr>
        <w:spacing w:before="160"/>
        <w:rPr>
          <w:b/>
          <w:bCs/>
        </w:rPr>
      </w:pPr>
      <w:r w:rsidRPr="00736D8E">
        <w:rPr>
          <w:b/>
          <w:bCs/>
        </w:rPr>
        <w:t xml:space="preserve">Why is a data maturity assessment important? </w:t>
      </w:r>
    </w:p>
    <w:p w14:paraId="174FA446" w14:textId="2A927A90" w:rsidR="00244F1B" w:rsidRDefault="00CE700B" w:rsidP="00443059">
      <w:r>
        <w:t>A data m</w:t>
      </w:r>
      <w:r w:rsidR="00736D8E" w:rsidRPr="008A740A">
        <w:t>aturity assessment allow</w:t>
      </w:r>
      <w:r>
        <w:t>s</w:t>
      </w:r>
      <w:r w:rsidR="00736D8E" w:rsidRPr="008A740A">
        <w:t xml:space="preserve"> an organization to evaluate itself against documented best practices, determine gaps, and identify areas to prioritize for improvement.</w:t>
      </w:r>
      <w:r w:rsidR="00051D5F">
        <w:rPr>
          <w:rStyle w:val="EndnoteReference"/>
        </w:rPr>
        <w:endnoteReference w:id="8"/>
      </w:r>
      <w:r>
        <w:t xml:space="preserve"> </w:t>
      </w:r>
    </w:p>
    <w:p w14:paraId="01765B58" w14:textId="320C522E" w:rsidR="008A740A" w:rsidRDefault="00CE700B" w:rsidP="00CE700B">
      <w:r>
        <w:t>In addition, it</w:t>
      </w:r>
      <w:r w:rsidR="008A740A" w:rsidRPr="008A740A">
        <w:t xml:space="preserve"> helps with strategic communication between agency data professionals and agency leadership, and </w:t>
      </w:r>
      <w:r w:rsidR="009C767D">
        <w:t xml:space="preserve">it </w:t>
      </w:r>
      <w:r w:rsidR="008A740A" w:rsidRPr="008A740A">
        <w:t xml:space="preserve">provides a common language and framework to help promulgate solutions and best practices across </w:t>
      </w:r>
      <w:r>
        <w:t>f</w:t>
      </w:r>
      <w:r w:rsidR="008A740A" w:rsidRPr="008A740A">
        <w:t xml:space="preserve">ederal agencies to </w:t>
      </w:r>
      <w:r w:rsidR="00DA57E2" w:rsidRPr="008A740A">
        <w:t>advanc</w:t>
      </w:r>
      <w:r w:rsidR="00DA57E2">
        <w:t>e</w:t>
      </w:r>
      <w:r w:rsidR="00DA57E2" w:rsidRPr="008A740A">
        <w:t xml:space="preserve"> </w:t>
      </w:r>
      <w:r w:rsidR="008A740A" w:rsidRPr="008A740A">
        <w:t>data-driven decision-making</w:t>
      </w:r>
      <w:r>
        <w:t xml:space="preserve">. </w:t>
      </w:r>
      <w:r>
        <w:rPr>
          <w:rFonts w:cstheme="minorHAnsi"/>
        </w:rPr>
        <w:t>Thus, the Federal Data Strategy</w:t>
      </w:r>
      <w:r w:rsidR="00051D5F">
        <w:rPr>
          <w:rStyle w:val="EndnoteReference"/>
          <w:rFonts w:cstheme="minorHAnsi"/>
        </w:rPr>
        <w:endnoteReference w:id="9"/>
      </w:r>
      <w:r>
        <w:rPr>
          <w:rFonts w:cstheme="minorHAnsi"/>
        </w:rPr>
        <w:t xml:space="preserve"> encourages agencies to take action focused on </w:t>
      </w:r>
      <w:r w:rsidR="00015EBC">
        <w:rPr>
          <w:rFonts w:cstheme="minorHAnsi"/>
        </w:rPr>
        <w:t>assessing data maturity</w:t>
      </w:r>
      <w:r>
        <w:rPr>
          <w:rFonts w:cstheme="minorHAnsi"/>
        </w:rPr>
        <w:t>:</w:t>
      </w:r>
    </w:p>
    <w:p w14:paraId="4C7BACB1" w14:textId="1DB980D6" w:rsidR="008A740A" w:rsidRDefault="008A740A" w:rsidP="00923487">
      <w:pPr>
        <w:pStyle w:val="Default"/>
        <w:spacing w:after="200"/>
        <w:ind w:left="360"/>
        <w:rPr>
          <w:sz w:val="22"/>
          <w:szCs w:val="22"/>
        </w:rPr>
      </w:pPr>
      <w:r w:rsidRPr="00CE700B">
        <w:rPr>
          <w:b/>
          <w:bCs/>
          <w:sz w:val="22"/>
          <w:szCs w:val="22"/>
        </w:rPr>
        <w:t>Assess Maturity</w:t>
      </w:r>
      <w:r>
        <w:rPr>
          <w:sz w:val="22"/>
          <w:szCs w:val="22"/>
        </w:rPr>
        <w:t xml:space="preserve">: Evaluate the maturity of all aspects of agency data capabilities to inform priorities for strategic resource investment. </w:t>
      </w:r>
    </w:p>
    <w:p w14:paraId="70904836" w14:textId="68AAF77F" w:rsidR="00923487" w:rsidRPr="00235A39" w:rsidRDefault="00923487" w:rsidP="00923487">
      <w:pPr>
        <w:pStyle w:val="Default"/>
        <w:rPr>
          <w:sz w:val="22"/>
          <w:szCs w:val="22"/>
        </w:rPr>
      </w:pPr>
      <w:r>
        <w:rPr>
          <w:noProof/>
        </w:rPr>
        <mc:AlternateContent>
          <mc:Choice Requires="wps">
            <w:drawing>
              <wp:inline distT="0" distB="0" distL="0" distR="0" wp14:anchorId="01E5AEF6" wp14:editId="407D0796">
                <wp:extent cx="5943600" cy="847725"/>
                <wp:effectExtent l="0" t="0" r="19050" b="28575"/>
                <wp:docPr id="9" name="Text Box 2" descr="A data maturity assessment can help ACL and its Centers&#10;• assess existing data capabilities and processes; &#10;• prioritize time and resources to improve data and related infrastructure; and &#10;• assess progress over time in improving data infrastructure and operation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7725"/>
                        </a:xfrm>
                        <a:prstGeom prst="rect">
                          <a:avLst/>
                        </a:prstGeom>
                        <a:solidFill>
                          <a:srgbClr val="2A4B86"/>
                        </a:solidFill>
                        <a:ln w="9525">
                          <a:solidFill>
                            <a:srgbClr val="000000"/>
                          </a:solidFill>
                          <a:miter lim="800000"/>
                          <a:headEnd/>
                          <a:tailEnd/>
                        </a:ln>
                      </wps:spPr>
                      <wps:txbx>
                        <w:txbxContent>
                          <w:p w14:paraId="702C9D8B" w14:textId="63125285" w:rsidR="006B305B" w:rsidRDefault="006B305B" w:rsidP="00923487">
                            <w:pPr>
                              <w:spacing w:after="0"/>
                              <w:rPr>
                                <w:color w:val="FFFFFF" w:themeColor="background1"/>
                              </w:rPr>
                            </w:pPr>
                            <w:r>
                              <w:rPr>
                                <w:color w:val="FFFFFF" w:themeColor="background1"/>
                              </w:rPr>
                              <w:t>A data maturity assessment can help ACL and its Centers</w:t>
                            </w:r>
                          </w:p>
                          <w:p w14:paraId="7AA4D3F4" w14:textId="77777777" w:rsidR="006B305B" w:rsidRDefault="006B305B" w:rsidP="00923487">
                            <w:pPr>
                              <w:pStyle w:val="ListParagraph"/>
                              <w:numPr>
                                <w:ilvl w:val="0"/>
                                <w:numId w:val="13"/>
                              </w:numPr>
                              <w:spacing w:after="0"/>
                              <w:ind w:left="540" w:hanging="274"/>
                              <w:contextualSpacing w:val="0"/>
                              <w:rPr>
                                <w:color w:val="FFFFFF" w:themeColor="background1"/>
                              </w:rPr>
                            </w:pPr>
                            <w:r>
                              <w:rPr>
                                <w:color w:val="FFFFFF" w:themeColor="background1"/>
                              </w:rPr>
                              <w:t xml:space="preserve">assess existing data capabilities and processes; </w:t>
                            </w:r>
                          </w:p>
                          <w:p w14:paraId="20643E97" w14:textId="77777777" w:rsidR="006B305B" w:rsidRDefault="006B305B" w:rsidP="00923487">
                            <w:pPr>
                              <w:pStyle w:val="ListParagraph"/>
                              <w:numPr>
                                <w:ilvl w:val="0"/>
                                <w:numId w:val="13"/>
                              </w:numPr>
                              <w:spacing w:after="0"/>
                              <w:ind w:left="540" w:hanging="274"/>
                              <w:contextualSpacing w:val="0"/>
                              <w:rPr>
                                <w:color w:val="FFFFFF" w:themeColor="background1"/>
                              </w:rPr>
                            </w:pPr>
                            <w:r>
                              <w:rPr>
                                <w:color w:val="FFFFFF" w:themeColor="background1"/>
                              </w:rPr>
                              <w:t xml:space="preserve">prioritize time and resources to improve data and related infrastructure; and </w:t>
                            </w:r>
                          </w:p>
                          <w:p w14:paraId="40C1DF94" w14:textId="1D8AAD67" w:rsidR="006B305B" w:rsidRPr="00015EBC" w:rsidRDefault="006B305B" w:rsidP="00923487">
                            <w:pPr>
                              <w:pStyle w:val="ListParagraph"/>
                              <w:numPr>
                                <w:ilvl w:val="0"/>
                                <w:numId w:val="13"/>
                              </w:numPr>
                              <w:spacing w:after="0"/>
                              <w:ind w:left="540" w:hanging="270"/>
                              <w:rPr>
                                <w:color w:val="FFFFFF" w:themeColor="background1"/>
                              </w:rPr>
                            </w:pPr>
                            <w:r>
                              <w:rPr>
                                <w:color w:val="FFFFFF" w:themeColor="background1"/>
                              </w:rPr>
                              <w:t>assess progress over time in improving data infrastructure and operations.</w:t>
                            </w:r>
                          </w:p>
                        </w:txbxContent>
                      </wps:txbx>
                      <wps:bodyPr rot="0" vert="horz" wrap="square" lIns="91440" tIns="45720" rIns="91440" bIns="45720" anchor="ctr"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5AEF6" id="_x0000_s1029" type="#_x0000_t202" alt="A data maturity assessment can help ACL and its Centers&#10;• assess existing data capabilities and processes; &#10;• prioritize time and resources to improve data and related infrastructure; and &#10;• assess progress over time in improving data infrastructure and operations.&#10;" style="width:468pt;height:6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" fillcolor="#2a4b86">
                <v:textbox>
                  <w:txbxContent>
                    <w:p w14:paraId="702C9D8B" w14:textId="63125285" w:rsidR="006B305B" w:rsidRDefault="006B305B" w:rsidP="00923487">
                      <w:pPr>
                        <w:spacing w:after="0"/>
                        <w:rPr>
                          <w:color w:val="FFFFFF" w:themeColor="background1"/>
                        </w:rPr>
                      </w:pPr>
                      <w:r>
                        <w:rPr>
                          <w:color w:val="FFFFFF" w:themeColor="background1"/>
                        </w:rPr>
                        <w:t>A data maturity assessment can help ACL and its Centers</w:t>
                      </w:r>
                    </w:p>
                    <w:p w14:paraId="7AA4D3F4" w14:textId="77777777" w:rsidR="006B305B" w:rsidRDefault="006B305B" w:rsidP="00923487">
                      <w:pPr>
                        <w:pStyle w:val="ListParagraph"/>
                        <w:numPr>
                          <w:ilvl w:val="0"/>
                          <w:numId w:val="13"/>
                        </w:numPr>
                        <w:spacing w:after="0"/>
                        <w:ind w:left="540" w:hanging="274"/>
                        <w:contextualSpacing w:val="0"/>
                        <w:rPr>
                          <w:color w:val="FFFFFF" w:themeColor="background1"/>
                        </w:rPr>
                      </w:pPr>
                      <w:r>
                        <w:rPr>
                          <w:color w:val="FFFFFF" w:themeColor="background1"/>
                        </w:rPr>
                        <w:t xml:space="preserve">assess existing data capabilities and processes; </w:t>
                      </w:r>
                    </w:p>
                    <w:p w14:paraId="20643E97" w14:textId="77777777" w:rsidR="006B305B" w:rsidRDefault="006B305B" w:rsidP="00923487">
                      <w:pPr>
                        <w:pStyle w:val="ListParagraph"/>
                        <w:numPr>
                          <w:ilvl w:val="0"/>
                          <w:numId w:val="13"/>
                        </w:numPr>
                        <w:spacing w:after="0"/>
                        <w:ind w:left="540" w:hanging="274"/>
                        <w:contextualSpacing w:val="0"/>
                        <w:rPr>
                          <w:color w:val="FFFFFF" w:themeColor="background1"/>
                        </w:rPr>
                      </w:pPr>
                      <w:r>
                        <w:rPr>
                          <w:color w:val="FFFFFF" w:themeColor="background1"/>
                        </w:rPr>
                        <w:t xml:space="preserve">prioritize time and resources to improve data and related infrastructure; and </w:t>
                      </w:r>
                    </w:p>
                    <w:p w14:paraId="40C1DF94" w14:textId="1D8AAD67" w:rsidR="006B305B" w:rsidRPr="00015EBC" w:rsidRDefault="006B305B" w:rsidP="00923487">
                      <w:pPr>
                        <w:pStyle w:val="ListParagraph"/>
                        <w:numPr>
                          <w:ilvl w:val="0"/>
                          <w:numId w:val="13"/>
                        </w:numPr>
                        <w:spacing w:after="0"/>
                        <w:ind w:left="540" w:hanging="270"/>
                        <w:rPr>
                          <w:color w:val="FFFFFF" w:themeColor="background1"/>
                        </w:rPr>
                      </w:pPr>
                      <w:r>
                        <w:rPr>
                          <w:color w:val="FFFFFF" w:themeColor="background1"/>
                        </w:rPr>
                        <w:t>assess progress over time in improving data infrastructure and operations.</w:t>
                      </w:r>
                    </w:p>
                  </w:txbxContent>
                </v:textbox>
                <w10:anchorlock/>
              </v:shape>
            </w:pict>
          </mc:Fallback>
        </mc:AlternateContent>
      </w:r>
    </w:p>
    <w:p w14:paraId="6506B458" w14:textId="3E34EE42" w:rsidR="008A740A" w:rsidRDefault="008A740A" w:rsidP="00235A39">
      <w:pPr>
        <w:spacing w:before="160"/>
        <w:rPr>
          <w:b/>
          <w:bCs/>
        </w:rPr>
      </w:pPr>
      <w:r w:rsidRPr="008A740A">
        <w:rPr>
          <w:b/>
          <w:bCs/>
        </w:rPr>
        <w:t>What is an example of a data maturity assessment?</w:t>
      </w:r>
    </w:p>
    <w:p w14:paraId="0FA52475" w14:textId="653AB015" w:rsidR="0035700F" w:rsidRDefault="0035700F" w:rsidP="00235A39">
      <w:pPr>
        <w:spacing w:before="160"/>
      </w:pPr>
      <w:r>
        <w:t>Different data maturity assessment models are available</w:t>
      </w:r>
      <w:r>
        <w:rPr>
          <w:rStyle w:val="FootnoteReference"/>
        </w:rPr>
        <w:footnoteReference w:id="1"/>
      </w:r>
      <w:r>
        <w:t xml:space="preserve">. When selecting a model, </w:t>
      </w:r>
      <w:r w:rsidR="00932476">
        <w:t>data stakeholders</w:t>
      </w:r>
      <w:r>
        <w:t xml:space="preserve"> should select a model that is roughly aligned with ACL’s or </w:t>
      </w:r>
      <w:r w:rsidR="00F03D03">
        <w:t xml:space="preserve">their </w:t>
      </w:r>
      <w:r>
        <w:t xml:space="preserve">Center’s current capacity and can measure current successes while identifying areas for improvement. It is important that the model balances the information </w:t>
      </w:r>
      <w:r w:rsidR="00F03D03">
        <w:t>needed</w:t>
      </w:r>
      <w:r>
        <w:t xml:space="preserve"> and the resources </w:t>
      </w:r>
      <w:r w:rsidR="00F03D03">
        <w:t xml:space="preserve">available </w:t>
      </w:r>
      <w:r>
        <w:t xml:space="preserve">for </w:t>
      </w:r>
      <w:r w:rsidR="00543F93">
        <w:t xml:space="preserve">the </w:t>
      </w:r>
      <w:r>
        <w:t>assessment</w:t>
      </w:r>
      <w:r w:rsidR="00051D5F">
        <w:t xml:space="preserve"> with </w:t>
      </w:r>
      <w:r>
        <w:t>the types of action</w:t>
      </w:r>
      <w:r w:rsidR="0007649E">
        <w:t>s</w:t>
      </w:r>
      <w:r>
        <w:t xml:space="preserve"> </w:t>
      </w:r>
      <w:r w:rsidR="00543F93">
        <w:t xml:space="preserve">ACL or </w:t>
      </w:r>
      <w:r w:rsidR="00F03D03">
        <w:t xml:space="preserve">a </w:t>
      </w:r>
      <w:r w:rsidR="00543F93">
        <w:t>Center</w:t>
      </w:r>
      <w:r>
        <w:t xml:space="preserve"> can </w:t>
      </w:r>
      <w:r w:rsidR="00F03D03">
        <w:t xml:space="preserve">realistically </w:t>
      </w:r>
      <w:r>
        <w:t>take based on the results</w:t>
      </w:r>
      <w:r w:rsidR="00543F93">
        <w:t>.</w:t>
      </w:r>
    </w:p>
    <w:p w14:paraId="174840EB" w14:textId="6AB4F0E3" w:rsidR="00CC0860" w:rsidRDefault="0007649E" w:rsidP="00662FAE">
      <w:pPr>
        <w:spacing w:before="160" w:after="120"/>
        <w:rPr>
          <w:rStyle w:val="Hyperlink"/>
          <w:color w:val="auto"/>
          <w:u w:val="none"/>
        </w:rPr>
      </w:pPr>
      <w:r>
        <w:t xml:space="preserve">One example of a data maturity model is the </w:t>
      </w:r>
      <w:hyperlink r:id="rId15" w:history="1">
        <w:r>
          <w:rPr>
            <w:rStyle w:val="Hyperlink"/>
          </w:rPr>
          <w:t>Federal Government</w:t>
        </w:r>
        <w:r w:rsidRPr="006B5268">
          <w:rPr>
            <w:rStyle w:val="Hyperlink"/>
            <w:color w:val="0563C1"/>
          </w:rPr>
          <w:t xml:space="preserve"> Data Maturity Model</w:t>
        </w:r>
      </w:hyperlink>
      <w:r>
        <w:rPr>
          <w:rStyle w:val="Hyperlink"/>
          <w:color w:val="auto"/>
          <w:u w:val="none"/>
        </w:rPr>
        <w:t xml:space="preserve"> (see </w:t>
      </w:r>
      <w:hyperlink w:anchor="_Appendix_B._Federal" w:history="1">
        <w:r w:rsidRPr="00514B42">
          <w:rPr>
            <w:rStyle w:val="Hyperlink"/>
          </w:rPr>
          <w:t>Appendix B</w:t>
        </w:r>
      </w:hyperlink>
      <w:r w:rsidR="00CC0860">
        <w:rPr>
          <w:rStyle w:val="Hyperlink"/>
          <w:color w:val="auto"/>
          <w:u w:val="none"/>
        </w:rPr>
        <w:t xml:space="preserve">). </w:t>
      </w:r>
      <w:r w:rsidR="00C00F25">
        <w:rPr>
          <w:rStyle w:val="Hyperlink"/>
          <w:color w:val="auto"/>
          <w:u w:val="none"/>
        </w:rPr>
        <w:t xml:space="preserve">This </w:t>
      </w:r>
      <w:r w:rsidR="00CC0860">
        <w:rPr>
          <w:rStyle w:val="Hyperlink"/>
          <w:color w:val="auto"/>
          <w:u w:val="none"/>
        </w:rPr>
        <w:t>model would help</w:t>
      </w:r>
      <w:r w:rsidR="00CC0860" w:rsidRPr="00CC0860">
        <w:rPr>
          <w:rStyle w:val="Hyperlink"/>
          <w:color w:val="auto"/>
          <w:u w:val="none"/>
        </w:rPr>
        <w:t xml:space="preserve"> ACL</w:t>
      </w:r>
      <w:r w:rsidR="00CC0860">
        <w:rPr>
          <w:rStyle w:val="Hyperlink"/>
          <w:color w:val="auto"/>
          <w:u w:val="none"/>
        </w:rPr>
        <w:t xml:space="preserve"> </w:t>
      </w:r>
      <w:r w:rsidR="00CC0860" w:rsidRPr="00CC0860">
        <w:rPr>
          <w:rStyle w:val="Hyperlink"/>
          <w:color w:val="auto"/>
          <w:u w:val="none"/>
        </w:rPr>
        <w:t>assess the current state of its data capabilities by determining where ACL’s capabilities lie on a continuum from low (=1) to high (=5) in six key</w:t>
      </w:r>
      <w:r w:rsidR="009729D8">
        <w:rPr>
          <w:rStyle w:val="Hyperlink"/>
          <w:color w:val="auto"/>
          <w:u w:val="none"/>
        </w:rPr>
        <w:t xml:space="preserve"> data maturity</w:t>
      </w:r>
      <w:r w:rsidR="00CC0860" w:rsidRPr="00CC0860">
        <w:rPr>
          <w:rStyle w:val="Hyperlink"/>
          <w:color w:val="auto"/>
          <w:u w:val="none"/>
        </w:rPr>
        <w:t xml:space="preserve"> areas (</w:t>
      </w:r>
      <w:r w:rsidR="00C00F25">
        <w:rPr>
          <w:rStyle w:val="Hyperlink"/>
          <w:color w:val="auto"/>
          <w:u w:val="none"/>
        </w:rPr>
        <w:t>or “</w:t>
      </w:r>
      <w:r w:rsidR="00CC0860" w:rsidRPr="00CC0860">
        <w:rPr>
          <w:rStyle w:val="Hyperlink"/>
          <w:color w:val="auto"/>
          <w:u w:val="none"/>
        </w:rPr>
        <w:t>lanes</w:t>
      </w:r>
      <w:r w:rsidR="00C00F25">
        <w:rPr>
          <w:rStyle w:val="Hyperlink"/>
          <w:color w:val="auto"/>
          <w:u w:val="none"/>
        </w:rPr>
        <w:t>”</w:t>
      </w:r>
      <w:r w:rsidR="00CC0860" w:rsidRPr="00CC0860">
        <w:rPr>
          <w:rStyle w:val="Hyperlink"/>
          <w:color w:val="auto"/>
          <w:u w:val="none"/>
        </w:rPr>
        <w:t xml:space="preserve">). </w:t>
      </w:r>
      <w:r w:rsidR="00C00F25">
        <w:rPr>
          <w:rStyle w:val="Hyperlink"/>
          <w:color w:val="auto"/>
          <w:u w:val="none"/>
        </w:rPr>
        <w:t>The Federal Government Data Maturity Model</w:t>
      </w:r>
      <w:r w:rsidR="00C00F25" w:rsidRPr="00CC0860">
        <w:rPr>
          <w:rStyle w:val="Hyperlink"/>
          <w:color w:val="auto"/>
          <w:u w:val="none"/>
        </w:rPr>
        <w:t xml:space="preserve"> </w:t>
      </w:r>
      <w:r w:rsidR="00CC0860">
        <w:rPr>
          <w:rStyle w:val="Hyperlink"/>
          <w:color w:val="auto"/>
          <w:u w:val="none"/>
        </w:rPr>
        <w:t>would</w:t>
      </w:r>
      <w:r w:rsidR="00CC0860" w:rsidRPr="00CC0860">
        <w:rPr>
          <w:rStyle w:val="Hyperlink"/>
          <w:color w:val="auto"/>
          <w:u w:val="none"/>
        </w:rPr>
        <w:t xml:space="preserve"> </w:t>
      </w:r>
      <w:r w:rsidR="00514B42">
        <w:rPr>
          <w:rStyle w:val="Hyperlink"/>
          <w:color w:val="auto"/>
          <w:u w:val="none"/>
        </w:rPr>
        <w:t xml:space="preserve">also </w:t>
      </w:r>
      <w:r w:rsidR="00CC0860" w:rsidRPr="00CC0860">
        <w:rPr>
          <w:rStyle w:val="Hyperlink"/>
          <w:color w:val="auto"/>
          <w:u w:val="none"/>
        </w:rPr>
        <w:t xml:space="preserve">help ACL identify future milestones </w:t>
      </w:r>
      <w:r w:rsidR="00C00F25">
        <w:rPr>
          <w:rStyle w:val="Hyperlink"/>
          <w:color w:val="auto"/>
          <w:u w:val="none"/>
        </w:rPr>
        <w:t>to signify improvement in</w:t>
      </w:r>
      <w:r w:rsidR="00CC0860" w:rsidRPr="00CC0860">
        <w:rPr>
          <w:rStyle w:val="Hyperlink"/>
          <w:color w:val="auto"/>
          <w:u w:val="none"/>
        </w:rPr>
        <w:t xml:space="preserve"> its data capabilities. </w:t>
      </w:r>
      <w:r w:rsidR="00C00F25" w:rsidRPr="00CC0860">
        <w:rPr>
          <w:rStyle w:val="Hyperlink"/>
          <w:color w:val="auto"/>
          <w:u w:val="none"/>
        </w:rPr>
        <w:t>Th</w:t>
      </w:r>
      <w:r w:rsidR="00C00F25">
        <w:rPr>
          <w:rStyle w:val="Hyperlink"/>
          <w:color w:val="auto"/>
          <w:u w:val="none"/>
        </w:rPr>
        <w:t>is</w:t>
      </w:r>
      <w:r w:rsidR="00C00F25" w:rsidRPr="00CC0860">
        <w:rPr>
          <w:rStyle w:val="Hyperlink"/>
          <w:color w:val="auto"/>
          <w:u w:val="none"/>
        </w:rPr>
        <w:t xml:space="preserve"> </w:t>
      </w:r>
      <w:r w:rsidR="00CC0860" w:rsidRPr="00CC0860">
        <w:rPr>
          <w:rStyle w:val="Hyperlink"/>
          <w:color w:val="auto"/>
          <w:u w:val="none"/>
        </w:rPr>
        <w:t xml:space="preserve">model </w:t>
      </w:r>
      <w:r w:rsidR="00C00F25">
        <w:rPr>
          <w:rStyle w:val="Hyperlink"/>
          <w:color w:val="auto"/>
          <w:u w:val="none"/>
        </w:rPr>
        <w:t>could</w:t>
      </w:r>
      <w:r w:rsidR="00C00F25" w:rsidRPr="00CC0860">
        <w:rPr>
          <w:rStyle w:val="Hyperlink"/>
          <w:color w:val="auto"/>
          <w:u w:val="none"/>
        </w:rPr>
        <w:t xml:space="preserve"> </w:t>
      </w:r>
      <w:r w:rsidR="00CC0860" w:rsidRPr="00CC0860">
        <w:rPr>
          <w:rStyle w:val="Hyperlink"/>
          <w:color w:val="auto"/>
          <w:u w:val="none"/>
        </w:rPr>
        <w:t>be applied at strategic time points to assess progress over time.</w:t>
      </w:r>
      <w:r w:rsidR="00514B42">
        <w:rPr>
          <w:rStyle w:val="Hyperlink"/>
          <w:color w:val="auto"/>
          <w:u w:val="none"/>
        </w:rPr>
        <w:t xml:space="preserve"> </w:t>
      </w:r>
      <w:hyperlink w:anchor="_Appendix_C._Application" w:history="1">
        <w:r w:rsidR="00514B42" w:rsidRPr="00514B42">
          <w:rPr>
            <w:rStyle w:val="Hyperlink"/>
          </w:rPr>
          <w:t>Appendix C</w:t>
        </w:r>
      </w:hyperlink>
      <w:r w:rsidR="00514B42">
        <w:rPr>
          <w:rStyle w:val="Hyperlink"/>
          <w:color w:val="auto"/>
          <w:u w:val="none"/>
        </w:rPr>
        <w:t xml:space="preserve"> provides an example of how the model </w:t>
      </w:r>
      <w:r w:rsidR="00C00F25">
        <w:rPr>
          <w:rStyle w:val="Hyperlink"/>
          <w:color w:val="auto"/>
          <w:u w:val="none"/>
        </w:rPr>
        <w:t xml:space="preserve">might </w:t>
      </w:r>
      <w:r w:rsidR="00514B42">
        <w:rPr>
          <w:rStyle w:val="Hyperlink"/>
          <w:color w:val="auto"/>
          <w:u w:val="none"/>
        </w:rPr>
        <w:t xml:space="preserve">be applied to assess the </w:t>
      </w:r>
      <w:r w:rsidR="00514B42" w:rsidRPr="00D62B65">
        <w:t xml:space="preserve">current state of </w:t>
      </w:r>
      <w:r w:rsidR="00514B42">
        <w:t xml:space="preserve">ACL’s </w:t>
      </w:r>
      <w:r w:rsidR="00514B42" w:rsidRPr="00D62B65">
        <w:t>data capabilities</w:t>
      </w:r>
      <w:r w:rsidR="00514B42">
        <w:t>.</w:t>
      </w:r>
    </w:p>
    <w:p w14:paraId="52DBAA3B" w14:textId="164B7238" w:rsidR="00CA54C0" w:rsidRDefault="00923487" w:rsidP="00923487">
      <w:pPr>
        <w:spacing w:before="160" w:after="0"/>
        <w:jc w:val="center"/>
      </w:pPr>
      <w:r>
        <w:rPr>
          <w:noProof/>
        </w:rPr>
        <w:lastRenderedPageBreak/>
        <w:drawing>
          <wp:inline distT="0" distB="0" distL="0" distR="0" wp14:anchorId="4D5FE6B0" wp14:editId="5CB21F9C">
            <wp:extent cx="6028926" cy="1704975"/>
            <wp:effectExtent l="0" t="0" r="0" b="0"/>
            <wp:docPr id="3" name="Picture 3" descr="Lists the six data maturity areas: analytic capability, data culture, data management, data personnel, data systems and technology, and data governance. Capabilities in the areas lies on a continuum from low to high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sts the six data maturity areas: analytic capability, data culture, data management, data personnel, data systems and technology, and data governance. Capabilities in the areas lies on a continuum from low to high capability."/>
                    <pic:cNvPicPr/>
                  </pic:nvPicPr>
                  <pic:blipFill>
                    <a:blip r:embed="rId16">
                      <a:extLst>
                        <a:ext uri="{28A0092B-C50C-407E-A947-70E740481C1C}">
                          <a14:useLocalDpi xmlns:a14="http://schemas.microsoft.com/office/drawing/2010/main" val="0"/>
                        </a:ext>
                      </a:extLst>
                    </a:blip>
                    <a:stretch>
                      <a:fillRect/>
                    </a:stretch>
                  </pic:blipFill>
                  <pic:spPr>
                    <a:xfrm>
                      <a:off x="0" y="0"/>
                      <a:ext cx="6032194" cy="1705899"/>
                    </a:xfrm>
                    <a:prstGeom prst="rect">
                      <a:avLst/>
                    </a:prstGeom>
                  </pic:spPr>
                </pic:pic>
              </a:graphicData>
            </a:graphic>
          </wp:inline>
        </w:drawing>
      </w:r>
    </w:p>
    <w:p w14:paraId="590AA1AA" w14:textId="4FD6A479" w:rsidR="00673586" w:rsidRDefault="006B5268" w:rsidP="00DA4ADB">
      <w:pPr>
        <w:pStyle w:val="Heading3"/>
      </w:pPr>
      <w:bookmarkStart w:id="29" w:name="_Toc52181181"/>
      <w:r>
        <w:t xml:space="preserve">ACL Governance </w:t>
      </w:r>
      <w:r w:rsidR="00564149">
        <w:t>Guidance</w:t>
      </w:r>
      <w:bookmarkEnd w:id="29"/>
    </w:p>
    <w:p w14:paraId="68376535" w14:textId="77777777" w:rsidR="00F15881" w:rsidRDefault="00F15881" w:rsidP="00F15881">
      <w:pPr>
        <w:pStyle w:val="Heading4"/>
      </w:pPr>
      <w:bookmarkStart w:id="30" w:name="_Toc52181182"/>
      <w:bookmarkStart w:id="31" w:name="_Hlk49762528"/>
      <w:r>
        <w:t>Data principles</w:t>
      </w:r>
      <w:bookmarkEnd w:id="30"/>
    </w:p>
    <w:p w14:paraId="15E9806C" w14:textId="77777777" w:rsidR="00F15881" w:rsidRPr="00D4780E" w:rsidRDefault="00F15881" w:rsidP="00F15881">
      <w:pPr>
        <w:rPr>
          <w:b/>
          <w:bCs/>
        </w:rPr>
      </w:pPr>
      <w:r w:rsidRPr="00D4780E">
        <w:rPr>
          <w:b/>
          <w:bCs/>
        </w:rPr>
        <w:t>What are key principles of data governance?</w:t>
      </w:r>
    </w:p>
    <w:p w14:paraId="39F0785D" w14:textId="77777777" w:rsidR="00F15881" w:rsidRPr="00F13517" w:rsidRDefault="00F15881" w:rsidP="00F15881">
      <w:r w:rsidRPr="00D4780E">
        <w:t>To ensure</w:t>
      </w:r>
      <w:r>
        <w:t xml:space="preserve"> successful</w:t>
      </w:r>
      <w:r w:rsidRPr="00D4780E">
        <w:t xml:space="preserve"> </w:t>
      </w:r>
      <w:r>
        <w:t>data governance</w:t>
      </w:r>
      <w:r w:rsidRPr="00D4780E">
        <w:t xml:space="preserve">, there are five </w:t>
      </w:r>
      <w:r>
        <w:t>core</w:t>
      </w:r>
      <w:r w:rsidRPr="00D4780E">
        <w:t xml:space="preserve"> data governance principles </w:t>
      </w:r>
      <w:r>
        <w:t>to consider:</w:t>
      </w:r>
      <w:r>
        <w:rPr>
          <w:rStyle w:val="EndnoteReference"/>
        </w:rPr>
        <w:endnoteReference w:id="10"/>
      </w:r>
      <w:r>
        <w:rPr>
          <w:vertAlign w:val="superscript"/>
        </w:rPr>
        <w:t>,</w:t>
      </w:r>
      <w:r>
        <w:rPr>
          <w:rStyle w:val="EndnoteReference"/>
        </w:rPr>
        <w:endnoteReference w:id="11"/>
      </w:r>
      <w:r>
        <w:rPr>
          <w:vertAlign w:val="superscript"/>
        </w:rPr>
        <w:t>,</w:t>
      </w:r>
      <w:r>
        <w:rPr>
          <w:rStyle w:val="EndnoteReference"/>
        </w:rPr>
        <w:endnoteReference w:id="12"/>
      </w:r>
      <w:r>
        <w:t xml:space="preserve"> </w:t>
      </w:r>
    </w:p>
    <w:p w14:paraId="59466C6A" w14:textId="6A97D2E7" w:rsidR="00F15881" w:rsidRDefault="005A473B" w:rsidP="00F15881">
      <w:hyperlink r:id="rId17" w:tooltip="https://www.datagovernance.unsw.edu.au/data-governance-principles" w:history="1">
        <w:r w:rsidR="00F15881" w:rsidRPr="00F66905">
          <w:rPr>
            <w:rStyle w:val="Hyperlink"/>
          </w:rPr>
          <w:t>https://www.datagovernance.unsw.edu.au/data-governance-principles</w:t>
        </w:r>
      </w:hyperlink>
      <w:r w:rsidR="00F15881">
        <w:t xml:space="preserve"> </w:t>
      </w:r>
    </w:p>
    <w:p w14:paraId="7DB9F62C" w14:textId="77777777" w:rsidR="00F15881" w:rsidRPr="00D4780E" w:rsidRDefault="00F15881" w:rsidP="00F15881">
      <w:pPr>
        <w:numPr>
          <w:ilvl w:val="0"/>
          <w:numId w:val="22"/>
        </w:numPr>
        <w:shd w:val="clear" w:color="auto" w:fill="FFFFFF"/>
        <w:spacing w:after="120"/>
        <w:rPr>
          <w:rFonts w:cstheme="minorHAnsi"/>
          <w:color w:val="000000" w:themeColor="text1"/>
        </w:rPr>
      </w:pPr>
      <w:r>
        <w:rPr>
          <w:rStyle w:val="Strong"/>
          <w:rFonts w:cstheme="minorHAnsi"/>
          <w:color w:val="000000" w:themeColor="text1"/>
        </w:rPr>
        <w:t>Valued and strategic enterprise asset</w:t>
      </w:r>
      <w:r w:rsidRPr="00D4780E">
        <w:rPr>
          <w:rStyle w:val="Strong"/>
          <w:rFonts w:cstheme="minorHAnsi"/>
          <w:color w:val="000000" w:themeColor="text1"/>
        </w:rPr>
        <w:t>:</w:t>
      </w:r>
      <w:r w:rsidRPr="00D4780E">
        <w:rPr>
          <w:rFonts w:cstheme="minorHAnsi"/>
          <w:color w:val="000000" w:themeColor="text1"/>
        </w:rPr>
        <w:t> In any</w:t>
      </w:r>
      <w:r>
        <w:rPr>
          <w:rFonts w:cstheme="minorHAnsi"/>
          <w:color w:val="000000" w:themeColor="text1"/>
        </w:rPr>
        <w:t xml:space="preserve"> </w:t>
      </w:r>
      <w:r w:rsidRPr="00D4780E">
        <w:rPr>
          <w:rFonts w:cstheme="minorHAnsi"/>
          <w:color w:val="000000" w:themeColor="text1"/>
        </w:rPr>
        <w:t xml:space="preserve">organization, data </w:t>
      </w:r>
      <w:r>
        <w:rPr>
          <w:rFonts w:cstheme="minorHAnsi"/>
          <w:color w:val="000000" w:themeColor="text1"/>
        </w:rPr>
        <w:t>are</w:t>
      </w:r>
      <w:r w:rsidRPr="00D4780E">
        <w:rPr>
          <w:rFonts w:cstheme="minorHAnsi"/>
          <w:color w:val="000000" w:themeColor="text1"/>
        </w:rPr>
        <w:t xml:space="preserve"> </w:t>
      </w:r>
      <w:r>
        <w:rPr>
          <w:rFonts w:cstheme="minorHAnsi"/>
          <w:color w:val="000000" w:themeColor="text1"/>
        </w:rPr>
        <w:t>a critical</w:t>
      </w:r>
      <w:r w:rsidRPr="00D4780E">
        <w:rPr>
          <w:rFonts w:cstheme="minorHAnsi"/>
          <w:color w:val="000000" w:themeColor="text1"/>
        </w:rPr>
        <w:t xml:space="preserve"> asset. </w:t>
      </w:r>
      <w:r>
        <w:rPr>
          <w:rFonts w:cstheme="minorHAnsi"/>
          <w:color w:val="000000" w:themeColor="text1"/>
        </w:rPr>
        <w:t>They have</w:t>
      </w:r>
      <w:r w:rsidRPr="00D4780E">
        <w:rPr>
          <w:rFonts w:cstheme="minorHAnsi"/>
          <w:color w:val="000000" w:themeColor="text1"/>
        </w:rPr>
        <w:t xml:space="preserve"> real, tangible</w:t>
      </w:r>
      <w:r>
        <w:rPr>
          <w:rFonts w:cstheme="minorHAnsi"/>
          <w:color w:val="000000" w:themeColor="text1"/>
        </w:rPr>
        <w:t>,</w:t>
      </w:r>
      <w:r w:rsidRPr="00D4780E">
        <w:rPr>
          <w:rFonts w:cstheme="minorHAnsi"/>
          <w:color w:val="000000" w:themeColor="text1"/>
        </w:rPr>
        <w:t xml:space="preserve"> and measurable value</w:t>
      </w:r>
      <w:r>
        <w:rPr>
          <w:rFonts w:cstheme="minorHAnsi"/>
          <w:color w:val="000000" w:themeColor="text1"/>
        </w:rPr>
        <w:t xml:space="preserve"> and</w:t>
      </w:r>
      <w:r w:rsidRPr="0097683D">
        <w:rPr>
          <w:rFonts w:cstheme="minorHAnsi"/>
          <w:color w:val="000000" w:themeColor="text1"/>
        </w:rPr>
        <w:t xml:space="preserve"> </w:t>
      </w:r>
      <w:r>
        <w:rPr>
          <w:rFonts w:cstheme="minorHAnsi"/>
          <w:color w:val="000000" w:themeColor="text1"/>
        </w:rPr>
        <w:t>are</w:t>
      </w:r>
      <w:r w:rsidRPr="00D4780E">
        <w:rPr>
          <w:rFonts w:cstheme="minorHAnsi"/>
          <w:color w:val="000000" w:themeColor="text1"/>
        </w:rPr>
        <w:t xml:space="preserve"> </w:t>
      </w:r>
      <w:r>
        <w:rPr>
          <w:rFonts w:cstheme="minorHAnsi"/>
          <w:color w:val="000000" w:themeColor="text1"/>
        </w:rPr>
        <w:t>the foundation</w:t>
      </w:r>
      <w:r w:rsidRPr="00D4780E">
        <w:rPr>
          <w:rFonts w:cstheme="minorHAnsi"/>
          <w:color w:val="000000" w:themeColor="text1"/>
        </w:rPr>
        <w:t xml:space="preserve"> for organizational decision</w:t>
      </w:r>
      <w:r>
        <w:rPr>
          <w:rFonts w:cstheme="minorHAnsi"/>
          <w:color w:val="000000" w:themeColor="text1"/>
        </w:rPr>
        <w:t>-</w:t>
      </w:r>
      <w:r w:rsidRPr="00D4780E">
        <w:rPr>
          <w:rFonts w:cstheme="minorHAnsi"/>
          <w:color w:val="000000" w:themeColor="text1"/>
        </w:rPr>
        <w:t>making</w:t>
      </w:r>
      <w:r>
        <w:rPr>
          <w:rFonts w:cstheme="minorHAnsi"/>
          <w:color w:val="000000" w:themeColor="text1"/>
        </w:rPr>
        <w:t>. Thus, data</w:t>
      </w:r>
      <w:r w:rsidRPr="00D4780E">
        <w:rPr>
          <w:rFonts w:cstheme="minorHAnsi"/>
          <w:color w:val="000000" w:themeColor="text1"/>
        </w:rPr>
        <w:t xml:space="preserve"> must be recognized as a valued enterprise asset across different layers of an organization</w:t>
      </w:r>
      <w:r>
        <w:rPr>
          <w:rFonts w:cstheme="minorHAnsi"/>
          <w:color w:val="000000" w:themeColor="text1"/>
        </w:rPr>
        <w:t xml:space="preserve"> and across programs</w:t>
      </w:r>
      <w:r w:rsidRPr="00D4780E">
        <w:rPr>
          <w:rFonts w:cstheme="minorHAnsi"/>
          <w:color w:val="000000" w:themeColor="text1"/>
        </w:rPr>
        <w:t xml:space="preserve">. </w:t>
      </w:r>
      <w:r>
        <w:rPr>
          <w:rFonts w:cstheme="minorHAnsi"/>
          <w:color w:val="000000" w:themeColor="text1"/>
        </w:rPr>
        <w:t xml:space="preserve">In addition, </w:t>
      </w:r>
      <w:hyperlink w:anchor="DataAsset" w:history="1">
        <w:r w:rsidRPr="0097683D">
          <w:rPr>
            <w:rStyle w:val="Hyperlink"/>
            <w:rFonts w:cstheme="minorHAnsi"/>
          </w:rPr>
          <w:t>data assets</w:t>
        </w:r>
      </w:hyperlink>
      <w:r>
        <w:rPr>
          <w:rFonts w:cstheme="minorHAnsi"/>
          <w:color w:val="000000" w:themeColor="text1"/>
        </w:rPr>
        <w:t xml:space="preserve"> need to be </w:t>
      </w:r>
      <w:r w:rsidRPr="00D4780E">
        <w:rPr>
          <w:rFonts w:cstheme="minorHAnsi"/>
          <w:color w:val="000000" w:themeColor="text1"/>
        </w:rPr>
        <w:t>defined, controlled</w:t>
      </w:r>
      <w:r>
        <w:rPr>
          <w:rFonts w:cstheme="minorHAnsi"/>
          <w:color w:val="000000" w:themeColor="text1"/>
        </w:rPr>
        <w:t>,</w:t>
      </w:r>
      <w:r w:rsidRPr="00D4780E">
        <w:rPr>
          <w:rFonts w:cstheme="minorHAnsi"/>
          <w:color w:val="000000" w:themeColor="text1"/>
        </w:rPr>
        <w:t xml:space="preserve"> and accessed in a careful and process-driven way. </w:t>
      </w:r>
    </w:p>
    <w:p w14:paraId="6225E3C1" w14:textId="77777777" w:rsidR="00F15881" w:rsidRDefault="00F15881" w:rsidP="00F15881">
      <w:pPr>
        <w:numPr>
          <w:ilvl w:val="0"/>
          <w:numId w:val="22"/>
        </w:numPr>
        <w:shd w:val="clear" w:color="auto" w:fill="FFFFFF"/>
        <w:spacing w:after="120"/>
        <w:rPr>
          <w:rFonts w:cstheme="minorHAnsi"/>
          <w:color w:val="000000" w:themeColor="text1"/>
        </w:rPr>
      </w:pPr>
      <w:r w:rsidRPr="00D4780E">
        <w:rPr>
          <w:rStyle w:val="Strong"/>
          <w:rFonts w:cstheme="minorHAnsi"/>
          <w:color w:val="000000" w:themeColor="text1"/>
        </w:rPr>
        <w:t>Data ownership and accountability:</w:t>
      </w:r>
      <w:r w:rsidRPr="00D4780E">
        <w:rPr>
          <w:rFonts w:cstheme="minorHAnsi"/>
          <w:color w:val="000000" w:themeColor="text1"/>
        </w:rPr>
        <w:t> In a successful data governance process, ownership and accountability of data have to be clearly defined.</w:t>
      </w:r>
      <w:r w:rsidRPr="0097683D">
        <w:t xml:space="preserve"> </w:t>
      </w:r>
      <w:r w:rsidRPr="0097683D">
        <w:rPr>
          <w:rFonts w:cstheme="minorHAnsi"/>
          <w:color w:val="000000" w:themeColor="text1"/>
        </w:rPr>
        <w:t>If no</w:t>
      </w:r>
      <w:r>
        <w:rPr>
          <w:rFonts w:cstheme="minorHAnsi"/>
          <w:color w:val="000000" w:themeColor="text1"/>
        </w:rPr>
        <w:t xml:space="preserve"> </w:t>
      </w:r>
      <w:r w:rsidRPr="0097683D">
        <w:rPr>
          <w:rFonts w:cstheme="minorHAnsi"/>
          <w:color w:val="000000" w:themeColor="text1"/>
        </w:rPr>
        <w:t xml:space="preserve">one takes ownership of </w:t>
      </w:r>
      <w:r>
        <w:rPr>
          <w:rFonts w:cstheme="minorHAnsi"/>
          <w:color w:val="000000" w:themeColor="text1"/>
        </w:rPr>
        <w:t>an organization’s</w:t>
      </w:r>
      <w:r w:rsidRPr="0097683D">
        <w:rPr>
          <w:rFonts w:cstheme="minorHAnsi"/>
          <w:color w:val="000000" w:themeColor="text1"/>
        </w:rPr>
        <w:t xml:space="preserve"> data governance</w:t>
      </w:r>
      <w:r>
        <w:rPr>
          <w:rFonts w:cstheme="minorHAnsi"/>
          <w:color w:val="000000" w:themeColor="text1"/>
        </w:rPr>
        <w:t>,</w:t>
      </w:r>
      <w:r w:rsidRPr="0097683D">
        <w:rPr>
          <w:rFonts w:cstheme="minorHAnsi"/>
          <w:color w:val="000000" w:themeColor="text1"/>
        </w:rPr>
        <w:t xml:space="preserve"> it will be directionless, blunt</w:t>
      </w:r>
      <w:r>
        <w:rPr>
          <w:rFonts w:cstheme="minorHAnsi"/>
          <w:color w:val="000000" w:themeColor="text1"/>
        </w:rPr>
        <w:t>,</w:t>
      </w:r>
      <w:r w:rsidRPr="0097683D">
        <w:rPr>
          <w:rFonts w:cstheme="minorHAnsi"/>
          <w:color w:val="000000" w:themeColor="text1"/>
        </w:rPr>
        <w:t xml:space="preserve"> and ineffective. Ownership and accountability ha</w:t>
      </w:r>
      <w:r>
        <w:rPr>
          <w:rFonts w:cstheme="minorHAnsi"/>
          <w:color w:val="000000" w:themeColor="text1"/>
        </w:rPr>
        <w:t>ve</w:t>
      </w:r>
      <w:r w:rsidRPr="0097683D">
        <w:rPr>
          <w:rFonts w:cstheme="minorHAnsi"/>
          <w:color w:val="000000" w:themeColor="text1"/>
        </w:rPr>
        <w:t xml:space="preserve"> to be applied across the organization</w:t>
      </w:r>
      <w:r>
        <w:rPr>
          <w:rFonts w:cstheme="minorHAnsi"/>
          <w:color w:val="000000" w:themeColor="text1"/>
        </w:rPr>
        <w:t xml:space="preserve">, rather than being centered in just one department. </w:t>
      </w:r>
      <w:r w:rsidRPr="0097683D">
        <w:rPr>
          <w:rFonts w:cstheme="minorHAnsi"/>
          <w:color w:val="000000" w:themeColor="text1"/>
        </w:rPr>
        <w:t>To ensure cross-organization accountability</w:t>
      </w:r>
      <w:r>
        <w:rPr>
          <w:rFonts w:cstheme="minorHAnsi"/>
          <w:color w:val="000000" w:themeColor="text1"/>
        </w:rPr>
        <w:t>, organizations may</w:t>
      </w:r>
      <w:r w:rsidRPr="0097683D">
        <w:rPr>
          <w:rFonts w:cstheme="minorHAnsi"/>
          <w:color w:val="000000" w:themeColor="text1"/>
        </w:rPr>
        <w:t xml:space="preserve"> establish a data governance council</w:t>
      </w:r>
      <w:r>
        <w:rPr>
          <w:rFonts w:cstheme="minorHAnsi"/>
          <w:color w:val="000000" w:themeColor="text1"/>
        </w:rPr>
        <w:t xml:space="preserve"> that is</w:t>
      </w:r>
      <w:r w:rsidRPr="0097683D">
        <w:rPr>
          <w:rFonts w:cstheme="minorHAnsi"/>
          <w:color w:val="000000" w:themeColor="text1"/>
        </w:rPr>
        <w:t xml:space="preserve"> comp</w:t>
      </w:r>
      <w:r>
        <w:rPr>
          <w:rFonts w:cstheme="minorHAnsi"/>
          <w:color w:val="000000" w:themeColor="text1"/>
        </w:rPr>
        <w:t>o</w:t>
      </w:r>
      <w:r w:rsidRPr="0097683D">
        <w:rPr>
          <w:rFonts w:cstheme="minorHAnsi"/>
          <w:color w:val="000000" w:themeColor="text1"/>
        </w:rPr>
        <w:t>sed of representatives from all departments</w:t>
      </w:r>
      <w:r>
        <w:rPr>
          <w:rFonts w:cstheme="minorHAnsi"/>
          <w:color w:val="000000" w:themeColor="text1"/>
        </w:rPr>
        <w:t xml:space="preserve"> or programs,</w:t>
      </w:r>
      <w:r w:rsidRPr="0097683D">
        <w:rPr>
          <w:rFonts w:cstheme="minorHAnsi"/>
          <w:color w:val="000000" w:themeColor="text1"/>
        </w:rPr>
        <w:t xml:space="preserve"> including </w:t>
      </w:r>
      <w:r>
        <w:rPr>
          <w:rFonts w:cstheme="minorHAnsi"/>
          <w:color w:val="000000" w:themeColor="text1"/>
        </w:rPr>
        <w:t>leadership</w:t>
      </w:r>
      <w:r w:rsidRPr="0097683D">
        <w:rPr>
          <w:rFonts w:cstheme="minorHAnsi"/>
          <w:color w:val="000000" w:themeColor="text1"/>
        </w:rPr>
        <w:t xml:space="preserve">. The council </w:t>
      </w:r>
      <w:r>
        <w:rPr>
          <w:rFonts w:cstheme="minorHAnsi"/>
          <w:color w:val="000000" w:themeColor="text1"/>
        </w:rPr>
        <w:t xml:space="preserve">should </w:t>
      </w:r>
      <w:r w:rsidRPr="0097683D">
        <w:rPr>
          <w:rFonts w:cstheme="minorHAnsi"/>
          <w:color w:val="000000" w:themeColor="text1"/>
        </w:rPr>
        <w:t xml:space="preserve">define data procedures and policies to be implemented across the organization and </w:t>
      </w:r>
      <w:r>
        <w:rPr>
          <w:rFonts w:cstheme="minorHAnsi"/>
          <w:color w:val="000000" w:themeColor="text1"/>
        </w:rPr>
        <w:t xml:space="preserve">should </w:t>
      </w:r>
      <w:r w:rsidRPr="0097683D">
        <w:rPr>
          <w:rFonts w:cstheme="minorHAnsi"/>
          <w:color w:val="000000" w:themeColor="text1"/>
        </w:rPr>
        <w:t xml:space="preserve">have the authority to ensure they are </w:t>
      </w:r>
      <w:r>
        <w:rPr>
          <w:rFonts w:cstheme="minorHAnsi"/>
          <w:color w:val="000000" w:themeColor="text1"/>
        </w:rPr>
        <w:t>strictly followed</w:t>
      </w:r>
      <w:r w:rsidRPr="0097683D">
        <w:rPr>
          <w:rFonts w:cstheme="minorHAnsi"/>
          <w:color w:val="000000" w:themeColor="text1"/>
        </w:rPr>
        <w:t>.</w:t>
      </w:r>
    </w:p>
    <w:p w14:paraId="629F40FF" w14:textId="77777777" w:rsidR="00F15881" w:rsidRPr="00B32B04" w:rsidRDefault="00F15881" w:rsidP="00F15881">
      <w:pPr>
        <w:numPr>
          <w:ilvl w:val="0"/>
          <w:numId w:val="22"/>
        </w:numPr>
        <w:shd w:val="clear" w:color="auto" w:fill="FFFFFF"/>
        <w:spacing w:after="120"/>
        <w:rPr>
          <w:rFonts w:cstheme="minorHAnsi"/>
          <w:color w:val="000000" w:themeColor="text1"/>
        </w:rPr>
      </w:pPr>
      <w:r>
        <w:rPr>
          <w:rStyle w:val="Strong"/>
          <w:rFonts w:cstheme="minorHAnsi"/>
          <w:color w:val="000000" w:themeColor="text1"/>
        </w:rPr>
        <w:t>S</w:t>
      </w:r>
      <w:r w:rsidRPr="00D4780E">
        <w:rPr>
          <w:rStyle w:val="Strong"/>
          <w:rFonts w:cstheme="minorHAnsi"/>
          <w:color w:val="000000" w:themeColor="text1"/>
        </w:rPr>
        <w:t>tandardized rules and regulations:</w:t>
      </w:r>
      <w:r w:rsidRPr="00D4780E">
        <w:rPr>
          <w:rFonts w:cstheme="minorHAnsi"/>
          <w:color w:val="000000" w:themeColor="text1"/>
        </w:rPr>
        <w:t> A data governance process should follow standardized rules and regulations to</w:t>
      </w:r>
      <w:r w:rsidRPr="00734809">
        <w:rPr>
          <w:rFonts w:cstheme="minorHAnsi"/>
          <w:color w:val="000000" w:themeColor="text1"/>
        </w:rPr>
        <w:t xml:space="preserve"> protect the</w:t>
      </w:r>
      <w:r>
        <w:rPr>
          <w:rFonts w:cstheme="minorHAnsi"/>
          <w:color w:val="000000" w:themeColor="text1"/>
        </w:rPr>
        <w:t xml:space="preserve"> </w:t>
      </w:r>
      <w:r w:rsidRPr="00734809">
        <w:rPr>
          <w:rFonts w:cstheme="minorHAnsi"/>
          <w:color w:val="000000" w:themeColor="text1"/>
        </w:rPr>
        <w:t xml:space="preserve">data and to ensure </w:t>
      </w:r>
      <w:r>
        <w:rPr>
          <w:rFonts w:cstheme="minorHAnsi"/>
          <w:color w:val="000000" w:themeColor="text1"/>
        </w:rPr>
        <w:t>they are</w:t>
      </w:r>
      <w:r w:rsidRPr="00734809">
        <w:rPr>
          <w:rFonts w:cstheme="minorHAnsi"/>
          <w:color w:val="000000" w:themeColor="text1"/>
        </w:rPr>
        <w:t xml:space="preserve"> used in accordance with all relevant external regulations</w:t>
      </w:r>
      <w:r>
        <w:rPr>
          <w:rFonts w:cstheme="minorHAnsi"/>
          <w:color w:val="000000" w:themeColor="text1"/>
        </w:rPr>
        <w:t>. Rules and guidelines should focus on topics such as</w:t>
      </w:r>
      <w:r w:rsidRPr="00B32B04">
        <w:rPr>
          <w:rFonts w:cstheme="minorHAnsi"/>
          <w:color w:val="000000" w:themeColor="text1"/>
        </w:rPr>
        <w:t xml:space="preserve"> data access, data definition, privacy policies</w:t>
      </w:r>
      <w:r>
        <w:rPr>
          <w:rFonts w:cstheme="minorHAnsi"/>
          <w:color w:val="000000" w:themeColor="text1"/>
        </w:rPr>
        <w:t>,</w:t>
      </w:r>
      <w:r w:rsidRPr="00B32B04">
        <w:rPr>
          <w:rFonts w:cstheme="minorHAnsi"/>
          <w:color w:val="000000" w:themeColor="text1"/>
        </w:rPr>
        <w:t xml:space="preserve"> and security standards. </w:t>
      </w:r>
      <w:r>
        <w:rPr>
          <w:rFonts w:cstheme="minorHAnsi"/>
          <w:color w:val="000000" w:themeColor="text1"/>
        </w:rPr>
        <w:t xml:space="preserve">The rules and guidelines should be </w:t>
      </w:r>
      <w:r w:rsidRPr="00B32B04">
        <w:rPr>
          <w:rFonts w:cstheme="minorHAnsi"/>
          <w:color w:val="000000" w:themeColor="text1"/>
        </w:rPr>
        <w:t xml:space="preserve">established at </w:t>
      </w:r>
      <w:r>
        <w:rPr>
          <w:rFonts w:cstheme="minorHAnsi"/>
          <w:color w:val="000000" w:themeColor="text1"/>
        </w:rPr>
        <w:t xml:space="preserve">the </w:t>
      </w:r>
      <w:r w:rsidRPr="00B32B04">
        <w:rPr>
          <w:rFonts w:cstheme="minorHAnsi"/>
          <w:color w:val="000000" w:themeColor="text1"/>
        </w:rPr>
        <w:t>data governance council level and enforced by the data steward(s).</w:t>
      </w:r>
    </w:p>
    <w:p w14:paraId="128D6755" w14:textId="77777777" w:rsidR="00F15881" w:rsidRPr="00074B90" w:rsidRDefault="00F15881" w:rsidP="00F15881">
      <w:pPr>
        <w:numPr>
          <w:ilvl w:val="0"/>
          <w:numId w:val="22"/>
        </w:numPr>
        <w:shd w:val="clear" w:color="auto" w:fill="FFFFFF"/>
        <w:spacing w:after="120"/>
        <w:rPr>
          <w:rFonts w:cstheme="minorHAnsi"/>
          <w:color w:val="000000" w:themeColor="text1"/>
        </w:rPr>
      </w:pPr>
      <w:r>
        <w:rPr>
          <w:rStyle w:val="Strong"/>
          <w:rFonts w:cstheme="minorHAnsi"/>
          <w:color w:val="000000" w:themeColor="text1"/>
        </w:rPr>
        <w:t>Data quality standards</w:t>
      </w:r>
      <w:r w:rsidRPr="00D4780E">
        <w:rPr>
          <w:rStyle w:val="Strong"/>
          <w:rFonts w:cstheme="minorHAnsi"/>
          <w:color w:val="000000" w:themeColor="text1"/>
        </w:rPr>
        <w:t>:</w:t>
      </w:r>
      <w:r w:rsidRPr="00D4780E">
        <w:rPr>
          <w:rFonts w:cstheme="minorHAnsi"/>
          <w:color w:val="000000" w:themeColor="text1"/>
        </w:rPr>
        <w:t xml:space="preserve"> The quality of data has to be managed consistently from the very beginning. </w:t>
      </w:r>
      <w:r>
        <w:rPr>
          <w:rFonts w:cstheme="minorHAnsi"/>
          <w:color w:val="000000" w:themeColor="text1"/>
        </w:rPr>
        <w:t xml:space="preserve">Stakeholders can only make effective decisions if the data are </w:t>
      </w:r>
      <w:r w:rsidRPr="00074B90">
        <w:rPr>
          <w:rFonts w:cstheme="minorHAnsi"/>
          <w:color w:val="000000" w:themeColor="text1"/>
        </w:rPr>
        <w:t>high</w:t>
      </w:r>
      <w:r>
        <w:rPr>
          <w:rFonts w:cstheme="minorHAnsi"/>
          <w:color w:val="000000" w:themeColor="text1"/>
        </w:rPr>
        <w:t xml:space="preserve"> </w:t>
      </w:r>
      <w:r w:rsidRPr="00074B90">
        <w:rPr>
          <w:rFonts w:cstheme="minorHAnsi"/>
          <w:color w:val="000000" w:themeColor="text1"/>
        </w:rPr>
        <w:t>quality</w:t>
      </w:r>
      <w:r>
        <w:rPr>
          <w:rFonts w:cstheme="minorHAnsi"/>
          <w:color w:val="000000" w:themeColor="text1"/>
        </w:rPr>
        <w:t xml:space="preserve"> and </w:t>
      </w:r>
      <w:r w:rsidRPr="00074B90">
        <w:rPr>
          <w:rFonts w:cstheme="minorHAnsi"/>
          <w:color w:val="000000" w:themeColor="text1"/>
        </w:rPr>
        <w:t>trustworthy</w:t>
      </w:r>
      <w:r>
        <w:rPr>
          <w:rFonts w:cstheme="minorHAnsi"/>
          <w:color w:val="000000" w:themeColor="text1"/>
        </w:rPr>
        <w:t xml:space="preserve">. Thus, </w:t>
      </w:r>
      <w:r w:rsidRPr="00074B90">
        <w:rPr>
          <w:rFonts w:cstheme="minorHAnsi"/>
          <w:color w:val="000000" w:themeColor="text1"/>
        </w:rPr>
        <w:t>enterprise data must be tested on a periodic basis against the defined quality standards.</w:t>
      </w:r>
    </w:p>
    <w:p w14:paraId="7D15BFD5" w14:textId="595E08AF" w:rsidR="007E37A7" w:rsidRPr="001F0FCC" w:rsidRDefault="00F15881" w:rsidP="001F0FCC">
      <w:pPr>
        <w:numPr>
          <w:ilvl w:val="0"/>
          <w:numId w:val="22"/>
        </w:numPr>
        <w:shd w:val="clear" w:color="auto" w:fill="FFFFFF"/>
        <w:rPr>
          <w:rFonts w:cstheme="minorHAnsi"/>
          <w:color w:val="000000" w:themeColor="text1"/>
        </w:rPr>
      </w:pPr>
      <w:r>
        <w:rPr>
          <w:rStyle w:val="Strong"/>
          <w:rFonts w:cstheme="minorHAnsi"/>
          <w:color w:val="000000" w:themeColor="text1"/>
        </w:rPr>
        <w:t>Transparency</w:t>
      </w:r>
      <w:r w:rsidRPr="00D4780E">
        <w:rPr>
          <w:rStyle w:val="Strong"/>
          <w:rFonts w:cstheme="minorHAnsi"/>
          <w:color w:val="000000" w:themeColor="text1"/>
        </w:rPr>
        <w:t>:</w:t>
      </w:r>
      <w:r w:rsidRPr="002C066E">
        <w:t xml:space="preserve"> </w:t>
      </w:r>
      <w:r w:rsidRPr="002C066E">
        <w:rPr>
          <w:rStyle w:val="Strong"/>
          <w:rFonts w:cstheme="minorHAnsi"/>
          <w:b w:val="0"/>
          <w:bCs w:val="0"/>
          <w:color w:val="000000" w:themeColor="text1"/>
        </w:rPr>
        <w:t xml:space="preserve">All data governance processes throughout </w:t>
      </w:r>
      <w:r>
        <w:rPr>
          <w:rStyle w:val="Strong"/>
          <w:rFonts w:cstheme="minorHAnsi"/>
          <w:b w:val="0"/>
          <w:bCs w:val="0"/>
          <w:color w:val="000000" w:themeColor="text1"/>
        </w:rPr>
        <w:t>an</w:t>
      </w:r>
      <w:r w:rsidRPr="002C066E">
        <w:rPr>
          <w:rStyle w:val="Strong"/>
          <w:rFonts w:cstheme="minorHAnsi"/>
          <w:b w:val="0"/>
          <w:bCs w:val="0"/>
          <w:color w:val="000000" w:themeColor="text1"/>
        </w:rPr>
        <w:t xml:space="preserve"> organization should </w:t>
      </w:r>
      <w:r>
        <w:rPr>
          <w:rStyle w:val="Strong"/>
          <w:rFonts w:cstheme="minorHAnsi"/>
          <w:b w:val="0"/>
          <w:bCs w:val="0"/>
          <w:color w:val="000000" w:themeColor="text1"/>
        </w:rPr>
        <w:t>be implemented with</w:t>
      </w:r>
      <w:r w:rsidRPr="002C066E">
        <w:rPr>
          <w:rStyle w:val="Strong"/>
          <w:rFonts w:cstheme="minorHAnsi"/>
          <w:b w:val="0"/>
          <w:bCs w:val="0"/>
          <w:color w:val="000000" w:themeColor="text1"/>
        </w:rPr>
        <w:t xml:space="preserve"> the utmost transparency. </w:t>
      </w:r>
      <w:r>
        <w:rPr>
          <w:rStyle w:val="Strong"/>
          <w:rFonts w:cstheme="minorHAnsi"/>
          <w:b w:val="0"/>
          <w:bCs w:val="0"/>
          <w:color w:val="000000" w:themeColor="text1"/>
        </w:rPr>
        <w:t>The organization should retain p</w:t>
      </w:r>
      <w:r w:rsidRPr="002C066E">
        <w:rPr>
          <w:rStyle w:val="Strong"/>
          <w:rFonts w:cstheme="minorHAnsi"/>
          <w:b w:val="0"/>
          <w:bCs w:val="0"/>
          <w:color w:val="000000" w:themeColor="text1"/>
        </w:rPr>
        <w:t>ermanent record</w:t>
      </w:r>
      <w:r>
        <w:rPr>
          <w:rStyle w:val="Strong"/>
          <w:rFonts w:cstheme="minorHAnsi"/>
          <w:b w:val="0"/>
          <w:bCs w:val="0"/>
          <w:color w:val="000000" w:themeColor="text1"/>
        </w:rPr>
        <w:t>s</w:t>
      </w:r>
      <w:r w:rsidRPr="002C066E">
        <w:rPr>
          <w:rStyle w:val="Strong"/>
          <w:rFonts w:cstheme="minorHAnsi"/>
          <w:b w:val="0"/>
          <w:bCs w:val="0"/>
          <w:color w:val="000000" w:themeColor="text1"/>
        </w:rPr>
        <w:t xml:space="preserve"> of all relevant data governance actions and processes, </w:t>
      </w:r>
      <w:r>
        <w:rPr>
          <w:rStyle w:val="Strong"/>
          <w:rFonts w:cstheme="minorHAnsi"/>
          <w:b w:val="0"/>
          <w:bCs w:val="0"/>
          <w:color w:val="000000" w:themeColor="text1"/>
        </w:rPr>
        <w:t xml:space="preserve">including </w:t>
      </w:r>
      <w:r w:rsidRPr="002C066E">
        <w:rPr>
          <w:rStyle w:val="Strong"/>
          <w:rFonts w:cstheme="minorHAnsi"/>
          <w:b w:val="0"/>
          <w:bCs w:val="0"/>
          <w:color w:val="000000" w:themeColor="text1"/>
        </w:rPr>
        <w:t xml:space="preserve">what </w:t>
      </w:r>
      <w:r>
        <w:rPr>
          <w:rStyle w:val="Strong"/>
          <w:rFonts w:cstheme="minorHAnsi"/>
          <w:b w:val="0"/>
          <w:bCs w:val="0"/>
          <w:color w:val="000000" w:themeColor="text1"/>
        </w:rPr>
        <w:t xml:space="preserve">the data </w:t>
      </w:r>
      <w:r w:rsidRPr="002C066E">
        <w:rPr>
          <w:rStyle w:val="Strong"/>
          <w:rFonts w:cstheme="minorHAnsi"/>
          <w:b w:val="0"/>
          <w:bCs w:val="0"/>
          <w:color w:val="000000" w:themeColor="text1"/>
        </w:rPr>
        <w:t>ha</w:t>
      </w:r>
      <w:r>
        <w:rPr>
          <w:rStyle w:val="Strong"/>
          <w:rFonts w:cstheme="minorHAnsi"/>
          <w:b w:val="0"/>
          <w:bCs w:val="0"/>
          <w:color w:val="000000" w:themeColor="text1"/>
        </w:rPr>
        <w:t>ve</w:t>
      </w:r>
      <w:r w:rsidRPr="002C066E">
        <w:rPr>
          <w:rStyle w:val="Strong"/>
          <w:rFonts w:cstheme="minorHAnsi"/>
          <w:b w:val="0"/>
          <w:bCs w:val="0"/>
          <w:color w:val="000000" w:themeColor="text1"/>
        </w:rPr>
        <w:t xml:space="preserve"> been used for and why </w:t>
      </w:r>
      <w:r>
        <w:rPr>
          <w:rStyle w:val="Strong"/>
          <w:rFonts w:cstheme="minorHAnsi"/>
          <w:b w:val="0"/>
          <w:bCs w:val="0"/>
          <w:color w:val="000000" w:themeColor="text1"/>
        </w:rPr>
        <w:t>they have</w:t>
      </w:r>
      <w:r w:rsidRPr="002C066E">
        <w:rPr>
          <w:rStyle w:val="Strong"/>
          <w:rFonts w:cstheme="minorHAnsi"/>
          <w:b w:val="0"/>
          <w:bCs w:val="0"/>
          <w:color w:val="000000" w:themeColor="text1"/>
        </w:rPr>
        <w:t xml:space="preserve"> been used in that way. Transparency will protect </w:t>
      </w:r>
      <w:r>
        <w:rPr>
          <w:rStyle w:val="Strong"/>
          <w:rFonts w:cstheme="minorHAnsi"/>
          <w:b w:val="0"/>
          <w:bCs w:val="0"/>
          <w:color w:val="000000" w:themeColor="text1"/>
        </w:rPr>
        <w:t>an organization</w:t>
      </w:r>
      <w:r w:rsidRPr="002C066E">
        <w:rPr>
          <w:rStyle w:val="Strong"/>
          <w:rFonts w:cstheme="minorHAnsi"/>
          <w:b w:val="0"/>
          <w:bCs w:val="0"/>
          <w:color w:val="000000" w:themeColor="text1"/>
        </w:rPr>
        <w:t xml:space="preserve"> in the </w:t>
      </w:r>
      <w:r w:rsidRPr="002C066E">
        <w:rPr>
          <w:rStyle w:val="Strong"/>
          <w:rFonts w:cstheme="minorHAnsi"/>
          <w:b w:val="0"/>
          <w:bCs w:val="0"/>
          <w:color w:val="000000" w:themeColor="text1"/>
        </w:rPr>
        <w:lastRenderedPageBreak/>
        <w:t xml:space="preserve">event of a data breach and will also allow </w:t>
      </w:r>
      <w:r>
        <w:rPr>
          <w:rStyle w:val="Strong"/>
          <w:rFonts w:cstheme="minorHAnsi"/>
          <w:b w:val="0"/>
          <w:bCs w:val="0"/>
          <w:color w:val="000000" w:themeColor="text1"/>
        </w:rPr>
        <w:t xml:space="preserve">stakeholders </w:t>
      </w:r>
      <w:r w:rsidRPr="002C066E">
        <w:rPr>
          <w:rStyle w:val="Strong"/>
          <w:rFonts w:cstheme="minorHAnsi"/>
          <w:b w:val="0"/>
          <w:bCs w:val="0"/>
          <w:color w:val="000000" w:themeColor="text1"/>
        </w:rPr>
        <w:t xml:space="preserve">to continually learn from the way data </w:t>
      </w:r>
      <w:r>
        <w:rPr>
          <w:rStyle w:val="Strong"/>
          <w:rFonts w:cstheme="minorHAnsi"/>
          <w:b w:val="0"/>
          <w:bCs w:val="0"/>
          <w:color w:val="000000" w:themeColor="text1"/>
        </w:rPr>
        <w:t>are</w:t>
      </w:r>
      <w:r w:rsidRPr="002C066E">
        <w:rPr>
          <w:rStyle w:val="Strong"/>
          <w:rFonts w:cstheme="minorHAnsi"/>
          <w:b w:val="0"/>
          <w:bCs w:val="0"/>
          <w:color w:val="000000" w:themeColor="text1"/>
        </w:rPr>
        <w:t xml:space="preserve"> used throughout</w:t>
      </w:r>
      <w:r>
        <w:rPr>
          <w:rStyle w:val="Strong"/>
          <w:rFonts w:cstheme="minorHAnsi"/>
          <w:b w:val="0"/>
          <w:bCs w:val="0"/>
          <w:color w:val="000000" w:themeColor="text1"/>
        </w:rPr>
        <w:t xml:space="preserve"> the organization.</w:t>
      </w:r>
      <w:bookmarkEnd w:id="31"/>
    </w:p>
    <w:p w14:paraId="4E16FE86" w14:textId="615EDAC9" w:rsidR="007E37A7" w:rsidRPr="001F0FCC" w:rsidRDefault="007E37A7" w:rsidP="001F0FCC">
      <w:pPr>
        <w:rPr>
          <w:b/>
          <w:bCs/>
        </w:rPr>
      </w:pPr>
      <w:r w:rsidRPr="001F0FCC">
        <w:rPr>
          <w:b/>
          <w:bCs/>
        </w:rPr>
        <w:t>Why are data principles important?</w:t>
      </w:r>
    </w:p>
    <w:p w14:paraId="11682C16" w14:textId="370338F3" w:rsidR="007E37A7" w:rsidRDefault="007E37A7" w:rsidP="001F0FCC">
      <w:r>
        <w:t>Principles provide overarching rules or norms to guide policies and actions. For data governance, principles can help govern the design of new data systems and inform changes to existing data sets and collection efforts.</w:t>
      </w:r>
    </w:p>
    <w:p w14:paraId="06C70BEB" w14:textId="6B565C8F" w:rsidR="00F15881" w:rsidRDefault="00F15881" w:rsidP="00F15881">
      <w:pPr>
        <w:pStyle w:val="Heading4"/>
        <w:spacing w:before="160"/>
      </w:pPr>
      <w:bookmarkStart w:id="32" w:name="_Toc52181183"/>
      <w:r>
        <w:t>Data quality</w:t>
      </w:r>
      <w:bookmarkEnd w:id="32"/>
    </w:p>
    <w:p w14:paraId="1D20EE45" w14:textId="77777777" w:rsidR="00F15881" w:rsidRPr="00E7266E" w:rsidRDefault="00F15881" w:rsidP="00F15881">
      <w:pPr>
        <w:rPr>
          <w:rFonts w:cstheme="minorHAnsi"/>
          <w:b/>
          <w:bCs/>
        </w:rPr>
      </w:pPr>
      <w:r w:rsidRPr="00E7266E">
        <w:rPr>
          <w:rFonts w:cstheme="minorHAnsi"/>
          <w:b/>
          <w:bCs/>
        </w:rPr>
        <w:t>What do we mean by data quality?</w:t>
      </w:r>
    </w:p>
    <w:p w14:paraId="136193E0" w14:textId="77777777" w:rsidR="00F15881" w:rsidRPr="00E7266E" w:rsidRDefault="005A473B" w:rsidP="00F15881">
      <w:pPr>
        <w:rPr>
          <w:rFonts w:cstheme="minorHAnsi"/>
        </w:rPr>
      </w:pPr>
      <w:hyperlink w:anchor="DataQuality" w:history="1">
        <w:r w:rsidR="00F15881" w:rsidRPr="00A432A0">
          <w:rPr>
            <w:rStyle w:val="Hyperlink"/>
            <w:rFonts w:cstheme="minorHAnsi"/>
          </w:rPr>
          <w:t>Data quality</w:t>
        </w:r>
      </w:hyperlink>
      <w:r w:rsidR="00F15881">
        <w:rPr>
          <w:rFonts w:cstheme="minorHAnsi"/>
        </w:rPr>
        <w:t xml:space="preserve"> refers to data being useful, accurate, clear, complete, and unbiased. The Office of Management and Budget</w:t>
      </w:r>
      <w:r w:rsidR="00F15881" w:rsidRPr="00E7266E">
        <w:rPr>
          <w:rFonts w:cstheme="minorHAnsi"/>
        </w:rPr>
        <w:t xml:space="preserve"> (</w:t>
      </w:r>
      <w:r w:rsidR="00F15881">
        <w:rPr>
          <w:rFonts w:cstheme="minorHAnsi"/>
        </w:rPr>
        <w:t>OMB)</w:t>
      </w:r>
      <w:r w:rsidR="00F15881" w:rsidRPr="00E7266E">
        <w:rPr>
          <w:rFonts w:cstheme="minorHAnsi"/>
        </w:rPr>
        <w:t xml:space="preserve"> defines "quality" as a broad</w:t>
      </w:r>
      <w:r w:rsidR="00F15881">
        <w:rPr>
          <w:rFonts w:cstheme="minorHAnsi"/>
        </w:rPr>
        <w:t xml:space="preserve"> </w:t>
      </w:r>
      <w:r w:rsidR="00F15881" w:rsidRPr="00E7266E">
        <w:rPr>
          <w:rFonts w:cstheme="minorHAnsi"/>
        </w:rPr>
        <w:t>term that encompasses the notions of "utility," "objectivity," and "integrity</w:t>
      </w:r>
      <w:r w:rsidR="00F15881">
        <w:rPr>
          <w:rFonts w:cstheme="minorHAnsi"/>
        </w:rPr>
        <w:t>.</w:t>
      </w:r>
      <w:r w:rsidR="00F15881" w:rsidRPr="00E7266E">
        <w:rPr>
          <w:rFonts w:cstheme="minorHAnsi"/>
        </w:rPr>
        <w:t xml:space="preserve">" </w:t>
      </w:r>
      <w:r w:rsidR="00F15881">
        <w:rPr>
          <w:rFonts w:cstheme="minorHAnsi"/>
        </w:rPr>
        <w:t xml:space="preserve"> </w:t>
      </w:r>
    </w:p>
    <w:p w14:paraId="2172C4CE" w14:textId="77777777" w:rsidR="00F15881" w:rsidRDefault="00F15881" w:rsidP="00F15881">
      <w:pPr>
        <w:pStyle w:val="ListParagraph"/>
        <w:numPr>
          <w:ilvl w:val="0"/>
          <w:numId w:val="21"/>
        </w:numPr>
        <w:spacing w:after="120"/>
        <w:ind w:left="720"/>
        <w:contextualSpacing w:val="0"/>
        <w:rPr>
          <w:rFonts w:cstheme="minorHAnsi"/>
        </w:rPr>
      </w:pPr>
      <w:r w:rsidRPr="00D4782D">
        <w:rPr>
          <w:rFonts w:cstheme="minorHAnsi"/>
        </w:rPr>
        <w:t xml:space="preserve">"Utility" refers to the usefulness of the information to the intended users. </w:t>
      </w:r>
    </w:p>
    <w:p w14:paraId="4AF4D0CD" w14:textId="77777777" w:rsidR="00F15881" w:rsidRDefault="00F15881" w:rsidP="00F15881">
      <w:pPr>
        <w:pStyle w:val="ListParagraph"/>
        <w:numPr>
          <w:ilvl w:val="0"/>
          <w:numId w:val="21"/>
        </w:numPr>
        <w:spacing w:after="120"/>
        <w:ind w:left="720"/>
        <w:contextualSpacing w:val="0"/>
        <w:rPr>
          <w:rFonts w:cstheme="minorHAnsi"/>
        </w:rPr>
      </w:pPr>
      <w:r w:rsidRPr="00D4782D">
        <w:rPr>
          <w:rFonts w:cstheme="minorHAnsi"/>
        </w:rPr>
        <w:t>"Objectivity" refers to whether the disseminated information is being presented in an accurate, clear, complete, and unbiased manner and</w:t>
      </w:r>
      <w:r>
        <w:rPr>
          <w:rFonts w:cstheme="minorHAnsi"/>
        </w:rPr>
        <w:t>,</w:t>
      </w:r>
      <w:r w:rsidRPr="00D4782D">
        <w:rPr>
          <w:rFonts w:cstheme="minorHAnsi"/>
        </w:rPr>
        <w:t xml:space="preserve"> as a matter of substance, is accurate, reliable, and unbiased. </w:t>
      </w:r>
    </w:p>
    <w:p w14:paraId="2CFB2AA1" w14:textId="77777777" w:rsidR="00F15881" w:rsidRDefault="00F15881" w:rsidP="00F15881">
      <w:pPr>
        <w:pStyle w:val="ListParagraph"/>
        <w:numPr>
          <w:ilvl w:val="0"/>
          <w:numId w:val="21"/>
        </w:numPr>
        <w:ind w:left="720"/>
        <w:contextualSpacing w:val="0"/>
        <w:rPr>
          <w:rFonts w:cstheme="minorHAnsi"/>
        </w:rPr>
      </w:pPr>
      <w:r w:rsidRPr="00D4782D">
        <w:rPr>
          <w:rFonts w:cstheme="minorHAnsi"/>
        </w:rPr>
        <w:t xml:space="preserve">"Integrity" refers to security </w:t>
      </w:r>
      <w:r>
        <w:rPr>
          <w:rFonts w:cstheme="minorHAnsi"/>
        </w:rPr>
        <w:t>–</w:t>
      </w:r>
      <w:r w:rsidRPr="00D4782D">
        <w:rPr>
          <w:rFonts w:cstheme="minorHAnsi"/>
        </w:rPr>
        <w:t xml:space="preserve"> the protection of information from unauthorized access or revision, to ensure that the information is not compromised through corruption or falsification.</w:t>
      </w:r>
      <w:r>
        <w:rPr>
          <w:rStyle w:val="EndnoteReference"/>
          <w:rFonts w:cstheme="minorHAnsi"/>
        </w:rPr>
        <w:endnoteReference w:id="13"/>
      </w:r>
    </w:p>
    <w:p w14:paraId="3A9F3A61" w14:textId="77777777" w:rsidR="00F15881" w:rsidRPr="00E7266E" w:rsidRDefault="00F15881" w:rsidP="00F15881">
      <w:pPr>
        <w:rPr>
          <w:rFonts w:cstheme="minorHAnsi"/>
        </w:rPr>
      </w:pPr>
      <w:r w:rsidRPr="00E7266E">
        <w:rPr>
          <w:rFonts w:cstheme="minorHAnsi"/>
        </w:rPr>
        <w:t>The Transparent Reporting Project</w:t>
      </w:r>
      <w:r>
        <w:rPr>
          <w:rStyle w:val="FootnoteReference"/>
          <w:rFonts w:cstheme="minorHAnsi"/>
        </w:rPr>
        <w:footnoteReference w:id="2"/>
      </w:r>
      <w:r w:rsidRPr="00E7266E">
        <w:rPr>
          <w:rFonts w:cstheme="minorHAnsi"/>
        </w:rPr>
        <w:t xml:space="preserve"> adopted eight dimensions of data quality (relevance, accuracy, reliability, timeliness, punctuality, consistency, comparability, and access) which the </w:t>
      </w:r>
      <w:r>
        <w:rPr>
          <w:rFonts w:cstheme="minorHAnsi"/>
        </w:rPr>
        <w:t>p</w:t>
      </w:r>
      <w:r w:rsidRPr="00E7266E">
        <w:rPr>
          <w:rFonts w:cstheme="minorHAnsi"/>
        </w:rPr>
        <w:t>roject considers compatible with the four OMB core concepts.</w:t>
      </w:r>
      <w:r>
        <w:rPr>
          <w:rStyle w:val="EndnoteReference"/>
          <w:rFonts w:cstheme="minorHAnsi"/>
        </w:rPr>
        <w:endnoteReference w:id="14"/>
      </w:r>
    </w:p>
    <w:p w14:paraId="098F778E" w14:textId="77777777" w:rsidR="00F15881" w:rsidRPr="00A50484" w:rsidRDefault="00F15881" w:rsidP="00F15881">
      <w:pPr>
        <w:pStyle w:val="ListParagraph"/>
        <w:tabs>
          <w:tab w:val="left" w:pos="1800"/>
        </w:tabs>
        <w:ind w:left="0"/>
        <w:contextualSpacing w:val="0"/>
        <w:rPr>
          <w:b/>
          <w:bCs/>
        </w:rPr>
      </w:pPr>
      <w:r w:rsidRPr="00A50484">
        <w:rPr>
          <w:b/>
          <w:bCs/>
        </w:rPr>
        <w:t>Why does quality matter?</w:t>
      </w:r>
    </w:p>
    <w:p w14:paraId="5FEA2DAB" w14:textId="7EF5FE32" w:rsidR="00F15881" w:rsidRDefault="00F15881" w:rsidP="00F15881">
      <w:pPr>
        <w:tabs>
          <w:tab w:val="left" w:pos="1800"/>
        </w:tabs>
      </w:pPr>
      <w:r>
        <w:t>Quality data can be used to draw accurate conclusions and make good decision</w:t>
      </w:r>
      <w:r w:rsidR="00D72BF5">
        <w:t>s</w:t>
      </w:r>
      <w:r>
        <w:t xml:space="preserve">. The </w:t>
      </w:r>
      <w:r w:rsidR="007E37A7">
        <w:t xml:space="preserve">better </w:t>
      </w:r>
      <w:r>
        <w:t xml:space="preserve">the data quality, the more confidence you can have in your outputs, outcomes, and decisions. In addition, quality data can enhance productivity, resulting in less time spent on correcting errors. </w:t>
      </w:r>
    </w:p>
    <w:p w14:paraId="35E6E3F8" w14:textId="77777777" w:rsidR="00F15881" w:rsidRDefault="00F15881" w:rsidP="00F15881">
      <w:pPr>
        <w:tabs>
          <w:tab w:val="left" w:pos="1800"/>
        </w:tabs>
      </w:pPr>
      <w:r>
        <w:t>Federal agencies, like ACL, are also governed by regulations and rules focused on ensuring data quality. Per OMB guidelines,</w:t>
      </w:r>
      <w:r>
        <w:rPr>
          <w:rStyle w:val="FootnoteReference"/>
        </w:rPr>
        <w:footnoteReference w:id="3"/>
      </w:r>
      <w:r>
        <w:t xml:space="preserve"> federal agencies are directed to develop information resources management </w:t>
      </w:r>
      <w:r>
        <w:lastRenderedPageBreak/>
        <w:t>procedures for reviewing and substantiating the quality (including the objectivity, utility, and integrity) of information before it is disseminated.</w:t>
      </w:r>
      <w:r>
        <w:rPr>
          <w:rStyle w:val="EndnoteReference"/>
        </w:rPr>
        <w:endnoteReference w:id="15"/>
      </w:r>
    </w:p>
    <w:p w14:paraId="75C47BAE" w14:textId="77777777" w:rsidR="00F15881" w:rsidRPr="00CE483C" w:rsidRDefault="00F15881" w:rsidP="00F15881">
      <w:pPr>
        <w:pStyle w:val="ListParagraph"/>
        <w:tabs>
          <w:tab w:val="left" w:pos="1800"/>
        </w:tabs>
        <w:ind w:left="0"/>
        <w:contextualSpacing w:val="0"/>
        <w:rPr>
          <w:b/>
          <w:bCs/>
        </w:rPr>
      </w:pPr>
      <w:r w:rsidRPr="00CE483C">
        <w:rPr>
          <w:b/>
          <w:bCs/>
        </w:rPr>
        <w:t>What are some key data quality issues?</w:t>
      </w:r>
    </w:p>
    <w:p w14:paraId="153405A6" w14:textId="51FF7846" w:rsidR="006C7096" w:rsidRDefault="00F15881" w:rsidP="00F15881">
      <w:pPr>
        <w:pStyle w:val="ListParagraph"/>
        <w:tabs>
          <w:tab w:val="left" w:pos="1800"/>
        </w:tabs>
        <w:ind w:left="0"/>
        <w:contextualSpacing w:val="0"/>
      </w:pPr>
      <w:r>
        <w:t xml:space="preserve">There are </w:t>
      </w:r>
      <w:r w:rsidR="00C96EB8">
        <w:t xml:space="preserve">many </w:t>
      </w:r>
      <w:r>
        <w:t>issues that can lead to poor data quality. Below are a few examples.</w:t>
      </w:r>
    </w:p>
    <w:tbl>
      <w:tblPr>
        <w:tblStyle w:val="TableGrid"/>
        <w:tblW w:w="8730" w:type="dxa"/>
        <w:tblInd w:w="445" w:type="dxa"/>
        <w:tblLook w:val="04A0" w:firstRow="1" w:lastRow="0" w:firstColumn="1" w:lastColumn="0" w:noHBand="0" w:noVBand="1"/>
        <w:tblCaption w:val="Key Data Quality Issues"/>
        <w:tblDescription w:val="A table listing descriptions of the following data quality issues: Bias which is systematic iaccuracies in data; Inacuracy which is incorrect data; Incompletness which is missing data; Inconsistency which is contradictions within a dat set; and Outliers which is a small number of data points that are considerably different from the rest of the data."/>
      </w:tblPr>
      <w:tblGrid>
        <w:gridCol w:w="2070"/>
        <w:gridCol w:w="6660"/>
      </w:tblGrid>
      <w:tr w:rsidR="00A76E54" w:rsidRPr="004879A8" w14:paraId="0075E49D" w14:textId="77777777" w:rsidTr="00CA7A2F">
        <w:trPr>
          <w:cantSplit/>
          <w:trHeight w:val="728"/>
          <w:tblHeader/>
        </w:trPr>
        <w:tc>
          <w:tcPr>
            <w:tcW w:w="2070" w:type="dxa"/>
            <w:shd w:val="clear" w:color="auto" w:fill="2A4B86"/>
            <w:vAlign w:val="center"/>
          </w:tcPr>
          <w:p w14:paraId="29BACAA9" w14:textId="77777777" w:rsidR="00A76E54" w:rsidRPr="004879A8" w:rsidRDefault="00A76E54" w:rsidP="004E2E16">
            <w:pPr>
              <w:rPr>
                <w:b/>
                <w:bCs/>
                <w:color w:val="FFFFFF" w:themeColor="background1"/>
              </w:rPr>
            </w:pPr>
            <w:r w:rsidRPr="004879A8">
              <w:rPr>
                <w:b/>
                <w:bCs/>
                <w:color w:val="FFFFFF" w:themeColor="background1"/>
              </w:rPr>
              <w:t xml:space="preserve">Data Quality Issue </w:t>
            </w:r>
          </w:p>
        </w:tc>
        <w:tc>
          <w:tcPr>
            <w:tcW w:w="6660" w:type="dxa"/>
            <w:shd w:val="clear" w:color="auto" w:fill="2A4B86"/>
            <w:vAlign w:val="center"/>
          </w:tcPr>
          <w:p w14:paraId="7DFD7B73" w14:textId="77777777" w:rsidR="00A76E54" w:rsidRPr="004879A8" w:rsidRDefault="00A76E54" w:rsidP="004E2E16">
            <w:pPr>
              <w:rPr>
                <w:rFonts w:cstheme="minorHAnsi"/>
                <w:b/>
                <w:bCs/>
                <w:color w:val="FFFFFF" w:themeColor="background1"/>
              </w:rPr>
            </w:pPr>
            <w:r w:rsidRPr="004879A8">
              <w:rPr>
                <w:rFonts w:cstheme="minorHAnsi"/>
                <w:b/>
                <w:bCs/>
                <w:color w:val="FFFFFF" w:themeColor="background1"/>
              </w:rPr>
              <w:t>Description</w:t>
            </w:r>
          </w:p>
        </w:tc>
      </w:tr>
      <w:tr w:rsidR="00F56298" w:rsidRPr="000A5048" w14:paraId="08D88BCD" w14:textId="77777777" w:rsidTr="00CA7A2F">
        <w:trPr>
          <w:cantSplit/>
          <w:trHeight w:val="2042"/>
        </w:trPr>
        <w:tc>
          <w:tcPr>
            <w:tcW w:w="2070" w:type="dxa"/>
            <w:vAlign w:val="center"/>
          </w:tcPr>
          <w:p w14:paraId="6E76463E" w14:textId="77777777" w:rsidR="00F56298" w:rsidRPr="00FA50B1" w:rsidRDefault="00F56298" w:rsidP="00F56298">
            <w:pPr>
              <w:rPr>
                <w:b/>
                <w:bCs/>
              </w:rPr>
            </w:pPr>
            <w:r w:rsidRPr="00FA50B1">
              <w:rPr>
                <w:b/>
                <w:bCs/>
              </w:rPr>
              <w:t xml:space="preserve">Bias </w:t>
            </w:r>
          </w:p>
          <w:p w14:paraId="25074871" w14:textId="4A71BB6C" w:rsidR="00F56298" w:rsidRDefault="00F56298" w:rsidP="00F56298">
            <w:pPr>
              <w:rPr>
                <w:b/>
                <w:bCs/>
              </w:rPr>
            </w:pPr>
            <w:r>
              <w:t xml:space="preserve"> </w:t>
            </w:r>
          </w:p>
        </w:tc>
        <w:tc>
          <w:tcPr>
            <w:tcW w:w="6660" w:type="dxa"/>
            <w:vAlign w:val="center"/>
          </w:tcPr>
          <w:p w14:paraId="2372DEC2" w14:textId="083004AA" w:rsidR="00F56298" w:rsidRDefault="00F56298" w:rsidP="00F56298">
            <w:r w:rsidRPr="00AB3633">
              <w:t>A statistic is biased if it is calculated in such a way that it is systematically different from the population parameter being estimated.</w:t>
            </w:r>
            <w:r>
              <w:t xml:space="preserve"> For example, data collection processes could </w:t>
            </w:r>
            <w:r w:rsidRPr="00B00656">
              <w:t>result in lopsided, misleading results</w:t>
            </w:r>
            <w:r>
              <w:t xml:space="preserve">; selection bias is present when researchers are more likely to select one kind of individual within the study population for study than others; and bias can </w:t>
            </w:r>
            <w:r w:rsidRPr="00325734">
              <w:t xml:space="preserve">happen when </w:t>
            </w:r>
            <w:r>
              <w:t>respondents have different characteristics than nonrespondents.</w:t>
            </w:r>
          </w:p>
        </w:tc>
      </w:tr>
      <w:tr w:rsidR="00F56298" w:rsidRPr="000A5048" w14:paraId="2D262884" w14:textId="77777777" w:rsidTr="00CA7A2F">
        <w:trPr>
          <w:cantSplit/>
          <w:trHeight w:val="1520"/>
        </w:trPr>
        <w:tc>
          <w:tcPr>
            <w:tcW w:w="2070" w:type="dxa"/>
            <w:vAlign w:val="center"/>
          </w:tcPr>
          <w:p w14:paraId="45D01BFF" w14:textId="77777777" w:rsidR="00F56298" w:rsidRPr="00FE4DB7" w:rsidRDefault="00F56298" w:rsidP="00F56298">
            <w:pPr>
              <w:rPr>
                <w:b/>
                <w:bCs/>
              </w:rPr>
            </w:pPr>
            <w:r>
              <w:rPr>
                <w:b/>
                <w:bCs/>
              </w:rPr>
              <w:t>Ina</w:t>
            </w:r>
            <w:r w:rsidRPr="00B00656">
              <w:rPr>
                <w:b/>
                <w:bCs/>
              </w:rPr>
              <w:t xml:space="preserve">ccuracy  </w:t>
            </w:r>
          </w:p>
        </w:tc>
        <w:tc>
          <w:tcPr>
            <w:tcW w:w="6660" w:type="dxa"/>
            <w:vAlign w:val="center"/>
          </w:tcPr>
          <w:p w14:paraId="5BCEF1FC" w14:textId="77777777" w:rsidR="00F56298" w:rsidRPr="000A5048" w:rsidRDefault="00F56298" w:rsidP="00F56298">
            <w:r>
              <w:t>R</w:t>
            </w:r>
            <w:r w:rsidRPr="00B00656">
              <w:t xml:space="preserve">efers to whether the data values are the </w:t>
            </w:r>
            <w:r w:rsidRPr="00647401">
              <w:rPr>
                <w:b/>
                <w:i/>
                <w:iCs/>
              </w:rPr>
              <w:t>correct value</w:t>
            </w:r>
            <w:r>
              <w:t>, or they correspond to reality</w:t>
            </w:r>
            <w:r w:rsidRPr="00B00656">
              <w:t>. In order for data to be accurate, the data value must be the right value and must be represented in a consistent and unambiguous form</w:t>
            </w:r>
            <w:r>
              <w:t>; e.g., when transferring data between data systems, the transferred data points must be identical.</w:t>
            </w:r>
          </w:p>
        </w:tc>
      </w:tr>
      <w:tr w:rsidR="00F56298" w:rsidRPr="000A5048" w14:paraId="0D213153" w14:textId="77777777" w:rsidTr="00CA7A2F">
        <w:trPr>
          <w:cantSplit/>
          <w:trHeight w:val="2060"/>
        </w:trPr>
        <w:tc>
          <w:tcPr>
            <w:tcW w:w="2070" w:type="dxa"/>
            <w:vAlign w:val="center"/>
          </w:tcPr>
          <w:p w14:paraId="111F5E00" w14:textId="77777777" w:rsidR="00F56298" w:rsidRPr="00FE4DB7" w:rsidRDefault="00F56298" w:rsidP="00F56298">
            <w:pPr>
              <w:rPr>
                <w:b/>
                <w:bCs/>
              </w:rPr>
            </w:pPr>
            <w:r>
              <w:rPr>
                <w:b/>
                <w:bCs/>
              </w:rPr>
              <w:t>Inc</w:t>
            </w:r>
            <w:r w:rsidRPr="00B00656">
              <w:rPr>
                <w:b/>
                <w:bCs/>
              </w:rPr>
              <w:t>ompleteness</w:t>
            </w:r>
          </w:p>
        </w:tc>
        <w:tc>
          <w:tcPr>
            <w:tcW w:w="6660" w:type="dxa"/>
            <w:vAlign w:val="center"/>
          </w:tcPr>
          <w:p w14:paraId="7B65D820" w14:textId="428FB019" w:rsidR="00F56298" w:rsidRPr="000A5048" w:rsidRDefault="00F56298" w:rsidP="00F56298">
            <w:r>
              <w:t xml:space="preserve">Data are complete when all available data elements or data points are included in the data set and there are </w:t>
            </w:r>
            <w:r w:rsidRPr="00647401">
              <w:rPr>
                <w:b/>
                <w:i/>
                <w:iCs/>
              </w:rPr>
              <w:t>no missing data</w:t>
            </w:r>
            <w:r>
              <w:t xml:space="preserve">. </w:t>
            </w:r>
            <w:r w:rsidRPr="003C7539">
              <w:t>Missing data can occur because of nonresponse</w:t>
            </w:r>
            <w:r>
              <w:t xml:space="preserve"> or when participants drop out of the study. If there is a high level of missing data, there may not be enough information to make sound decisions. This is especially true if the missing data are systematic, meaning that some groups or types of people are more likely than others to not have provided data.</w:t>
            </w:r>
          </w:p>
        </w:tc>
      </w:tr>
      <w:tr w:rsidR="00F56298" w:rsidRPr="000A5048" w14:paraId="3DEBCCA8" w14:textId="77777777" w:rsidTr="00CA7A2F">
        <w:trPr>
          <w:cantSplit/>
          <w:trHeight w:val="1241"/>
        </w:trPr>
        <w:tc>
          <w:tcPr>
            <w:tcW w:w="2070" w:type="dxa"/>
            <w:vAlign w:val="center"/>
          </w:tcPr>
          <w:p w14:paraId="4D6DEDA1" w14:textId="6DCBE7FC" w:rsidR="00F56298" w:rsidRPr="00FE4DB7" w:rsidRDefault="00F56298" w:rsidP="00F56298">
            <w:pPr>
              <w:rPr>
                <w:b/>
                <w:bCs/>
              </w:rPr>
            </w:pPr>
            <w:r>
              <w:rPr>
                <w:b/>
                <w:bCs/>
              </w:rPr>
              <w:t>Inc</w:t>
            </w:r>
            <w:r w:rsidRPr="007261E0">
              <w:rPr>
                <w:b/>
                <w:bCs/>
              </w:rPr>
              <w:t>onsistency</w:t>
            </w:r>
          </w:p>
        </w:tc>
        <w:tc>
          <w:tcPr>
            <w:tcW w:w="6660" w:type="dxa"/>
            <w:vAlign w:val="center"/>
          </w:tcPr>
          <w:p w14:paraId="0D422756" w14:textId="0EDED388" w:rsidR="00F56298" w:rsidRPr="000A5048" w:rsidRDefault="00F56298" w:rsidP="00F56298">
            <w:r>
              <w:t xml:space="preserve">Data are consistent when there are </w:t>
            </w:r>
            <w:r w:rsidRPr="00647401">
              <w:rPr>
                <w:b/>
                <w:i/>
                <w:iCs/>
              </w:rPr>
              <w:t>no contradictions</w:t>
            </w:r>
            <w:r w:rsidRPr="00647401">
              <w:rPr>
                <w:i/>
                <w:iCs/>
              </w:rPr>
              <w:t xml:space="preserve"> </w:t>
            </w:r>
            <w:r>
              <w:t>in data across variables and/or time Inconsistency in data may include duplicate data or discrepancies in data definitions between data sources during analysis, which produce unintended results.</w:t>
            </w:r>
          </w:p>
        </w:tc>
      </w:tr>
      <w:tr w:rsidR="00F56298" w:rsidRPr="00204F32" w14:paraId="674D81CC" w14:textId="77777777" w:rsidTr="00CA7A2F">
        <w:trPr>
          <w:cantSplit/>
          <w:trHeight w:val="998"/>
        </w:trPr>
        <w:tc>
          <w:tcPr>
            <w:tcW w:w="2070" w:type="dxa"/>
            <w:vAlign w:val="center"/>
          </w:tcPr>
          <w:p w14:paraId="1A172EA3" w14:textId="77777777" w:rsidR="00F56298" w:rsidRPr="00FE4DB7" w:rsidRDefault="00F56298" w:rsidP="00F56298">
            <w:pPr>
              <w:rPr>
                <w:b/>
                <w:bCs/>
              </w:rPr>
            </w:pPr>
            <w:r w:rsidRPr="007261E0">
              <w:rPr>
                <w:b/>
                <w:bCs/>
              </w:rPr>
              <w:t>Outliers</w:t>
            </w:r>
          </w:p>
        </w:tc>
        <w:tc>
          <w:tcPr>
            <w:tcW w:w="6660" w:type="dxa"/>
            <w:vAlign w:val="center"/>
          </w:tcPr>
          <w:p w14:paraId="0664E262" w14:textId="77777777" w:rsidR="00F56298" w:rsidRPr="00204F32" w:rsidRDefault="00F56298" w:rsidP="00F56298">
            <w:pPr>
              <w:rPr>
                <w:rFonts w:cstheme="minorHAnsi"/>
              </w:rPr>
            </w:pPr>
            <w:r w:rsidRPr="007261E0">
              <w:t xml:space="preserve">Outliers are data </w:t>
            </w:r>
            <w:r>
              <w:t xml:space="preserve">points </w:t>
            </w:r>
            <w:r w:rsidRPr="007261E0">
              <w:t xml:space="preserve">with characteristics that are </w:t>
            </w:r>
            <w:r w:rsidRPr="00647401">
              <w:rPr>
                <w:b/>
                <w:i/>
                <w:iCs/>
              </w:rPr>
              <w:t xml:space="preserve">considerably different </w:t>
            </w:r>
            <w:r>
              <w:rPr>
                <w:b/>
                <w:i/>
                <w:iCs/>
              </w:rPr>
              <w:t>from</w:t>
            </w:r>
            <w:r w:rsidRPr="00647401">
              <w:rPr>
                <w:b/>
                <w:i/>
                <w:iCs/>
              </w:rPr>
              <w:t xml:space="preserve"> most of the other data points</w:t>
            </w:r>
            <w:r>
              <w:t xml:space="preserve"> </w:t>
            </w:r>
            <w:r w:rsidRPr="007261E0">
              <w:t>in the data</w:t>
            </w:r>
            <w:r>
              <w:t xml:space="preserve"> </w:t>
            </w:r>
            <w:r w:rsidRPr="007261E0">
              <w:t>set</w:t>
            </w:r>
            <w:r>
              <w:t>; outliers c</w:t>
            </w:r>
            <w:r w:rsidRPr="007261E0">
              <w:t xml:space="preserve">ould indicate “interesting” cases or errors in the </w:t>
            </w:r>
            <w:r>
              <w:t>data.</w:t>
            </w:r>
          </w:p>
        </w:tc>
      </w:tr>
    </w:tbl>
    <w:p w14:paraId="30193A4C" w14:textId="288F9536" w:rsidR="006C7096" w:rsidRDefault="006C7096" w:rsidP="00F15881">
      <w:pPr>
        <w:pStyle w:val="ListParagraph"/>
        <w:tabs>
          <w:tab w:val="left" w:pos="1800"/>
        </w:tabs>
        <w:ind w:left="0"/>
        <w:contextualSpacing w:val="0"/>
      </w:pPr>
    </w:p>
    <w:p w14:paraId="0FD0001D" w14:textId="77777777" w:rsidR="00A76E54" w:rsidRPr="009D0462" w:rsidRDefault="00A76E54" w:rsidP="00A76E54">
      <w:pPr>
        <w:pStyle w:val="ListParagraph"/>
        <w:tabs>
          <w:tab w:val="left" w:pos="1800"/>
        </w:tabs>
        <w:ind w:left="0"/>
        <w:contextualSpacing w:val="0"/>
        <w:rPr>
          <w:b/>
          <w:bCs/>
        </w:rPr>
      </w:pPr>
      <w:r w:rsidRPr="009D0462">
        <w:rPr>
          <w:b/>
          <w:bCs/>
        </w:rPr>
        <w:t>What are ACL examples of strategies to enhance quality of data?</w:t>
      </w:r>
    </w:p>
    <w:p w14:paraId="275C0246" w14:textId="1564839C" w:rsidR="00A76E54" w:rsidRDefault="00A76E54" w:rsidP="00A76E54">
      <w:pPr>
        <w:tabs>
          <w:tab w:val="left" w:pos="1800"/>
        </w:tabs>
      </w:pPr>
      <w:r>
        <w:t>Some ACL programs have made dedicated efforts to enhance the quality of their data. Below are two examples from ACL.</w:t>
      </w:r>
    </w:p>
    <w:p w14:paraId="4614C18B" w14:textId="1FBD9BE5" w:rsidR="00F15881" w:rsidRDefault="00F15881" w:rsidP="00F15881">
      <w:pPr>
        <w:tabs>
          <w:tab w:val="left" w:pos="1800"/>
        </w:tabs>
      </w:pPr>
    </w:p>
    <w:p w14:paraId="21DF305E" w14:textId="48126221" w:rsidR="004D5F22" w:rsidRPr="00F1034C" w:rsidRDefault="004D5F22" w:rsidP="004D5F22">
      <w:pPr>
        <w:tabs>
          <w:tab w:val="left" w:pos="1800"/>
        </w:tabs>
        <w:jc w:val="center"/>
      </w:pPr>
      <w:r>
        <w:rPr>
          <w:noProof/>
        </w:rPr>
        <w:lastRenderedPageBreak/>
        <mc:AlternateContent>
          <mc:Choice Requires="wps">
            <w:drawing>
              <wp:inline distT="0" distB="0" distL="0" distR="0" wp14:anchorId="4A70F725" wp14:editId="1244DFCB">
                <wp:extent cx="2721945" cy="2519762"/>
                <wp:effectExtent l="0" t="0" r="21590" b="13970"/>
                <wp:docPr id="12" name="Text Box 12" descr="Burn Model Systems (BMS)&#10;As part of the BMS, staff at the National Data &amp; Statistical Center developed standard operating procedures (SOPs) to standardize procedures for internal and external use of data from the Burn Model System database; SOPs are available for a range of topics, including data quality and resolving coding issues. To access the SOPs, use this link: https://burndata.washington.edu/standard-operating-procedures"/>
                <wp:cNvGraphicFramePr/>
                <a:graphic xmlns:a="http://schemas.openxmlformats.org/drawingml/2006/main">
                  <a:graphicData uri="http://schemas.microsoft.com/office/word/2010/wordprocessingShape">
                    <wps:wsp>
                      <wps:cNvSpPr txBox="1"/>
                      <wps:spPr>
                        <a:xfrm>
                          <a:off x="0" y="0"/>
                          <a:ext cx="2721945" cy="2519762"/>
                        </a:xfrm>
                        <a:prstGeom prst="rect">
                          <a:avLst/>
                        </a:prstGeom>
                        <a:solidFill>
                          <a:srgbClr val="9A0000"/>
                        </a:solidFill>
                        <a:ln w="6350">
                          <a:solidFill>
                            <a:prstClr val="black"/>
                          </a:solidFill>
                        </a:ln>
                      </wps:spPr>
                      <wps:txbx>
                        <w:txbxContent>
                          <w:p w14:paraId="48399CAB" w14:textId="77777777" w:rsidR="004D5F22" w:rsidRPr="00F1034C" w:rsidRDefault="004D5F22" w:rsidP="004D5F22">
                            <w:pPr>
                              <w:jc w:val="center"/>
                              <w:rPr>
                                <w:b/>
                                <w:bCs/>
                              </w:rPr>
                            </w:pPr>
                            <w:r w:rsidRPr="00F1034C">
                              <w:rPr>
                                <w:b/>
                                <w:bCs/>
                              </w:rPr>
                              <w:t>Burn Model Systems (BMS)</w:t>
                            </w:r>
                          </w:p>
                          <w:p w14:paraId="653C2357" w14:textId="3EA63477" w:rsidR="004D5F22" w:rsidRDefault="004D5F22" w:rsidP="004D5F22">
                            <w:r>
                              <w:t xml:space="preserve">As part of the BMS, staff at the National Data &amp; Statistical Center developed standard </w:t>
                            </w:r>
                            <w:r w:rsidRPr="00F1034C">
                              <w:rPr>
                                <w:color w:val="FFFFFF" w:themeColor="background1"/>
                              </w:rPr>
                              <w:t xml:space="preserve">operating procedures (SOPs) to standardize procedures for internal and external use of data from the Burn Model System database; SOPs are available for a range of topics, including data quality and resolving coding issues. To access the SOPs, use this link: </w:t>
                            </w:r>
                            <w:hyperlink r:id="rId18" w:tooltip="https://burndata.washington.edu/standard-operating-procedures" w:history="1">
                              <w:r w:rsidRPr="00F1034C">
                                <w:rPr>
                                  <w:rStyle w:val="Hyperlink"/>
                                  <w:b/>
                                  <w:bCs/>
                                  <w:color w:val="FFFFFF" w:themeColor="background1"/>
                                </w:rPr>
                                <w:t>https://burndata.washington.edu/standard-operating-procedures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70F725" id="_x0000_t202" coordsize="21600,21600" o:spt="202" path="m,l,21600r21600,l21600,xe">
                <v:stroke joinstyle="miter"/>
                <v:path gradientshapeok="t" o:connecttype="rect"/>
              </v:shapetype>
              <v:shape id="Text Box 12" o:spid="_x0000_s1030" type="#_x0000_t202" alt="Burn Model Systems (BMS)&#10;As part of the BMS, staff at the National Data &amp; Statistical Center developed standard operating procedures (SOPs) to standardize procedures for internal and external use of data from the Burn Model System database; SOPs are available for a range of topics, including data quality and resolving coding issues. To access the SOPs, use this link: https://burndata.washington.edu/standard-operating-procedures" style="width:214.35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" fillcolor="#9a0000" strokeweight=".5pt">
                <v:textbox>
                  <w:txbxContent>
                    <w:p w14:paraId="48399CAB" w14:textId="77777777" w:rsidR="004D5F22" w:rsidRPr="00F1034C" w:rsidRDefault="004D5F22" w:rsidP="004D5F22">
                      <w:pPr>
                        <w:jc w:val="center"/>
                        <w:rPr>
                          <w:b/>
                          <w:bCs/>
                        </w:rPr>
                      </w:pPr>
                      <w:r w:rsidRPr="00F1034C">
                        <w:rPr>
                          <w:b/>
                          <w:bCs/>
                        </w:rPr>
                        <w:t>Burn Model Systems (BMS)</w:t>
                      </w:r>
                    </w:p>
                    <w:p w14:paraId="653C2357" w14:textId="3EA63477" w:rsidR="004D5F22" w:rsidRDefault="004D5F22" w:rsidP="004D5F22">
                      <w:r>
                        <w:t xml:space="preserve">As part of the BMS, staff at the National Data &amp; Statistical Center developed standard </w:t>
                      </w:r>
                      <w:r w:rsidRPr="00F1034C">
                        <w:rPr>
                          <w:color w:val="FFFFFF" w:themeColor="background1"/>
                        </w:rPr>
                        <w:t xml:space="preserve">operating procedures (SOPs) to standardize procedures for internal and external use of data from the Burn Model System database; SOPs are available for a range of topics, including data quality and resolving coding issues. To access the SOPs, use this link: </w:t>
                      </w:r>
                      <w:hyperlink r:id="rId19" w:tooltip="https://burndata.washington.edu/standard-operating-procedures" w:history="1">
                        <w:r w:rsidRPr="00F1034C">
                          <w:rPr>
                            <w:rStyle w:val="Hyperlink"/>
                            <w:b/>
                            <w:bCs/>
                            <w:color w:val="FFFFFF" w:themeColor="background1"/>
                          </w:rPr>
                          <w:t>https://burndata.washington.edu/standard-operating-procedures</w:t>
                        </w:r>
                      </w:hyperlink>
                    </w:p>
                  </w:txbxContent>
                </v:textbox>
                <w10:anchorlock/>
              </v:shape>
            </w:pict>
          </mc:Fallback>
        </mc:AlternateContent>
      </w:r>
      <w:r>
        <w:rPr>
          <w:noProof/>
        </w:rPr>
        <mc:AlternateContent>
          <mc:Choice Requires="wps">
            <w:drawing>
              <wp:inline distT="0" distB="0" distL="0" distR="0" wp14:anchorId="017646A3" wp14:editId="4DFEB311">
                <wp:extent cx="2838593" cy="2509130"/>
                <wp:effectExtent l="0" t="0" r="19050" b="24765"/>
                <wp:docPr id="14" name="Text Box 14" descr="Traumatic Brain Injury (TBI) Model Systems&#10;As part of the TBI Model Systems, staff at the National Data &amp; Statistical Center developed a data dictionary for its TBI Model Systems National Database. It provides information for each variable in the database, including variable group names, group IDs, codes/keys, definitions, notes, examples, history, and Q&amp;A for each variable. To access the data dictionary, use this link: https://www.tbindsc.org/Syllabus.aspx"/>
                <wp:cNvGraphicFramePr/>
                <a:graphic xmlns:a="http://schemas.openxmlformats.org/drawingml/2006/main">
                  <a:graphicData uri="http://schemas.microsoft.com/office/word/2010/wordprocessingShape">
                    <wps:wsp>
                      <wps:cNvSpPr txBox="1"/>
                      <wps:spPr>
                        <a:xfrm>
                          <a:off x="0" y="0"/>
                          <a:ext cx="2838593" cy="2509130"/>
                        </a:xfrm>
                        <a:prstGeom prst="rect">
                          <a:avLst/>
                        </a:prstGeom>
                        <a:solidFill>
                          <a:srgbClr val="EA9D04"/>
                        </a:solidFill>
                        <a:ln w="6350">
                          <a:solidFill>
                            <a:prstClr val="black"/>
                          </a:solidFill>
                        </a:ln>
                      </wps:spPr>
                      <wps:txbx>
                        <w:txbxContent>
                          <w:p w14:paraId="6A9F8DC5" w14:textId="77777777" w:rsidR="004D5F22" w:rsidRPr="00F1034C" w:rsidRDefault="004D5F22" w:rsidP="004D5F22">
                            <w:pPr>
                              <w:jc w:val="center"/>
                              <w:rPr>
                                <w:b/>
                                <w:bCs/>
                              </w:rPr>
                            </w:pPr>
                            <w:r w:rsidRPr="00F1034C">
                              <w:rPr>
                                <w:b/>
                                <w:bCs/>
                              </w:rPr>
                              <w:t>Traumatic Brain Injury (TBI) Model Systems</w:t>
                            </w:r>
                          </w:p>
                          <w:p w14:paraId="060EA60C" w14:textId="50982382" w:rsidR="004D5F22" w:rsidRDefault="004D5F22" w:rsidP="004D5F22">
                            <w:r>
                              <w:t xml:space="preserve">As part of the TBI Model Systems, staff at the National Data &amp; Statistical Center developed a data dictionary for its TBI Model Systems National Database. It </w:t>
                            </w:r>
                            <w:r w:rsidRPr="00F7074C">
                              <w:t>provide</w:t>
                            </w:r>
                            <w:r>
                              <w:t>s</w:t>
                            </w:r>
                            <w:r w:rsidRPr="00F7074C">
                              <w:t xml:space="preserve"> </w:t>
                            </w:r>
                            <w:r>
                              <w:t>information for each</w:t>
                            </w:r>
                            <w:r w:rsidRPr="00F7074C">
                              <w:t xml:space="preserve"> variable in the database</w:t>
                            </w:r>
                            <w:r>
                              <w:t xml:space="preserve">, including variable group names, group IDs, codes/keys, definitions, notes, examples, history, and Q&amp;A for each variable. To access the data dictionary, use this link: </w:t>
                            </w:r>
                            <w:hyperlink r:id="rId20" w:tooltip="https://www.tbindsc.org/Syllabus.aspx" w:history="1">
                              <w:r w:rsidRPr="00F1034C">
                                <w:rPr>
                                  <w:rStyle w:val="Hyperlink"/>
                                  <w:b/>
                                  <w:bCs/>
                                  <w:color w:val="000000" w:themeColor="text1"/>
                                </w:rPr>
                                <w:t>https://www.tbindsc.org/Syllabus.aspx</w:t>
                              </w:r>
                            </w:hyperlink>
                            <w:r w:rsidRPr="00F1034C">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7646A3" id="Text Box 14" o:spid="_x0000_s1031" type="#_x0000_t202" alt="Traumatic Brain Injury (TBI) Model Systems&#10;As part of the TBI Model Systems, staff at the National Data &amp; Statistical Center developed a data dictionary for its TBI Model Systems National Database. It provides information for each variable in the database, including variable group names, group IDs, codes/keys, definitions, notes, examples, history, and Q&amp;A for each variable. To access the data dictionary, use this link: https://www.tbindsc.org/Syllabus.aspx" style="width:223.5pt;height:1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" fillcolor="#ea9d04" strokeweight=".5pt">
                <v:textbox>
                  <w:txbxContent>
                    <w:p w14:paraId="6A9F8DC5" w14:textId="77777777" w:rsidR="004D5F22" w:rsidRPr="00F1034C" w:rsidRDefault="004D5F22" w:rsidP="004D5F22">
                      <w:pPr>
                        <w:jc w:val="center"/>
                        <w:rPr>
                          <w:b/>
                          <w:bCs/>
                        </w:rPr>
                      </w:pPr>
                      <w:r w:rsidRPr="00F1034C">
                        <w:rPr>
                          <w:b/>
                          <w:bCs/>
                        </w:rPr>
                        <w:t>Traumatic Brain Injury (TBI) Model Systems</w:t>
                      </w:r>
                    </w:p>
                    <w:p w14:paraId="060EA60C" w14:textId="50982382" w:rsidR="004D5F22" w:rsidRDefault="004D5F22" w:rsidP="004D5F22">
                      <w:r>
                        <w:t xml:space="preserve">As part of the TBI Model Systems, staff at the National Data &amp; Statistical Center developed a data dictionary for its TBI Model Systems National Database. It </w:t>
                      </w:r>
                      <w:r w:rsidRPr="00F7074C">
                        <w:t>provide</w:t>
                      </w:r>
                      <w:r>
                        <w:t>s</w:t>
                      </w:r>
                      <w:r w:rsidRPr="00F7074C">
                        <w:t xml:space="preserve"> </w:t>
                      </w:r>
                      <w:r>
                        <w:t>information for each</w:t>
                      </w:r>
                      <w:r w:rsidRPr="00F7074C">
                        <w:t xml:space="preserve"> variable in the database</w:t>
                      </w:r>
                      <w:r>
                        <w:t xml:space="preserve">, including variable group names, group IDs, codes/keys, definitions, notes, examples, history, and Q&amp;A for each variable. To access the data dictionary, use this link: </w:t>
                      </w:r>
                      <w:hyperlink r:id="rId21" w:tooltip="https://www.tbindsc.org/Syllabus.aspx" w:history="1">
                        <w:r w:rsidRPr="00F1034C">
                          <w:rPr>
                            <w:rStyle w:val="Hyperlink"/>
                            <w:b/>
                            <w:bCs/>
                            <w:color w:val="000000" w:themeColor="text1"/>
                          </w:rPr>
                          <w:t>https://www.tbindsc.org/Syllabus.aspx</w:t>
                        </w:r>
                      </w:hyperlink>
                      <w:r w:rsidRPr="00F1034C">
                        <w:rPr>
                          <w:color w:val="000000" w:themeColor="text1"/>
                        </w:rPr>
                        <w:t xml:space="preserve"> </w:t>
                      </w:r>
                    </w:p>
                  </w:txbxContent>
                </v:textbox>
                <w10:anchorlock/>
              </v:shape>
            </w:pict>
          </mc:Fallback>
        </mc:AlternateContent>
      </w:r>
    </w:p>
    <w:p w14:paraId="76442D03" w14:textId="77777777" w:rsidR="00F17535" w:rsidRDefault="00F17535" w:rsidP="00F17535">
      <w:pPr>
        <w:pStyle w:val="Heading4"/>
      </w:pPr>
      <w:bookmarkStart w:id="33" w:name="_Toc52181184"/>
      <w:r>
        <w:t>Data lifecycle</w:t>
      </w:r>
      <w:bookmarkEnd w:id="33"/>
    </w:p>
    <w:p w14:paraId="307FCEEA" w14:textId="77777777" w:rsidR="00F17535" w:rsidRDefault="00F17535" w:rsidP="00F17535">
      <w:pPr>
        <w:rPr>
          <w:b/>
        </w:rPr>
      </w:pPr>
      <w:r>
        <w:rPr>
          <w:b/>
        </w:rPr>
        <w:t>What is a data lifecycle?</w:t>
      </w:r>
    </w:p>
    <w:p w14:paraId="3231C68B" w14:textId="713E092B" w:rsidR="00F17535" w:rsidRDefault="00F17535" w:rsidP="00F17535">
      <w:pPr>
        <w:rPr>
          <w:color w:val="000000"/>
          <w:shd w:val="clear" w:color="auto" w:fill="FFFFFF"/>
        </w:rPr>
      </w:pPr>
      <w:r>
        <w:rPr>
          <w:bCs/>
        </w:rPr>
        <w:t xml:space="preserve">A </w:t>
      </w:r>
      <w:hyperlink w:anchor="DataLifecycle" w:history="1">
        <w:r w:rsidRPr="00357729">
          <w:rPr>
            <w:rStyle w:val="Hyperlink"/>
            <w:bCs/>
          </w:rPr>
          <w:t>data lifecycle</w:t>
        </w:r>
      </w:hyperlink>
      <w:r>
        <w:rPr>
          <w:bCs/>
        </w:rPr>
        <w:t xml:space="preserve"> </w:t>
      </w:r>
      <w:bookmarkStart w:id="34" w:name="_Hlk48296813"/>
      <w:r>
        <w:rPr>
          <w:bCs/>
        </w:rPr>
        <w:t xml:space="preserve">refers to the process or stages data move through, from </w:t>
      </w:r>
      <w:r>
        <w:rPr>
          <w:color w:val="000000"/>
          <w:shd w:val="clear" w:color="auto" w:fill="FFFFFF"/>
        </w:rPr>
        <w:t xml:space="preserve">creation to distribution and use, </w:t>
      </w:r>
      <w:r w:rsidR="007340F5">
        <w:rPr>
          <w:color w:val="000000"/>
          <w:shd w:val="clear" w:color="auto" w:fill="FFFFFF"/>
        </w:rPr>
        <w:t xml:space="preserve">from archival </w:t>
      </w:r>
      <w:r>
        <w:rPr>
          <w:color w:val="000000"/>
          <w:shd w:val="clear" w:color="auto" w:fill="FFFFFF"/>
        </w:rPr>
        <w:t>until deletion or destruction. It consists of multiples stages, each of which has its own characteristics and builds on the previous stage</w:t>
      </w:r>
      <w:bookmarkEnd w:id="34"/>
      <w:r>
        <w:rPr>
          <w:color w:val="000000"/>
          <w:shd w:val="clear" w:color="auto" w:fill="FFFFFF"/>
        </w:rPr>
        <w:t>.</w:t>
      </w:r>
    </w:p>
    <w:p w14:paraId="3A9A8CAD" w14:textId="77777777" w:rsidR="00F17535" w:rsidRDefault="00F17535" w:rsidP="00F17535">
      <w:pPr>
        <w:rPr>
          <w:b/>
          <w:bCs/>
          <w:color w:val="000000"/>
          <w:shd w:val="clear" w:color="auto" w:fill="FFFFFF"/>
        </w:rPr>
      </w:pPr>
      <w:r w:rsidRPr="0028601F">
        <w:rPr>
          <w:b/>
          <w:bCs/>
          <w:color w:val="000000"/>
          <w:shd w:val="clear" w:color="auto" w:fill="FFFFFF"/>
        </w:rPr>
        <w:t>Why is a data lifecycle important?</w:t>
      </w:r>
    </w:p>
    <w:p w14:paraId="56139BF1" w14:textId="77777777" w:rsidR="00F17535" w:rsidRPr="0028601F" w:rsidRDefault="00F17535" w:rsidP="00F17535">
      <w:pPr>
        <w:rPr>
          <w:b/>
          <w:bCs/>
          <w:color w:val="000000"/>
          <w:shd w:val="clear" w:color="auto" w:fill="FFFFFF"/>
        </w:rPr>
      </w:pPr>
      <w:r>
        <w:t>Knowing the stages of a data lifecycle will help you plan and conduct your program activities while, at the same time, supporting efforts to establish evidence for your programs.</w:t>
      </w:r>
    </w:p>
    <w:p w14:paraId="49525740" w14:textId="77777777" w:rsidR="00F17535" w:rsidRPr="0028601F" w:rsidRDefault="00F17535" w:rsidP="00F17535">
      <w:pPr>
        <w:ind w:left="720"/>
        <w:rPr>
          <w:bCs/>
          <w:vertAlign w:val="superscript"/>
        </w:rPr>
      </w:pPr>
      <w:r w:rsidRPr="00E17DF1">
        <w:rPr>
          <w:bCs/>
        </w:rPr>
        <w:t>A data lifecycle model offers a high-level</w:t>
      </w:r>
      <w:r>
        <w:rPr>
          <w:bCs/>
        </w:rPr>
        <w:t xml:space="preserve"> </w:t>
      </w:r>
      <w:r w:rsidRPr="00E17DF1">
        <w:rPr>
          <w:bCs/>
        </w:rPr>
        <w:t>overview of the individual actions, operations, or processes</w:t>
      </w:r>
      <w:r>
        <w:rPr>
          <w:bCs/>
        </w:rPr>
        <w:t xml:space="preserve"> </w:t>
      </w:r>
      <w:r w:rsidRPr="00E17DF1">
        <w:rPr>
          <w:bCs/>
        </w:rPr>
        <w:t xml:space="preserve">that must be undertaken at different stages. </w:t>
      </w:r>
      <w:r>
        <w:rPr>
          <w:bCs/>
        </w:rPr>
        <w:t>As</w:t>
      </w:r>
      <w:r w:rsidRPr="00E17DF1">
        <w:rPr>
          <w:bCs/>
        </w:rPr>
        <w:t xml:space="preserve"> a</w:t>
      </w:r>
      <w:r>
        <w:rPr>
          <w:bCs/>
        </w:rPr>
        <w:t xml:space="preserve"> </w:t>
      </w:r>
      <w:r w:rsidRPr="00E17DF1">
        <w:rPr>
          <w:bCs/>
        </w:rPr>
        <w:t>visual tool</w:t>
      </w:r>
      <w:r>
        <w:rPr>
          <w:bCs/>
        </w:rPr>
        <w:t xml:space="preserve">, it can </w:t>
      </w:r>
      <w:r w:rsidRPr="00E17DF1">
        <w:rPr>
          <w:bCs/>
        </w:rPr>
        <w:t>assist</w:t>
      </w:r>
      <w:r>
        <w:rPr>
          <w:bCs/>
        </w:rPr>
        <w:t xml:space="preserve"> [ACL staff] </w:t>
      </w:r>
      <w:r w:rsidRPr="00E17DF1">
        <w:rPr>
          <w:bCs/>
        </w:rPr>
        <w:t>in anticipating and</w:t>
      </w:r>
      <w:r>
        <w:rPr>
          <w:bCs/>
        </w:rPr>
        <w:t xml:space="preserve"> </w:t>
      </w:r>
      <w:r w:rsidRPr="00E17DF1">
        <w:rPr>
          <w:bCs/>
        </w:rPr>
        <w:t>planning for specific actions that need to be taken at each stage</w:t>
      </w:r>
      <w:r>
        <w:rPr>
          <w:bCs/>
        </w:rPr>
        <w:t xml:space="preserve"> </w:t>
      </w:r>
      <w:r w:rsidRPr="00E17DF1">
        <w:rPr>
          <w:bCs/>
        </w:rPr>
        <w:t>to manage the data, and thus help to ensure timely, comprehensive, and secure approaches to data curation</w:t>
      </w:r>
      <w:r>
        <w:rPr>
          <w:bCs/>
        </w:rPr>
        <w:t>.</w:t>
      </w:r>
      <w:r>
        <w:rPr>
          <w:rStyle w:val="EndnoteReference"/>
          <w:bCs/>
        </w:rPr>
        <w:endnoteReference w:id="16"/>
      </w:r>
    </w:p>
    <w:p w14:paraId="76E9FEE6" w14:textId="77777777" w:rsidR="00F17535" w:rsidRDefault="00F17535" w:rsidP="00F17535">
      <w:pPr>
        <w:rPr>
          <w:b/>
        </w:rPr>
      </w:pPr>
      <w:r>
        <w:rPr>
          <w:b/>
        </w:rPr>
        <w:t xml:space="preserve">What are the stages of a data lifecycle?  </w:t>
      </w:r>
    </w:p>
    <w:p w14:paraId="09E4B6CB" w14:textId="77777777" w:rsidR="00F17535" w:rsidRPr="005D451F" w:rsidRDefault="00F17535" w:rsidP="00F17535">
      <w:r>
        <w:t>Different data lifecycle models exist, and users may enter at any stage of the lifecycle, depending on their current area of need.</w:t>
      </w:r>
      <w:r>
        <w:rPr>
          <w:rStyle w:val="EndnoteReference"/>
        </w:rPr>
        <w:endnoteReference w:id="17"/>
      </w:r>
      <w:r>
        <w:t xml:space="preserve"> The model below presents a model (adapted from the</w:t>
      </w:r>
      <w:r w:rsidRPr="00B6349B">
        <w:t xml:space="preserve"> United States Geological Survey science data lifecycle model</w:t>
      </w:r>
      <w:r>
        <w:t>).</w:t>
      </w:r>
      <w:r>
        <w:rPr>
          <w:rStyle w:val="EndnoteReference"/>
        </w:rPr>
        <w:endnoteReference w:id="18"/>
      </w:r>
    </w:p>
    <w:p w14:paraId="26453954" w14:textId="5F6690E2" w:rsidR="00F17535" w:rsidRDefault="00CB2850" w:rsidP="00F17535">
      <w:pPr>
        <w:jc w:val="center"/>
        <w:rPr>
          <w:b/>
        </w:rPr>
      </w:pPr>
      <w:r>
        <w:rPr>
          <w:noProof/>
        </w:rPr>
        <w:lastRenderedPageBreak/>
        <w:drawing>
          <wp:inline distT="0" distB="0" distL="0" distR="0" wp14:anchorId="7CD110A1" wp14:editId="1255A467">
            <wp:extent cx="2775097" cy="2775097"/>
            <wp:effectExtent l="0" t="0" r="6350" b="6350"/>
            <wp:docPr id="17" name="Picture 17" descr="Continuous cycle that represents the stages of a data lifecycle: Plan &gt; Acquire &gt; Process &gt; Analyze &gt; Preserve &gt; Publish/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ontinuous cycle that represents the stages of a data lifecycle: Plan &gt; Acquire &gt; Process &gt; Analyze &gt; Preserve &gt; Publish/Share"/>
                    <pic:cNvPicPr/>
                  </pic:nvPicPr>
                  <pic:blipFill>
                    <a:blip r:embed="rId22"/>
                    <a:stretch>
                      <a:fillRect/>
                    </a:stretch>
                  </pic:blipFill>
                  <pic:spPr>
                    <a:xfrm>
                      <a:off x="0" y="0"/>
                      <a:ext cx="2780762" cy="2780762"/>
                    </a:xfrm>
                    <a:prstGeom prst="rect">
                      <a:avLst/>
                    </a:prstGeom>
                  </pic:spPr>
                </pic:pic>
              </a:graphicData>
            </a:graphic>
          </wp:inline>
        </w:drawing>
      </w:r>
    </w:p>
    <w:p w14:paraId="48B50C1B" w14:textId="77777777" w:rsidR="00F17535" w:rsidRPr="00F03D03" w:rsidRDefault="00F17535" w:rsidP="00F17535">
      <w:pPr>
        <w:pStyle w:val="ListParagraph"/>
        <w:numPr>
          <w:ilvl w:val="0"/>
          <w:numId w:val="11"/>
        </w:numPr>
        <w:spacing w:after="120"/>
        <w:ind w:left="720"/>
        <w:contextualSpacing w:val="0"/>
        <w:rPr>
          <w:b/>
        </w:rPr>
      </w:pPr>
      <w:r w:rsidRPr="00432D2A">
        <w:rPr>
          <w:b/>
        </w:rPr>
        <w:t>Plan</w:t>
      </w:r>
      <w:r w:rsidRPr="00432D2A">
        <w:rPr>
          <w:bCs/>
        </w:rPr>
        <w:t xml:space="preserve">: </w:t>
      </w:r>
      <w:r>
        <w:rPr>
          <w:bCs/>
        </w:rPr>
        <w:t>T</w:t>
      </w:r>
      <w:r w:rsidRPr="00432D2A">
        <w:rPr>
          <w:bCs/>
        </w:rPr>
        <w:t xml:space="preserve">his should be the first stage when </w:t>
      </w:r>
      <w:r>
        <w:rPr>
          <w:bCs/>
        </w:rPr>
        <w:t>working with new</w:t>
      </w:r>
      <w:r w:rsidRPr="00432D2A">
        <w:rPr>
          <w:bCs/>
        </w:rPr>
        <w:t xml:space="preserve"> data assets, which helps assure that all data-related activities are considered. During this stage, staff should determine approaches, resources, and intended outputs for each stage of the data lifecycle. Ideally, a </w:t>
      </w:r>
      <w:hyperlink w:anchor="DataManagementPlan" w:history="1">
        <w:r w:rsidRPr="0060614C">
          <w:rPr>
            <w:rStyle w:val="Hyperlink"/>
            <w:bCs/>
          </w:rPr>
          <w:t>data management plan</w:t>
        </w:r>
      </w:hyperlink>
      <w:r w:rsidRPr="00432D2A">
        <w:rPr>
          <w:bCs/>
        </w:rPr>
        <w:t xml:space="preserve"> </w:t>
      </w:r>
      <w:r>
        <w:rPr>
          <w:bCs/>
        </w:rPr>
        <w:t>should be developed as an output of the planning process. For existing data assets, planning should focus on reviewing and evaluating outputs and outcomes and identifying actions for improving or updating activities for the subsequent stages. If needed, a data maturity assessment may be conducted at this stage. At ACL staff from both OPE and OIRM can help with planning for new or revised data collection activities. There may also be resource implications as data</w:t>
      </w:r>
    </w:p>
    <w:p w14:paraId="23D6AB2C" w14:textId="5DC39F56" w:rsidR="00F17535" w:rsidRPr="00F03D03" w:rsidRDefault="00F17535" w:rsidP="00F17535">
      <w:pPr>
        <w:pStyle w:val="ListParagraph"/>
        <w:numPr>
          <w:ilvl w:val="0"/>
          <w:numId w:val="11"/>
        </w:numPr>
        <w:spacing w:after="120"/>
        <w:ind w:left="720"/>
        <w:contextualSpacing w:val="0"/>
        <w:rPr>
          <w:b/>
        </w:rPr>
      </w:pPr>
      <w:r>
        <w:rPr>
          <w:b/>
        </w:rPr>
        <w:t xml:space="preserve">Acquire: </w:t>
      </w:r>
      <w:r w:rsidR="00DA729D">
        <w:rPr>
          <w:bCs/>
        </w:rPr>
        <w:t>In this stage</w:t>
      </w:r>
      <w:r>
        <w:t xml:space="preserve"> new or existing data are collected, generated, or considered and evaluated for use. The output for this stage is the data.</w:t>
      </w:r>
    </w:p>
    <w:p w14:paraId="0563E7A5" w14:textId="77777777" w:rsidR="00F17535" w:rsidRPr="00F03D03" w:rsidRDefault="00F17535" w:rsidP="00F17535">
      <w:pPr>
        <w:pStyle w:val="ListParagraph"/>
        <w:numPr>
          <w:ilvl w:val="0"/>
          <w:numId w:val="11"/>
        </w:numPr>
        <w:spacing w:after="120"/>
        <w:ind w:left="720"/>
        <w:contextualSpacing w:val="0"/>
        <w:rPr>
          <w:b/>
        </w:rPr>
      </w:pPr>
      <w:r>
        <w:rPr>
          <w:b/>
        </w:rPr>
        <w:t xml:space="preserve">Process: </w:t>
      </w:r>
      <w:r>
        <w:rPr>
          <w:bCs/>
        </w:rPr>
        <w:t xml:space="preserve">This stage consists of </w:t>
      </w:r>
      <w:r>
        <w:t xml:space="preserve">various activities associated with the </w:t>
      </w:r>
      <w:r w:rsidRPr="00344A74">
        <w:t>preparation</w:t>
      </w:r>
      <w:r>
        <w:t xml:space="preserve"> of new or previously collected data. Processing of data may entail definition of data elements, integration of disparate data sets, extraction and validation of data to prepare the data for analysis, and opportunities to improve data collection if data are part of ongoing evaluation activities. The outputs from this stage are data sets that are ready for integration and analysis.</w:t>
      </w:r>
    </w:p>
    <w:p w14:paraId="59D969D2" w14:textId="5D72ADD7" w:rsidR="00F17535" w:rsidRPr="00F03D03" w:rsidRDefault="00F17535" w:rsidP="00F17535">
      <w:pPr>
        <w:pStyle w:val="ListParagraph"/>
        <w:numPr>
          <w:ilvl w:val="0"/>
          <w:numId w:val="11"/>
        </w:numPr>
        <w:spacing w:after="120"/>
        <w:ind w:left="720"/>
        <w:contextualSpacing w:val="0"/>
        <w:rPr>
          <w:b/>
        </w:rPr>
      </w:pPr>
      <w:r>
        <w:rPr>
          <w:b/>
        </w:rPr>
        <w:t xml:space="preserve">Analyze: </w:t>
      </w:r>
      <w:r>
        <w:rPr>
          <w:bCs/>
        </w:rPr>
        <w:t xml:space="preserve">Activities in this stage are related to the </w:t>
      </w:r>
      <w:r w:rsidRPr="00344A74">
        <w:t xml:space="preserve">exploration and interpretation </w:t>
      </w:r>
      <w:r>
        <w:t xml:space="preserve">of processed data, where hypotheses are tested, discoveries are made, and conclusions are drawn. Analytical activities include summarization, graphing, statistical analysis, and modeling, and they are used to produce data-driven results and information. At this stage, </w:t>
      </w:r>
      <w:r w:rsidR="00DA729D">
        <w:t xml:space="preserve">data sets may be modified (e.g., construction of new variables) and </w:t>
      </w:r>
      <w:r>
        <w:t>new data are generated</w:t>
      </w:r>
      <w:r w:rsidR="00DA729D">
        <w:t xml:space="preserve"> (e.g., a data set created by linking two or more separate data</w:t>
      </w:r>
      <w:r w:rsidR="006C7096">
        <w:t xml:space="preserve"> </w:t>
      </w:r>
      <w:r w:rsidR="00DA729D">
        <w:t>sets)</w:t>
      </w:r>
      <w:r>
        <w:t xml:space="preserve">, versions are tracked, and processes are documented. Data management during analysis improves the efficiency of data analysis activities, preserves documentation that is critical for data integrity, and creates a foundation for evaluation efforts. The outputs from this stage are </w:t>
      </w:r>
      <w:r w:rsidR="00DA729D">
        <w:t xml:space="preserve">new or updated data sets or </w:t>
      </w:r>
      <w:r>
        <w:t>interpretations</w:t>
      </w:r>
      <w:r w:rsidR="00DA729D">
        <w:t>/findings</w:t>
      </w:r>
      <w:r>
        <w:t xml:space="preserve"> which often are published in written reports. </w:t>
      </w:r>
    </w:p>
    <w:p w14:paraId="756D2930" w14:textId="77777777" w:rsidR="00F17535" w:rsidRPr="00F03D03" w:rsidRDefault="00F17535" w:rsidP="00F17535">
      <w:pPr>
        <w:pStyle w:val="ListParagraph"/>
        <w:numPr>
          <w:ilvl w:val="0"/>
          <w:numId w:val="11"/>
        </w:numPr>
        <w:spacing w:after="120"/>
        <w:ind w:left="720"/>
        <w:contextualSpacing w:val="0"/>
        <w:rPr>
          <w:b/>
        </w:rPr>
      </w:pPr>
      <w:r>
        <w:rPr>
          <w:b/>
        </w:rPr>
        <w:lastRenderedPageBreak/>
        <w:t xml:space="preserve">Preserve: </w:t>
      </w:r>
      <w:r>
        <w:t xml:space="preserve">This stage includes activities associated with storing data for long-term use and accessibility, including </w:t>
      </w:r>
      <w:hyperlink w:anchor="DataArchiving" w:history="1">
        <w:r w:rsidRPr="005B1F5C">
          <w:rPr>
            <w:rStyle w:val="Hyperlink"/>
          </w:rPr>
          <w:t>data archiving</w:t>
        </w:r>
      </w:hyperlink>
      <w:r>
        <w:t xml:space="preserve">, </w:t>
      </w:r>
      <w:hyperlink w:anchor="DataDisposition" w:history="1">
        <w:r w:rsidRPr="00880ABA">
          <w:rPr>
            <w:rStyle w:val="Hyperlink"/>
          </w:rPr>
          <w:t>data disposition</w:t>
        </w:r>
      </w:hyperlink>
      <w:r>
        <w:t xml:space="preserve">, and the creation of </w:t>
      </w:r>
      <w:hyperlink w:anchor="DataRepository" w:history="1">
        <w:r w:rsidRPr="00880ABA">
          <w:rPr>
            <w:rStyle w:val="Hyperlink"/>
          </w:rPr>
          <w:t>data repositories</w:t>
        </w:r>
      </w:hyperlink>
      <w:r>
        <w:t>. It is important to plan for long-term preservation of data, metadata, ancillary products, application-neutral storage formats, and any additional documentation, to ensure availability and reuse of data.</w:t>
      </w:r>
    </w:p>
    <w:p w14:paraId="52A158FA" w14:textId="38F67BAD" w:rsidR="00F17535" w:rsidRPr="00F03D03" w:rsidRDefault="00F17535" w:rsidP="00F17535">
      <w:pPr>
        <w:pStyle w:val="ListParagraph"/>
        <w:numPr>
          <w:ilvl w:val="0"/>
          <w:numId w:val="11"/>
        </w:numPr>
        <w:ind w:left="720"/>
        <w:contextualSpacing w:val="0"/>
        <w:rPr>
          <w:b/>
        </w:rPr>
      </w:pPr>
      <w:r w:rsidRPr="00722D72">
        <w:rPr>
          <w:b/>
        </w:rPr>
        <w:t xml:space="preserve">Publish/share: </w:t>
      </w:r>
      <w:r>
        <w:t>Activities in this stage are associated with disseminating data through peer-reviewed publications and social media</w:t>
      </w:r>
      <w:r w:rsidR="00AF2DD3" w:rsidRPr="00AF2DD3">
        <w:t xml:space="preserve"> </w:t>
      </w:r>
      <w:r w:rsidR="00AF2DD3">
        <w:t>and making the data available for use by others through ACL’s website</w:t>
      </w:r>
      <w:r w:rsidR="006C7096">
        <w:t xml:space="preserve"> and</w:t>
      </w:r>
      <w:r w:rsidR="00AF2DD3">
        <w:t xml:space="preserve"> data catalogs</w:t>
      </w:r>
      <w:r>
        <w:t xml:space="preserve">. </w:t>
      </w:r>
    </w:p>
    <w:p w14:paraId="1E4626CA" w14:textId="77777777" w:rsidR="00F17535" w:rsidRDefault="00F17535" w:rsidP="00F17535">
      <w:pPr>
        <w:spacing w:after="0"/>
        <w:rPr>
          <w:bCs/>
        </w:rPr>
      </w:pPr>
      <w:r>
        <w:rPr>
          <w:bCs/>
        </w:rPr>
        <w:t xml:space="preserve">In addition to these discrete stages, other activities need to be considered and performed across all stages of the lifecycle. These activities include </w:t>
      </w:r>
    </w:p>
    <w:p w14:paraId="044ACE35" w14:textId="77777777" w:rsidR="00F17535" w:rsidRDefault="00F17535" w:rsidP="00F17535">
      <w:pPr>
        <w:spacing w:after="0" w:line="240" w:lineRule="auto"/>
        <w:ind w:left="360"/>
        <w:rPr>
          <w:bCs/>
        </w:rPr>
      </w:pPr>
      <w:r>
        <w:rPr>
          <w:bCs/>
          <w:noProof/>
        </w:rPr>
        <mc:AlternateContent>
          <mc:Choice Requires="wps">
            <w:drawing>
              <wp:inline distT="0" distB="0" distL="0" distR="0" wp14:anchorId="16F0C2DF" wp14:editId="0286FD3C">
                <wp:extent cx="5507665" cy="544195"/>
                <wp:effectExtent l="0" t="19050" r="36195" b="46355"/>
                <wp:docPr id="4" name="Arrow: Right 4" descr="Describe (metadata, documentation): Document key information at each stage"/>
                <wp:cNvGraphicFramePr/>
                <a:graphic xmlns:a="http://schemas.openxmlformats.org/drawingml/2006/main">
                  <a:graphicData uri="http://schemas.microsoft.com/office/word/2010/wordprocessingShape">
                    <wps:wsp>
                      <wps:cNvSpPr/>
                      <wps:spPr>
                        <a:xfrm>
                          <a:off x="0" y="0"/>
                          <a:ext cx="5507665" cy="544195"/>
                        </a:xfrm>
                        <a:prstGeom prst="rightArrow">
                          <a:avLst>
                            <a:gd name="adj1" fmla="val 50000"/>
                            <a:gd name="adj2" fmla="val 96892"/>
                          </a:avLst>
                        </a:prstGeom>
                        <a:solidFill>
                          <a:srgbClr val="2A4B8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991A3" w14:textId="77777777" w:rsidR="006B305B" w:rsidRDefault="006B305B" w:rsidP="00F17535">
                            <w:pPr>
                              <w:spacing w:after="0"/>
                              <w:ind w:left="180"/>
                            </w:pPr>
                            <w:r>
                              <w:t xml:space="preserve">Describe (metadata, documentation): Document key information at each stage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0C2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32" type="#_x0000_t13" alt="Describe (metadata, documentation): Document key information at each stage" style="width:433.65pt;height:4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" adj="19532" fillcolor="#2a4b86" strokecolor="black [3213]" strokeweight="1pt">
                <v:textbox>
                  <w:txbxContent>
                    <w:p w14:paraId="412991A3" w14:textId="77777777" w:rsidR="006B305B" w:rsidRDefault="006B305B" w:rsidP="00F17535">
                      <w:pPr>
                        <w:spacing w:after="0"/>
                        <w:ind w:left="180"/>
                      </w:pPr>
                      <w:r>
                        <w:t xml:space="preserve">Describe (metadata, documentation): Document key information at each stage </w:t>
                      </w:r>
                    </w:p>
                  </w:txbxContent>
                </v:textbox>
                <w10:anchorlock/>
              </v:shape>
            </w:pict>
          </mc:Fallback>
        </mc:AlternateContent>
      </w:r>
    </w:p>
    <w:p w14:paraId="44D56AEB" w14:textId="77777777" w:rsidR="00F17535" w:rsidRDefault="00F17535" w:rsidP="00F17535">
      <w:pPr>
        <w:spacing w:after="0"/>
        <w:ind w:left="360"/>
        <w:rPr>
          <w:bCs/>
        </w:rPr>
      </w:pPr>
      <w:r>
        <w:rPr>
          <w:bCs/>
          <w:noProof/>
        </w:rPr>
        <mc:AlternateContent>
          <mc:Choice Requires="wps">
            <w:drawing>
              <wp:inline distT="0" distB="0" distL="0" distR="0" wp14:anchorId="52EA4CD7" wp14:editId="2B365F1E">
                <wp:extent cx="5518298" cy="544195"/>
                <wp:effectExtent l="0" t="19050" r="44450" b="46355"/>
                <wp:docPr id="5" name="Arrow: Right 5" descr="Manage quality: Plan and implement data quality control processes"/>
                <wp:cNvGraphicFramePr/>
                <a:graphic xmlns:a="http://schemas.openxmlformats.org/drawingml/2006/main">
                  <a:graphicData uri="http://schemas.microsoft.com/office/word/2010/wordprocessingShape">
                    <wps:wsp>
                      <wps:cNvSpPr/>
                      <wps:spPr>
                        <a:xfrm>
                          <a:off x="0" y="0"/>
                          <a:ext cx="5518298" cy="544195"/>
                        </a:xfrm>
                        <a:prstGeom prst="rightArrow">
                          <a:avLst>
                            <a:gd name="adj1" fmla="val 50000"/>
                            <a:gd name="adj2" fmla="val 96891"/>
                          </a:avLst>
                        </a:prstGeom>
                        <a:solidFill>
                          <a:srgbClr val="9A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4EDD5" w14:textId="77777777" w:rsidR="006B305B" w:rsidRDefault="006B305B" w:rsidP="00F17535">
                            <w:pPr>
                              <w:spacing w:after="0" w:line="240" w:lineRule="auto"/>
                              <w:ind w:left="180"/>
                            </w:pPr>
                            <w:r>
                              <w:t xml:space="preserve">Manage quality: </w:t>
                            </w:r>
                            <w:r>
                              <w:rPr>
                                <w:bCs/>
                              </w:rPr>
                              <w:t>Plan and implement data quality control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EA4CD7" id="Arrow: Right 5" o:spid="_x0000_s1033" type="#_x0000_t13" alt="Manage quality: Plan and implement data quality control processes" style="width:434.5pt;height:4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" adj="19536" fillcolor="#9a0000" strokecolor="black [3213]" strokeweight="1pt">
                <v:textbox>
                  <w:txbxContent>
                    <w:p w14:paraId="72C4EDD5" w14:textId="77777777" w:rsidR="006B305B" w:rsidRDefault="006B305B" w:rsidP="00F17535">
                      <w:pPr>
                        <w:spacing w:after="0" w:line="240" w:lineRule="auto"/>
                        <w:ind w:left="180"/>
                      </w:pPr>
                      <w:r>
                        <w:t xml:space="preserve">Manage quality: </w:t>
                      </w:r>
                      <w:r>
                        <w:rPr>
                          <w:bCs/>
                        </w:rPr>
                        <w:t>Plan and implement data quality control processes</w:t>
                      </w:r>
                    </w:p>
                  </w:txbxContent>
                </v:textbox>
                <w10:anchorlock/>
              </v:shape>
            </w:pict>
          </mc:Fallback>
        </mc:AlternateContent>
      </w:r>
    </w:p>
    <w:p w14:paraId="04B57A82" w14:textId="17ECCB96" w:rsidR="00F17535" w:rsidRPr="00F17535" w:rsidRDefault="00F17535" w:rsidP="00F17535">
      <w:pPr>
        <w:spacing w:after="0"/>
        <w:ind w:left="360"/>
        <w:rPr>
          <w:bCs/>
        </w:rPr>
      </w:pPr>
      <w:r>
        <w:rPr>
          <w:bCs/>
          <w:noProof/>
        </w:rPr>
        <mc:AlternateContent>
          <mc:Choice Requires="wps">
            <w:drawing>
              <wp:inline distT="0" distB="0" distL="0" distR="0" wp14:anchorId="75A611DF" wp14:editId="5E9A0AAB">
                <wp:extent cx="5528931" cy="544195"/>
                <wp:effectExtent l="0" t="19050" r="34290" b="46355"/>
                <wp:docPr id="6" name="Arrow: Right 6" descr="Backup and secure: Ensure the safeguarding of data"/>
                <wp:cNvGraphicFramePr/>
                <a:graphic xmlns:a="http://schemas.openxmlformats.org/drawingml/2006/main">
                  <a:graphicData uri="http://schemas.microsoft.com/office/word/2010/wordprocessingShape">
                    <wps:wsp>
                      <wps:cNvSpPr/>
                      <wps:spPr>
                        <a:xfrm>
                          <a:off x="0" y="0"/>
                          <a:ext cx="5528931" cy="544195"/>
                        </a:xfrm>
                        <a:prstGeom prst="rightArrow">
                          <a:avLst>
                            <a:gd name="adj1" fmla="val 50000"/>
                            <a:gd name="adj2" fmla="val 96892"/>
                          </a:avLst>
                        </a:prstGeom>
                        <a:solidFill>
                          <a:srgbClr val="EA9D0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4F97F" w14:textId="77777777" w:rsidR="006B305B" w:rsidRPr="00CB2850" w:rsidRDefault="006B305B" w:rsidP="00F17535">
                            <w:pPr>
                              <w:spacing w:after="0" w:line="240" w:lineRule="auto"/>
                              <w:ind w:left="180"/>
                              <w:rPr>
                                <w:color w:val="000000" w:themeColor="text1"/>
                              </w:rPr>
                            </w:pPr>
                            <w:r w:rsidRPr="00CB2850">
                              <w:rPr>
                                <w:color w:val="000000" w:themeColor="text1"/>
                              </w:rPr>
                              <w:t xml:space="preserve">Backup and secure: </w:t>
                            </w:r>
                            <w:r w:rsidRPr="00CB2850">
                              <w:rPr>
                                <w:bCs/>
                                <w:color w:val="000000" w:themeColor="text1"/>
                              </w:rPr>
                              <w:t>Ensure the safeguarding of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611DF" id="Arrow: Right 6" o:spid="_x0000_s1034" type="#_x0000_t13" alt="Backup and secure: Ensure the safeguarding of data" style="width:435.35pt;height:4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" adj="19540" fillcolor="#ea9d04" strokecolor="black [3213]" strokeweight="1pt">
                <v:textbox>
                  <w:txbxContent>
                    <w:p w14:paraId="07E4F97F" w14:textId="77777777" w:rsidR="006B305B" w:rsidRPr="00CB2850" w:rsidRDefault="006B305B" w:rsidP="00F17535">
                      <w:pPr>
                        <w:spacing w:after="0" w:line="240" w:lineRule="auto"/>
                        <w:ind w:left="180"/>
                        <w:rPr>
                          <w:color w:val="000000" w:themeColor="text1"/>
                        </w:rPr>
                      </w:pPr>
                      <w:r w:rsidRPr="00CB2850">
                        <w:rPr>
                          <w:color w:val="000000" w:themeColor="text1"/>
                        </w:rPr>
                        <w:t xml:space="preserve">Backup and secure: </w:t>
                      </w:r>
                      <w:r w:rsidRPr="00CB2850">
                        <w:rPr>
                          <w:bCs/>
                          <w:color w:val="000000" w:themeColor="text1"/>
                        </w:rPr>
                        <w:t>Ensure the safeguarding of data</w:t>
                      </w:r>
                    </w:p>
                  </w:txbxContent>
                </v:textbox>
                <w10:anchorlock/>
              </v:shape>
            </w:pict>
          </mc:Fallback>
        </mc:AlternateContent>
      </w:r>
    </w:p>
    <w:p w14:paraId="7E561295" w14:textId="0860CD6D" w:rsidR="00564149" w:rsidRDefault="00564149" w:rsidP="00503AB3">
      <w:pPr>
        <w:pStyle w:val="Heading4"/>
        <w:spacing w:before="160"/>
      </w:pPr>
      <w:bookmarkStart w:id="35" w:name="_Toc52181185"/>
      <w:r>
        <w:t>Metadata</w:t>
      </w:r>
      <w:bookmarkEnd w:id="35"/>
    </w:p>
    <w:p w14:paraId="4ACBA026" w14:textId="1E7302DE" w:rsidR="00DA4ADB" w:rsidRPr="00270466" w:rsidRDefault="00270466" w:rsidP="00DA4ADB">
      <w:pPr>
        <w:rPr>
          <w:b/>
          <w:bCs/>
        </w:rPr>
      </w:pPr>
      <w:r w:rsidRPr="00270466">
        <w:rPr>
          <w:b/>
          <w:bCs/>
        </w:rPr>
        <w:t xml:space="preserve">What </w:t>
      </w:r>
      <w:r w:rsidR="006A597D" w:rsidRPr="00C43705">
        <w:rPr>
          <w:b/>
          <w:bCs/>
        </w:rPr>
        <w:t>are</w:t>
      </w:r>
      <w:r w:rsidRPr="00C43705">
        <w:rPr>
          <w:b/>
          <w:bCs/>
        </w:rPr>
        <w:t xml:space="preserve"> </w:t>
      </w:r>
      <w:r w:rsidRPr="00270466">
        <w:rPr>
          <w:b/>
          <w:bCs/>
        </w:rPr>
        <w:t>metadata?</w:t>
      </w:r>
    </w:p>
    <w:p w14:paraId="30D0C155" w14:textId="1ABE85F3" w:rsidR="00270466" w:rsidRDefault="005A473B" w:rsidP="00DA4ADB">
      <w:hyperlink w:anchor="MetaData" w:history="1">
        <w:r w:rsidR="00270466" w:rsidRPr="00770338">
          <w:rPr>
            <w:rStyle w:val="Hyperlink"/>
          </w:rPr>
          <w:t>Metadata</w:t>
        </w:r>
      </w:hyperlink>
      <w:r w:rsidR="00270466">
        <w:t xml:space="preserve"> </w:t>
      </w:r>
      <w:r w:rsidR="006A597D">
        <w:t>are</w:t>
      </w:r>
      <w:r w:rsidR="00270466">
        <w:t xml:space="preserve"> often thought of as data about data</w:t>
      </w:r>
      <w:r w:rsidR="00B5102C">
        <w:t>, or facts about data</w:t>
      </w:r>
      <w:r w:rsidR="00270466">
        <w:t xml:space="preserve">. Specifically, </w:t>
      </w:r>
      <w:r w:rsidR="006A597D">
        <w:t xml:space="preserve">they </w:t>
      </w:r>
      <w:r w:rsidR="00962746">
        <w:t>provide</w:t>
      </w:r>
      <w:r w:rsidR="00270466">
        <w:t xml:space="preserve"> </w:t>
      </w:r>
      <w:r w:rsidR="00270466" w:rsidRPr="00270466">
        <w:t>structured information that describes</w:t>
      </w:r>
      <w:r w:rsidR="00270466">
        <w:t xml:space="preserve"> and defines data, including </w:t>
      </w:r>
      <w:r w:rsidR="00962746">
        <w:t xml:space="preserve">their </w:t>
      </w:r>
      <w:r w:rsidR="00270466">
        <w:t>content, quality, and location.</w:t>
      </w:r>
      <w:r w:rsidR="00051D5F">
        <w:rPr>
          <w:rStyle w:val="EndnoteReference"/>
        </w:rPr>
        <w:endnoteReference w:id="19"/>
      </w:r>
      <w:r w:rsidR="00270466">
        <w:t xml:space="preserve"> </w:t>
      </w:r>
    </w:p>
    <w:p w14:paraId="2965B1F5" w14:textId="4B1B925E" w:rsidR="00270466" w:rsidRDefault="00270466" w:rsidP="00F17535">
      <w:pPr>
        <w:spacing w:after="240"/>
        <w:ind w:left="720"/>
      </w:pPr>
      <w:r w:rsidRPr="00270466">
        <w:t xml:space="preserve">Metadata can range from basic to advanced, from allowing one to discover the mere fact that a certain </w:t>
      </w:r>
      <w:hyperlink w:anchor="DataAsset" w:history="1">
        <w:r w:rsidRPr="0097327E">
          <w:rPr>
            <w:rStyle w:val="Hyperlink"/>
          </w:rPr>
          <w:t>data asset</w:t>
        </w:r>
      </w:hyperlink>
      <w:r w:rsidRPr="00270466">
        <w:t xml:space="preserve"> exists and is about a general subject all the way to providing detailed information documenting the structure, </w:t>
      </w:r>
      <w:r w:rsidR="00F03D03">
        <w:t xml:space="preserve">[variables], </w:t>
      </w:r>
      <w:r w:rsidR="007340F5">
        <w:t xml:space="preserve">definitions, </w:t>
      </w:r>
      <w:r w:rsidRPr="00270466">
        <w:t xml:space="preserve">processing history, quality, relationships, and other properties of a </w:t>
      </w:r>
      <w:hyperlink w:anchor="DataSet" w:history="1">
        <w:r w:rsidRPr="0097327E">
          <w:rPr>
            <w:rStyle w:val="Hyperlink"/>
          </w:rPr>
          <w:t>dataset</w:t>
        </w:r>
      </w:hyperlink>
      <w:r>
        <w:t>.</w:t>
      </w:r>
      <w:r w:rsidR="00051D5F">
        <w:rPr>
          <w:rStyle w:val="EndnoteReference"/>
        </w:rPr>
        <w:endnoteReference w:id="20"/>
      </w:r>
    </w:p>
    <w:p w14:paraId="0D613B17" w14:textId="7781B430" w:rsidR="00B5102C" w:rsidRPr="00B5102C" w:rsidRDefault="00B5102C" w:rsidP="00DA4ADB">
      <w:pPr>
        <w:rPr>
          <w:b/>
          <w:bCs/>
        </w:rPr>
      </w:pPr>
      <w:r w:rsidRPr="00B5102C">
        <w:rPr>
          <w:b/>
          <w:bCs/>
        </w:rPr>
        <w:t xml:space="preserve">Why </w:t>
      </w:r>
      <w:r w:rsidR="006A597D" w:rsidRPr="00932476">
        <w:rPr>
          <w:b/>
          <w:bCs/>
        </w:rPr>
        <w:t>are</w:t>
      </w:r>
      <w:r w:rsidRPr="00B5102C">
        <w:rPr>
          <w:b/>
          <w:bCs/>
        </w:rPr>
        <w:t xml:space="preserve"> metadata important?</w:t>
      </w:r>
    </w:p>
    <w:p w14:paraId="7A27C3BE" w14:textId="557DFBEC" w:rsidR="00270466" w:rsidRDefault="00B5102C" w:rsidP="00DA4ADB">
      <w:r>
        <w:t xml:space="preserve">Metadata </w:t>
      </w:r>
      <w:r w:rsidR="00270466">
        <w:t>provide the data consumer with the information</w:t>
      </w:r>
      <w:r>
        <w:t xml:space="preserve"> needed</w:t>
      </w:r>
      <w:r w:rsidR="00270466">
        <w:t xml:space="preserve"> to retrieve, process, understand, use, </w:t>
      </w:r>
      <w:r w:rsidR="007340F5">
        <w:t xml:space="preserve">analyze, </w:t>
      </w:r>
      <w:r w:rsidR="00270466">
        <w:t xml:space="preserve">and manage the described data. </w:t>
      </w:r>
      <w:r w:rsidR="00A0717F">
        <w:t xml:space="preserve">Good metadata answer the Who, What, Why, </w:t>
      </w:r>
      <w:r w:rsidR="005F01F8">
        <w:t>Where, When</w:t>
      </w:r>
      <w:r w:rsidR="00452837">
        <w:t>,</w:t>
      </w:r>
      <w:r w:rsidR="005F01F8">
        <w:t xml:space="preserve"> </w:t>
      </w:r>
      <w:r w:rsidR="00A0717F">
        <w:t>and How about data</w:t>
      </w:r>
      <w:r w:rsidR="00452837">
        <w:t>,</w:t>
      </w:r>
      <w:r w:rsidR="00051D5F">
        <w:rPr>
          <w:rStyle w:val="EndnoteReference"/>
        </w:rPr>
        <w:endnoteReference w:id="21"/>
      </w:r>
      <w:r w:rsidR="00A0717F">
        <w:t xml:space="preserve">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735"/>
      </w:tblGrid>
      <w:tr w:rsidR="00A0717F" w14:paraId="0AE15AED" w14:textId="77777777" w:rsidTr="00687E54">
        <w:trPr>
          <w:trHeight w:val="815"/>
        </w:trPr>
        <w:tc>
          <w:tcPr>
            <w:tcW w:w="3735" w:type="dxa"/>
          </w:tcPr>
          <w:p w14:paraId="18B260D9" w14:textId="77777777" w:rsidR="00A0717F" w:rsidRDefault="00A0717F" w:rsidP="00A0717F">
            <w:r w:rsidRPr="00A0717F">
              <w:rPr>
                <w:b/>
                <w:bCs/>
              </w:rPr>
              <w:t>Who</w:t>
            </w:r>
            <w:r>
              <w:t xml:space="preserve"> collected the data?</w:t>
            </w:r>
          </w:p>
          <w:p w14:paraId="0CA92C19" w14:textId="25CB6C7E" w:rsidR="00A0717F" w:rsidRDefault="00A0717F" w:rsidP="00A0717F">
            <w:r w:rsidRPr="00A0717F">
              <w:rPr>
                <w:b/>
                <w:bCs/>
              </w:rPr>
              <w:t>Who</w:t>
            </w:r>
            <w:r>
              <w:t xml:space="preserve"> owns the data?</w:t>
            </w:r>
          </w:p>
        </w:tc>
        <w:tc>
          <w:tcPr>
            <w:tcW w:w="3735" w:type="dxa"/>
          </w:tcPr>
          <w:p w14:paraId="712C896E" w14:textId="77777777" w:rsidR="005F01F8" w:rsidRDefault="005F01F8" w:rsidP="005F01F8">
            <w:r>
              <w:rPr>
                <w:b/>
                <w:bCs/>
              </w:rPr>
              <w:t xml:space="preserve">Where </w:t>
            </w:r>
            <w:r>
              <w:t>were the data collected?</w:t>
            </w:r>
          </w:p>
          <w:p w14:paraId="510D6B7C" w14:textId="54A14535" w:rsidR="00A0717F" w:rsidRDefault="005F01F8" w:rsidP="005F01F8">
            <w:r w:rsidRPr="005F01F8">
              <w:rPr>
                <w:b/>
                <w:bCs/>
              </w:rPr>
              <w:t xml:space="preserve">Where </w:t>
            </w:r>
            <w:r>
              <w:t>are the data located?</w:t>
            </w:r>
          </w:p>
        </w:tc>
      </w:tr>
      <w:tr w:rsidR="00A0717F" w14:paraId="25649C52" w14:textId="77777777" w:rsidTr="00687E54">
        <w:trPr>
          <w:trHeight w:val="815"/>
        </w:trPr>
        <w:tc>
          <w:tcPr>
            <w:tcW w:w="3735" w:type="dxa"/>
          </w:tcPr>
          <w:p w14:paraId="102E29C7" w14:textId="77777777" w:rsidR="00A0717F" w:rsidRDefault="00A0717F" w:rsidP="00A0717F">
            <w:r w:rsidRPr="00A0717F">
              <w:rPr>
                <w:b/>
                <w:bCs/>
              </w:rPr>
              <w:t xml:space="preserve">What </w:t>
            </w:r>
            <w:r w:rsidRPr="00A0717F">
              <w:t>are the data about?</w:t>
            </w:r>
          </w:p>
          <w:p w14:paraId="0269F8A3" w14:textId="6C972C6B" w:rsidR="00A0717F" w:rsidRDefault="00A0717F" w:rsidP="00A0717F">
            <w:r w:rsidRPr="00A0717F">
              <w:rPr>
                <w:b/>
                <w:bCs/>
              </w:rPr>
              <w:t xml:space="preserve">What </w:t>
            </w:r>
            <w:r>
              <w:t xml:space="preserve">format </w:t>
            </w:r>
            <w:r w:rsidR="00C43705">
              <w:t>is used for the data</w:t>
            </w:r>
            <w:r>
              <w:t>?</w:t>
            </w:r>
          </w:p>
        </w:tc>
        <w:tc>
          <w:tcPr>
            <w:tcW w:w="3735" w:type="dxa"/>
          </w:tcPr>
          <w:p w14:paraId="690DAEB8" w14:textId="77777777" w:rsidR="00A0717F" w:rsidRDefault="005F01F8" w:rsidP="00A0717F">
            <w:r w:rsidRPr="005F01F8">
              <w:rPr>
                <w:b/>
                <w:bCs/>
              </w:rPr>
              <w:t>When</w:t>
            </w:r>
            <w:r>
              <w:t xml:space="preserve"> were the data collected?</w:t>
            </w:r>
          </w:p>
          <w:p w14:paraId="36744415" w14:textId="6CB65DFE" w:rsidR="005F01F8" w:rsidRDefault="005F01F8" w:rsidP="00A0717F">
            <w:r w:rsidRPr="005F01F8">
              <w:rPr>
                <w:b/>
                <w:bCs/>
              </w:rPr>
              <w:t xml:space="preserve">When </w:t>
            </w:r>
            <w:r>
              <w:t>were the data processed?</w:t>
            </w:r>
          </w:p>
        </w:tc>
      </w:tr>
      <w:tr w:rsidR="005F01F8" w14:paraId="4BF0A090" w14:textId="77777777" w:rsidTr="00687E54">
        <w:trPr>
          <w:trHeight w:val="815"/>
        </w:trPr>
        <w:tc>
          <w:tcPr>
            <w:tcW w:w="3735" w:type="dxa"/>
          </w:tcPr>
          <w:p w14:paraId="37921967" w14:textId="633F1534" w:rsidR="005F01F8" w:rsidRPr="005F01F8" w:rsidRDefault="005F01F8" w:rsidP="00A0717F">
            <w:r w:rsidRPr="00A0717F">
              <w:rPr>
                <w:b/>
                <w:bCs/>
              </w:rPr>
              <w:lastRenderedPageBreak/>
              <w:t xml:space="preserve">Why </w:t>
            </w:r>
            <w:r>
              <w:t>were the data collected?</w:t>
            </w:r>
          </w:p>
        </w:tc>
        <w:tc>
          <w:tcPr>
            <w:tcW w:w="3735" w:type="dxa"/>
          </w:tcPr>
          <w:p w14:paraId="28EA8FB8" w14:textId="77777777" w:rsidR="005F01F8" w:rsidRDefault="005F01F8" w:rsidP="005F01F8">
            <w:r w:rsidRPr="00A0717F">
              <w:rPr>
                <w:b/>
                <w:bCs/>
              </w:rPr>
              <w:t>How</w:t>
            </w:r>
            <w:r>
              <w:t xml:space="preserve"> were the data collected?</w:t>
            </w:r>
          </w:p>
          <w:p w14:paraId="7AE55B68" w14:textId="37A67B61" w:rsidR="005F01F8" w:rsidRPr="00A0717F" w:rsidRDefault="005F01F8" w:rsidP="005F01F8">
            <w:pPr>
              <w:rPr>
                <w:b/>
                <w:bCs/>
              </w:rPr>
            </w:pPr>
            <w:r w:rsidRPr="00A0717F">
              <w:rPr>
                <w:b/>
                <w:bCs/>
              </w:rPr>
              <w:t>How</w:t>
            </w:r>
            <w:r>
              <w:t xml:space="preserve"> was the data quality assessed?</w:t>
            </w:r>
          </w:p>
        </w:tc>
      </w:tr>
    </w:tbl>
    <w:p w14:paraId="14452BB9" w14:textId="77777777" w:rsidR="00A0717F" w:rsidRDefault="00A0717F" w:rsidP="004A5DC1">
      <w:pPr>
        <w:spacing w:after="0"/>
      </w:pPr>
    </w:p>
    <w:p w14:paraId="06D34D3F" w14:textId="6D18BC6F" w:rsidR="00270466" w:rsidRDefault="003B4C48" w:rsidP="00DA4ADB">
      <w:pPr>
        <w:rPr>
          <w:b/>
          <w:bCs/>
        </w:rPr>
      </w:pPr>
      <w:r w:rsidRPr="003B4C48">
        <w:rPr>
          <w:b/>
          <w:bCs/>
        </w:rPr>
        <w:t xml:space="preserve">What should I consider when </w:t>
      </w:r>
      <w:r w:rsidR="00134BDA">
        <w:rPr>
          <w:b/>
          <w:bCs/>
        </w:rPr>
        <w:t>writing</w:t>
      </w:r>
      <w:r w:rsidR="00282B3D">
        <w:rPr>
          <w:b/>
          <w:bCs/>
        </w:rPr>
        <w:t xml:space="preserve"> </w:t>
      </w:r>
      <w:r>
        <w:rPr>
          <w:b/>
          <w:bCs/>
        </w:rPr>
        <w:t>metadata?</w:t>
      </w:r>
    </w:p>
    <w:p w14:paraId="44CC8F58" w14:textId="155A8BAC" w:rsidR="00282B3D" w:rsidRDefault="00282B3D" w:rsidP="00DA4ADB">
      <w:pPr>
        <w:rPr>
          <w:bCs/>
        </w:rPr>
      </w:pPr>
      <w:r>
        <w:rPr>
          <w:bCs/>
        </w:rPr>
        <w:t xml:space="preserve">Before </w:t>
      </w:r>
      <w:r w:rsidR="00134BDA">
        <w:rPr>
          <w:bCs/>
        </w:rPr>
        <w:t>writing</w:t>
      </w:r>
      <w:r>
        <w:rPr>
          <w:bCs/>
        </w:rPr>
        <w:t xml:space="preserve"> metadata, consider these fundamental standards of quality metadata</w:t>
      </w:r>
      <w:r w:rsidR="00BC3326">
        <w:rPr>
          <w:bCs/>
          <w:vertAlign w:val="superscript"/>
        </w:rPr>
        <w:t>8</w:t>
      </w:r>
      <w:r>
        <w:rPr>
          <w:bCs/>
        </w:rPr>
        <w:t>:</w:t>
      </w:r>
    </w:p>
    <w:p w14:paraId="677F6519" w14:textId="7E8FEC6B" w:rsidR="00282B3D" w:rsidRPr="00282B3D" w:rsidRDefault="00282B3D" w:rsidP="00282B3D">
      <w:pPr>
        <w:pStyle w:val="ListParagraph"/>
        <w:numPr>
          <w:ilvl w:val="0"/>
          <w:numId w:val="9"/>
        </w:numPr>
        <w:spacing w:after="120"/>
        <w:contextualSpacing w:val="0"/>
        <w:rPr>
          <w:bCs/>
        </w:rPr>
      </w:pPr>
      <w:r w:rsidRPr="00CF6354">
        <w:rPr>
          <w:b/>
        </w:rPr>
        <w:t>Plan early</w:t>
      </w:r>
      <w:r>
        <w:rPr>
          <w:bCs/>
        </w:rPr>
        <w:t xml:space="preserve">: </w:t>
      </w:r>
      <w:r w:rsidR="00452837">
        <w:rPr>
          <w:bCs/>
        </w:rPr>
        <w:t>P</w:t>
      </w:r>
      <w:r>
        <w:rPr>
          <w:bCs/>
        </w:rPr>
        <w:t xml:space="preserve">lan metadata </w:t>
      </w:r>
      <w:r w:rsidRPr="00282B3D">
        <w:t>development during the initial planning stages of a project</w:t>
      </w:r>
      <w:r>
        <w:t>. This</w:t>
      </w:r>
      <w:r w:rsidRPr="00282B3D">
        <w:t xml:space="preserve"> can save time, effort, and money in the long run. </w:t>
      </w:r>
    </w:p>
    <w:p w14:paraId="71A69092" w14:textId="600041EC" w:rsidR="00CF6354" w:rsidRPr="00282B3D" w:rsidRDefault="00CF6354" w:rsidP="00CF6354">
      <w:pPr>
        <w:pStyle w:val="ListParagraph"/>
        <w:numPr>
          <w:ilvl w:val="0"/>
          <w:numId w:val="9"/>
        </w:numPr>
        <w:spacing w:after="120"/>
        <w:contextualSpacing w:val="0"/>
        <w:rPr>
          <w:bCs/>
        </w:rPr>
      </w:pPr>
      <w:r w:rsidRPr="00CF6354">
        <w:rPr>
          <w:b/>
          <w:bCs/>
        </w:rPr>
        <w:t>Document roles</w:t>
      </w:r>
      <w:r>
        <w:t xml:space="preserve">: Determine and document </w:t>
      </w:r>
      <w:r w:rsidR="00F670D4">
        <w:t xml:space="preserve">contact information </w:t>
      </w:r>
      <w:r>
        <w:t xml:space="preserve">and roles of individuals </w:t>
      </w:r>
      <w:r w:rsidR="00F03D03">
        <w:t xml:space="preserve">or positions, if you do not want to name specific individuals, </w:t>
      </w:r>
      <w:r>
        <w:t xml:space="preserve">responsible for different aspects of the data. These may include individuals who create data, those who process data, and those who provide access to data. </w:t>
      </w:r>
    </w:p>
    <w:p w14:paraId="3BE3E3CC" w14:textId="7619B42F" w:rsidR="003B4C48" w:rsidRPr="00CF6354" w:rsidRDefault="00282B3D" w:rsidP="00CF6354">
      <w:pPr>
        <w:pStyle w:val="ListParagraph"/>
        <w:numPr>
          <w:ilvl w:val="0"/>
          <w:numId w:val="9"/>
        </w:numPr>
        <w:spacing w:after="120"/>
        <w:contextualSpacing w:val="0"/>
        <w:rPr>
          <w:bCs/>
        </w:rPr>
      </w:pPr>
      <w:r w:rsidRPr="00CF6354">
        <w:rPr>
          <w:b/>
          <w:bCs/>
        </w:rPr>
        <w:t>Establish a protocol</w:t>
      </w:r>
      <w:r>
        <w:t xml:space="preserve">: </w:t>
      </w:r>
      <w:r w:rsidR="00452837">
        <w:t>E</w:t>
      </w:r>
      <w:r w:rsidRPr="00282B3D">
        <w:t xml:space="preserve">stablish a format or protocol for data documentation, and then stick to it. Document </w:t>
      </w:r>
      <w:r w:rsidR="00F670D4">
        <w:t>as much as possible</w:t>
      </w:r>
      <w:r w:rsidR="00F670D4" w:rsidRPr="00282B3D">
        <w:t xml:space="preserve"> </w:t>
      </w:r>
      <w:r w:rsidRPr="00282B3D">
        <w:t xml:space="preserve">during </w:t>
      </w:r>
      <w:r w:rsidR="00134BDA">
        <w:t xml:space="preserve">the </w:t>
      </w:r>
      <w:r w:rsidRPr="00282B3D">
        <w:t>data development</w:t>
      </w:r>
      <w:r>
        <w:t>. It is</w:t>
      </w:r>
      <w:r w:rsidRPr="00282B3D">
        <w:t xml:space="preserve"> much easier to capture this information in real time than to document it retroactively.</w:t>
      </w:r>
    </w:p>
    <w:p w14:paraId="5B11D500" w14:textId="6BDFBEDD" w:rsidR="004A5DC1" w:rsidRPr="004A5DC1" w:rsidRDefault="00F03D03" w:rsidP="00CF6354">
      <w:pPr>
        <w:pStyle w:val="ListParagraph"/>
        <w:numPr>
          <w:ilvl w:val="0"/>
          <w:numId w:val="9"/>
        </w:numPr>
        <w:spacing w:after="120"/>
        <w:contextualSpacing w:val="0"/>
        <w:rPr>
          <w:bCs/>
        </w:rPr>
      </w:pPr>
      <w:r>
        <w:rPr>
          <w:b/>
        </w:rPr>
        <w:t>Build on</w:t>
      </w:r>
      <w:r w:rsidR="004A5DC1" w:rsidRPr="004A5DC1">
        <w:rPr>
          <w:b/>
        </w:rPr>
        <w:t xml:space="preserve"> existing </w:t>
      </w:r>
      <w:r w:rsidR="004A5DC1">
        <w:rPr>
          <w:b/>
        </w:rPr>
        <w:t>procedures</w:t>
      </w:r>
      <w:r w:rsidR="004A5DC1">
        <w:rPr>
          <w:bCs/>
        </w:rPr>
        <w:t xml:space="preserve">: </w:t>
      </w:r>
      <w:r>
        <w:rPr>
          <w:bCs/>
        </w:rPr>
        <w:t xml:space="preserve">Examine the current procedures </w:t>
      </w:r>
      <w:r w:rsidR="00703063">
        <w:rPr>
          <w:bCs/>
        </w:rPr>
        <w:t xml:space="preserve">established within ACL or your </w:t>
      </w:r>
      <w:r w:rsidR="006C7096">
        <w:rPr>
          <w:bCs/>
        </w:rPr>
        <w:t>C</w:t>
      </w:r>
      <w:r w:rsidR="00703063">
        <w:rPr>
          <w:bCs/>
        </w:rPr>
        <w:t xml:space="preserve">enter </w:t>
      </w:r>
      <w:r>
        <w:rPr>
          <w:bCs/>
        </w:rPr>
        <w:t>for requesting, submitting certifying, and storing data to use as a foundation</w:t>
      </w:r>
      <w:r w:rsidR="004A5DC1">
        <w:rPr>
          <w:bCs/>
        </w:rPr>
        <w:t xml:space="preserve"> for writing </w:t>
      </w:r>
      <w:r w:rsidR="00503AB3">
        <w:rPr>
          <w:bCs/>
        </w:rPr>
        <w:t xml:space="preserve">quality </w:t>
      </w:r>
      <w:r w:rsidR="004A5DC1">
        <w:rPr>
          <w:bCs/>
        </w:rPr>
        <w:t xml:space="preserve">metadata. </w:t>
      </w:r>
    </w:p>
    <w:p w14:paraId="21CCA70F" w14:textId="519D348B" w:rsidR="00F03D03" w:rsidRDefault="00F03D03" w:rsidP="00F03D03">
      <w:pPr>
        <w:pStyle w:val="ListParagraph"/>
        <w:numPr>
          <w:ilvl w:val="0"/>
          <w:numId w:val="9"/>
        </w:numPr>
        <w:spacing w:after="120"/>
        <w:contextualSpacing w:val="0"/>
        <w:rPr>
          <w:bCs/>
        </w:rPr>
      </w:pPr>
      <w:r w:rsidRPr="00CF6354">
        <w:rPr>
          <w:b/>
        </w:rPr>
        <w:t xml:space="preserve">Follow a </w:t>
      </w:r>
      <w:r>
        <w:rPr>
          <w:b/>
        </w:rPr>
        <w:t>s</w:t>
      </w:r>
      <w:r w:rsidRPr="00CF6354">
        <w:rPr>
          <w:b/>
        </w:rPr>
        <w:t xml:space="preserve">tyle </w:t>
      </w:r>
      <w:r>
        <w:rPr>
          <w:b/>
        </w:rPr>
        <w:t>g</w:t>
      </w:r>
      <w:r w:rsidRPr="00CF6354">
        <w:rPr>
          <w:b/>
        </w:rPr>
        <w:t>uide</w:t>
      </w:r>
      <w:r>
        <w:rPr>
          <w:bCs/>
        </w:rPr>
        <w:t xml:space="preserve">: Develop and apply </w:t>
      </w:r>
      <w:r w:rsidRPr="00CF6354">
        <w:rPr>
          <w:bCs/>
        </w:rPr>
        <w:t xml:space="preserve">standard grammar, style, and format conventions, and use them consistently throughout the document. </w:t>
      </w:r>
      <w:r>
        <w:rPr>
          <w:bCs/>
        </w:rPr>
        <w:t>If needed, c</w:t>
      </w:r>
      <w:r w:rsidRPr="00CF6354">
        <w:rPr>
          <w:bCs/>
        </w:rPr>
        <w:t>reate a generic style</w:t>
      </w:r>
      <w:r>
        <w:rPr>
          <w:bCs/>
        </w:rPr>
        <w:t xml:space="preserve"> </w:t>
      </w:r>
      <w:r w:rsidRPr="00CF6354">
        <w:rPr>
          <w:bCs/>
        </w:rPr>
        <w:t xml:space="preserve">sheet </w:t>
      </w:r>
      <w:r>
        <w:rPr>
          <w:bCs/>
        </w:rPr>
        <w:t xml:space="preserve">for </w:t>
      </w:r>
      <w:r w:rsidRPr="00CF6354">
        <w:rPr>
          <w:bCs/>
        </w:rPr>
        <w:t>reference</w:t>
      </w:r>
      <w:r>
        <w:rPr>
          <w:bCs/>
        </w:rPr>
        <w:t>.</w:t>
      </w:r>
      <w:r w:rsidR="00F17535">
        <w:rPr>
          <w:bCs/>
        </w:rPr>
        <w:t xml:space="preserve"> ACL currently does not have a style guide, but will develop one in the future.</w:t>
      </w:r>
    </w:p>
    <w:p w14:paraId="25F67573" w14:textId="785C3994" w:rsidR="00CF6354" w:rsidRDefault="00CF6354" w:rsidP="00CF6354">
      <w:pPr>
        <w:pStyle w:val="ListParagraph"/>
        <w:numPr>
          <w:ilvl w:val="0"/>
          <w:numId w:val="9"/>
        </w:numPr>
        <w:spacing w:after="120"/>
        <w:contextualSpacing w:val="0"/>
        <w:rPr>
          <w:bCs/>
        </w:rPr>
      </w:pPr>
      <w:r>
        <w:rPr>
          <w:b/>
        </w:rPr>
        <w:t>Use consistent terminology</w:t>
      </w:r>
      <w:r w:rsidRPr="00CF6354">
        <w:rPr>
          <w:bCs/>
        </w:rPr>
        <w:t>:</w:t>
      </w:r>
      <w:r>
        <w:rPr>
          <w:bCs/>
        </w:rPr>
        <w:t xml:space="preserve"> </w:t>
      </w:r>
      <w:r w:rsidR="0087055F">
        <w:rPr>
          <w:bCs/>
        </w:rPr>
        <w:t>U</w:t>
      </w:r>
      <w:r>
        <w:rPr>
          <w:bCs/>
        </w:rPr>
        <w:t>se consistent</w:t>
      </w:r>
      <w:r w:rsidRPr="00CF6354">
        <w:rPr>
          <w:bCs/>
        </w:rPr>
        <w:t xml:space="preserve"> terminology and definitions throughout the document. </w:t>
      </w:r>
      <w:r w:rsidR="0087055F">
        <w:rPr>
          <w:bCs/>
        </w:rPr>
        <w:t>Define</w:t>
      </w:r>
      <w:r w:rsidRPr="00CF6354">
        <w:rPr>
          <w:bCs/>
        </w:rPr>
        <w:t xml:space="preserve"> synonyms and abbreviations at the beginning of a paragraph or file if you plan to use them. Provide a rubric</w:t>
      </w:r>
      <w:r w:rsidR="00932476">
        <w:rPr>
          <w:bCs/>
        </w:rPr>
        <w:t xml:space="preserve"> </w:t>
      </w:r>
      <w:r w:rsidRPr="00CF6354">
        <w:rPr>
          <w:bCs/>
        </w:rPr>
        <w:t>for sections that use a large amount of technical terminology.</w:t>
      </w:r>
    </w:p>
    <w:p w14:paraId="14FDCDE3" w14:textId="16433F3B" w:rsidR="00F34948" w:rsidRPr="00F03D03" w:rsidRDefault="00A60B8C" w:rsidP="00F17535">
      <w:pPr>
        <w:pStyle w:val="ListParagraph"/>
        <w:numPr>
          <w:ilvl w:val="0"/>
          <w:numId w:val="9"/>
        </w:numPr>
        <w:spacing w:before="240"/>
        <w:contextualSpacing w:val="0"/>
        <w:rPr>
          <w:bCs/>
        </w:rPr>
      </w:pPr>
      <w:r>
        <w:rPr>
          <w:b/>
        </w:rPr>
        <w:t>Review your work</w:t>
      </w:r>
      <w:r w:rsidRPr="00A60B8C">
        <w:rPr>
          <w:bCs/>
        </w:rPr>
        <w:t>:</w:t>
      </w:r>
      <w:r>
        <w:rPr>
          <w:bCs/>
        </w:rPr>
        <w:t xml:space="preserve"> </w:t>
      </w:r>
      <w:r w:rsidR="0087055F">
        <w:rPr>
          <w:bCs/>
        </w:rPr>
        <w:t>R</w:t>
      </w:r>
      <w:r w:rsidRPr="00A60B8C">
        <w:rPr>
          <w:bCs/>
        </w:rPr>
        <w:t xml:space="preserve">eview your </w:t>
      </w:r>
      <w:r w:rsidR="00C43705">
        <w:rPr>
          <w:bCs/>
        </w:rPr>
        <w:t xml:space="preserve">metadata </w:t>
      </w:r>
      <w:r w:rsidRPr="00A60B8C">
        <w:rPr>
          <w:bCs/>
        </w:rPr>
        <w:t xml:space="preserve">file for accuracy and completeness. Add any details or context needed to ensure the </w:t>
      </w:r>
      <w:r w:rsidR="00F670D4">
        <w:rPr>
          <w:bCs/>
        </w:rPr>
        <w:t>meta</w:t>
      </w:r>
      <w:r w:rsidRPr="00A60B8C">
        <w:rPr>
          <w:bCs/>
        </w:rPr>
        <w:t xml:space="preserve">data can be used </w:t>
      </w:r>
      <w:r w:rsidR="00F670D4">
        <w:rPr>
          <w:bCs/>
        </w:rPr>
        <w:t>effectively</w:t>
      </w:r>
      <w:r w:rsidRPr="00A60B8C">
        <w:rPr>
          <w:bCs/>
        </w:rPr>
        <w:t xml:space="preserve">. Have someone else </w:t>
      </w:r>
      <w:r w:rsidR="00F670D4">
        <w:rPr>
          <w:bCs/>
        </w:rPr>
        <w:t>conduct</w:t>
      </w:r>
      <w:r w:rsidR="00F670D4" w:rsidRPr="00A60B8C">
        <w:rPr>
          <w:bCs/>
        </w:rPr>
        <w:t xml:space="preserve"> </w:t>
      </w:r>
      <w:r w:rsidRPr="00A60B8C">
        <w:rPr>
          <w:bCs/>
        </w:rPr>
        <w:t>a second review.</w:t>
      </w:r>
      <w:r w:rsidRPr="00A60B8C">
        <w:t xml:space="preserve"> </w:t>
      </w:r>
      <w:r>
        <w:rPr>
          <w:bCs/>
        </w:rPr>
        <w:t>Proof the file</w:t>
      </w:r>
      <w:r w:rsidRPr="00A60B8C">
        <w:rPr>
          <w:bCs/>
        </w:rPr>
        <w:t xml:space="preserve"> for typos, grammar, and formatting errors before publishing.</w:t>
      </w:r>
    </w:p>
    <w:p w14:paraId="366EEAF1" w14:textId="77777777" w:rsidR="00F15881" w:rsidRDefault="00F15881" w:rsidP="00F15881">
      <w:pPr>
        <w:pStyle w:val="Heading4"/>
      </w:pPr>
      <w:bookmarkStart w:id="36" w:name="_Toc52181186"/>
      <w:r>
        <w:t>Data access</w:t>
      </w:r>
      <w:bookmarkEnd w:id="36"/>
    </w:p>
    <w:p w14:paraId="5837FBDC" w14:textId="77777777" w:rsidR="00F15881" w:rsidRDefault="00F15881" w:rsidP="00F15881">
      <w:pPr>
        <w:rPr>
          <w:b/>
          <w:bCs/>
        </w:rPr>
      </w:pPr>
      <w:r w:rsidRPr="006B09C8">
        <w:rPr>
          <w:b/>
          <w:bCs/>
        </w:rPr>
        <w:t>What do we mean by data access?</w:t>
      </w:r>
    </w:p>
    <w:p w14:paraId="76C61EBB" w14:textId="77777777" w:rsidR="00F15881" w:rsidRDefault="00F15881" w:rsidP="00F15881">
      <w:r w:rsidRPr="004107D2">
        <w:t xml:space="preserve">Data access refers to a </w:t>
      </w:r>
      <w:r>
        <w:t>stakeholders’</w:t>
      </w:r>
      <w:r w:rsidRPr="004107D2">
        <w:t xml:space="preserve"> ability to </w:t>
      </w:r>
      <w:r>
        <w:t xml:space="preserve">read </w:t>
      </w:r>
      <w:r w:rsidRPr="004107D2">
        <w:t xml:space="preserve">or retrieve data stored within a database or other </w:t>
      </w:r>
      <w:hyperlink w:anchor="DataRepository" w:history="1">
        <w:r w:rsidRPr="004107D2">
          <w:rPr>
            <w:rStyle w:val="Hyperlink"/>
          </w:rPr>
          <w:t>data repository</w:t>
        </w:r>
      </w:hyperlink>
      <w:r w:rsidRPr="004107D2">
        <w:t xml:space="preserve">. Data access can help distinguish the </w:t>
      </w:r>
      <w:r>
        <w:t>role of data stakeholders</w:t>
      </w:r>
      <w:r w:rsidRPr="004107D2">
        <w:t xml:space="preserve">. For example, </w:t>
      </w:r>
      <w:r>
        <w:t>data managers and curators</w:t>
      </w:r>
      <w:r w:rsidRPr="004107D2">
        <w:t xml:space="preserve"> may have the ability to remove, edit</w:t>
      </w:r>
      <w:r>
        <w:t>,</w:t>
      </w:r>
      <w:r w:rsidRPr="004107D2">
        <w:t xml:space="preserve"> and add data, while general </w:t>
      </w:r>
      <w:r>
        <w:t xml:space="preserve">data consumers </w:t>
      </w:r>
      <w:r w:rsidRPr="004107D2">
        <w:t xml:space="preserve">may </w:t>
      </w:r>
      <w:r>
        <w:t>only have</w:t>
      </w:r>
      <w:r w:rsidRPr="004107D2">
        <w:t xml:space="preserve"> "read" rights.</w:t>
      </w:r>
    </w:p>
    <w:p w14:paraId="2995D6C8" w14:textId="77777777" w:rsidR="00F15881" w:rsidRDefault="00F15881" w:rsidP="00F15881">
      <w:pPr>
        <w:rPr>
          <w:b/>
          <w:bCs/>
        </w:rPr>
      </w:pPr>
      <w:r w:rsidRPr="008B09EE">
        <w:rPr>
          <w:b/>
          <w:bCs/>
        </w:rPr>
        <w:t xml:space="preserve">Why is data access important? </w:t>
      </w:r>
    </w:p>
    <w:p w14:paraId="745D9164" w14:textId="57B77767" w:rsidR="00F15881" w:rsidRDefault="00F15881" w:rsidP="00F15881">
      <w:pPr>
        <w:rPr>
          <w:rFonts w:eastAsia="Times New Roman" w:cstheme="minorHAnsi"/>
        </w:rPr>
      </w:pPr>
      <w:r>
        <w:t>Data are critical for mak</w:t>
      </w:r>
      <w:r w:rsidR="002C1B80">
        <w:t>ing</w:t>
      </w:r>
      <w:r>
        <w:t xml:space="preserve"> informed decisions. However, data only have value if they can be accessed and used. Emphasizing this need, the </w:t>
      </w:r>
      <w:r w:rsidRPr="008B09EE">
        <w:t>Foundations for Evidence-Based Policymaking Act of 2018</w:t>
      </w:r>
      <w:r>
        <w:t xml:space="preserve"> (Evidence Act) requires agencies to increase access to data for evidence. Specifically, it states that “</w:t>
      </w:r>
      <w:r>
        <w:rPr>
          <w:rFonts w:eastAsia="Times New Roman" w:cstheme="minorHAnsi"/>
        </w:rPr>
        <w:t xml:space="preserve">the </w:t>
      </w:r>
      <w:r>
        <w:rPr>
          <w:rFonts w:eastAsia="Times New Roman" w:cstheme="minorHAnsi"/>
        </w:rPr>
        <w:lastRenderedPageBreak/>
        <w:t xml:space="preserve">head of an agency shall, to the </w:t>
      </w:r>
      <w:r w:rsidRPr="008B09EE">
        <w:rPr>
          <w:rFonts w:eastAsia="Times New Roman" w:cstheme="minorHAnsi"/>
        </w:rPr>
        <w:t>extent practicable, make any data asset maintained by the agency available, upon request, to</w:t>
      </w:r>
      <w:r>
        <w:rPr>
          <w:rFonts w:eastAsia="Times New Roman" w:cstheme="minorHAnsi"/>
        </w:rPr>
        <w:t xml:space="preserve"> </w:t>
      </w:r>
      <w:r w:rsidRPr="008B09EE">
        <w:rPr>
          <w:rFonts w:eastAsia="Times New Roman" w:cstheme="minorHAnsi"/>
        </w:rPr>
        <w:t>any statistical agency or unit for purposes of developing evidence.</w:t>
      </w:r>
      <w:r>
        <w:rPr>
          <w:rFonts w:eastAsia="Times New Roman" w:cstheme="minorHAnsi"/>
        </w:rPr>
        <w:t>”</w:t>
      </w:r>
      <w:r>
        <w:rPr>
          <w:rStyle w:val="EndnoteReference"/>
          <w:rFonts w:eastAsia="Times New Roman" w:cstheme="minorHAnsi"/>
        </w:rPr>
        <w:endnoteReference w:id="22"/>
      </w:r>
    </w:p>
    <w:p w14:paraId="449FA842" w14:textId="77777777" w:rsidR="00F15881" w:rsidRDefault="00F15881" w:rsidP="00F15881">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rPr>
      </w:pPr>
      <w:r>
        <w:rPr>
          <w:rFonts w:eastAsia="Times New Roman" w:cstheme="minorHAnsi"/>
        </w:rPr>
        <w:t>In addition, u</w:t>
      </w:r>
      <w:r w:rsidRPr="00C17D01">
        <w:rPr>
          <w:rFonts w:eastAsia="Times New Roman" w:cstheme="minorHAnsi"/>
        </w:rPr>
        <w:t xml:space="preserve">nder the </w:t>
      </w:r>
      <w:r>
        <w:rPr>
          <w:rFonts w:eastAsia="Times New Roman" w:cstheme="minorHAnsi"/>
        </w:rPr>
        <w:t>Open, Public, Electronic, and Necessary (</w:t>
      </w:r>
      <w:r w:rsidRPr="00C17D01">
        <w:rPr>
          <w:rFonts w:eastAsia="Times New Roman" w:cstheme="minorHAnsi"/>
        </w:rPr>
        <w:t>OPEN</w:t>
      </w:r>
      <w:r>
        <w:rPr>
          <w:rFonts w:eastAsia="Times New Roman" w:cstheme="minorHAnsi"/>
        </w:rPr>
        <w:t>)</w:t>
      </w:r>
      <w:r w:rsidRPr="00C17D01">
        <w:rPr>
          <w:rFonts w:eastAsia="Times New Roman" w:cstheme="minorHAnsi"/>
        </w:rPr>
        <w:t xml:space="preserve"> Government Data Act, which is Title II of the Evidence Act, government data </w:t>
      </w:r>
      <w:r>
        <w:rPr>
          <w:rFonts w:eastAsia="Times New Roman" w:cstheme="minorHAnsi"/>
        </w:rPr>
        <w:t>are</w:t>
      </w:r>
      <w:r w:rsidRPr="00C17D01">
        <w:rPr>
          <w:rFonts w:eastAsia="Times New Roman" w:cstheme="minorHAnsi"/>
        </w:rPr>
        <w:t xml:space="preserve"> required to be made available in open, machine-readable formats, while continuing to ensure privacy and security.</w:t>
      </w:r>
    </w:p>
    <w:p w14:paraId="3C06BA6D" w14:textId="77777777" w:rsidR="00F15881" w:rsidRPr="00407A9E" w:rsidRDefault="00F15881" w:rsidP="00F15881">
      <w:pPr>
        <w:rPr>
          <w:rFonts w:cstheme="minorHAnsi"/>
          <w:bCs/>
        </w:rPr>
      </w:pPr>
      <w:r w:rsidRPr="00407A9E">
        <w:rPr>
          <w:rFonts w:cstheme="minorHAnsi"/>
          <w:bCs/>
        </w:rPr>
        <w:t xml:space="preserve">By ensuring access to its data, ACL has an opportunity to further </w:t>
      </w:r>
      <w:r>
        <w:rPr>
          <w:rFonts w:cstheme="minorHAnsi"/>
          <w:bCs/>
        </w:rPr>
        <w:t>the agency’s</w:t>
      </w:r>
      <w:r w:rsidRPr="00407A9E">
        <w:rPr>
          <w:rFonts w:cstheme="minorHAnsi"/>
          <w:bCs/>
        </w:rPr>
        <w:t xml:space="preserve"> mission by supporting programs that effectively maximize t</w:t>
      </w:r>
      <w:r w:rsidRPr="00407A9E">
        <w:rPr>
          <w:rFonts w:cstheme="minorHAnsi"/>
          <w:shd w:val="clear" w:color="auto" w:fill="FFFFFF"/>
        </w:rPr>
        <w:t>he independence, well-being, and health of older adults, people with disabilities across the lifespan, and their families and caregivers.</w:t>
      </w:r>
    </w:p>
    <w:p w14:paraId="692AC841" w14:textId="77777777" w:rsidR="00F15881" w:rsidRDefault="00F15881" w:rsidP="00F15881">
      <w:pPr>
        <w:rPr>
          <w:b/>
          <w:bCs/>
        </w:rPr>
      </w:pPr>
      <w:r>
        <w:rPr>
          <w:b/>
          <w:bCs/>
        </w:rPr>
        <w:t>What are considerations for making data accessible?</w:t>
      </w:r>
      <w:r w:rsidRPr="00DC606F">
        <w:rPr>
          <w:rStyle w:val="EndnoteReference"/>
        </w:rPr>
        <w:endnoteReference w:id="23"/>
      </w:r>
    </w:p>
    <w:p w14:paraId="29514B98" w14:textId="77777777" w:rsidR="00F15881" w:rsidRPr="00407A9E" w:rsidRDefault="00F15881" w:rsidP="00F15881">
      <w:pPr>
        <w:rPr>
          <w:bCs/>
        </w:rPr>
      </w:pPr>
      <w:r>
        <w:rPr>
          <w:bCs/>
        </w:rPr>
        <w:t>When thinking about data access, consider these fundamental standards:</w:t>
      </w:r>
    </w:p>
    <w:p w14:paraId="2ECDC1DD" w14:textId="77777777" w:rsidR="00F15881" w:rsidRPr="00407A9E" w:rsidRDefault="00F15881" w:rsidP="00F15881">
      <w:pPr>
        <w:pStyle w:val="ListParagraph"/>
        <w:numPr>
          <w:ilvl w:val="0"/>
          <w:numId w:val="20"/>
        </w:numPr>
        <w:spacing w:after="120"/>
        <w:contextualSpacing w:val="0"/>
        <w:rPr>
          <w:b/>
          <w:bCs/>
        </w:rPr>
      </w:pPr>
      <w:r>
        <w:t xml:space="preserve">Make data available in convenient, modifiable, and open formats that can be retrieved, downloaded, indexed, and searched. </w:t>
      </w:r>
    </w:p>
    <w:p w14:paraId="2693053E" w14:textId="77777777" w:rsidR="00F15881" w:rsidRPr="00407A9E" w:rsidRDefault="00F15881" w:rsidP="00F15881">
      <w:pPr>
        <w:pStyle w:val="ListParagraph"/>
        <w:numPr>
          <w:ilvl w:val="0"/>
          <w:numId w:val="20"/>
        </w:numPr>
        <w:spacing w:after="120"/>
        <w:contextualSpacing w:val="0"/>
        <w:rPr>
          <w:b/>
          <w:bCs/>
        </w:rPr>
      </w:pPr>
      <w:r>
        <w:t xml:space="preserve">Ensure formats are machine readable (i.e., data are reasonably structured to allow automated processing). </w:t>
      </w:r>
    </w:p>
    <w:p w14:paraId="713CD9B6" w14:textId="4695960C" w:rsidR="00F15881" w:rsidRPr="00407A9E" w:rsidRDefault="00F15881" w:rsidP="00F15881">
      <w:pPr>
        <w:pStyle w:val="ListParagraph"/>
        <w:numPr>
          <w:ilvl w:val="0"/>
          <w:numId w:val="20"/>
        </w:numPr>
        <w:spacing w:after="120"/>
        <w:contextualSpacing w:val="0"/>
        <w:rPr>
          <w:b/>
          <w:bCs/>
        </w:rPr>
      </w:pPr>
      <w:r>
        <w:t xml:space="preserve">Make data available to the widest range of users for the widest range of purposes, often by providing the data in multiple formats for consumption. To the extent permitted by law, these formats should be nonproprietary and publicly available, </w:t>
      </w:r>
      <w:r w:rsidR="00710128">
        <w:t>with minimal</w:t>
      </w:r>
      <w:r>
        <w:t xml:space="preserve"> restrictions  placed on their use.</w:t>
      </w:r>
    </w:p>
    <w:p w14:paraId="4679122E" w14:textId="77777777" w:rsidR="00F15881" w:rsidRDefault="00F15881" w:rsidP="00F15881">
      <w:pPr>
        <w:pStyle w:val="ListParagraph"/>
        <w:numPr>
          <w:ilvl w:val="0"/>
          <w:numId w:val="20"/>
        </w:numPr>
        <w:spacing w:after="120"/>
        <w:contextualSpacing w:val="0"/>
      </w:pPr>
      <w:r>
        <w:t xml:space="preserve">Describe data using </w:t>
      </w:r>
      <w:r w:rsidRPr="00D14840">
        <w:t xml:space="preserve">common core </w:t>
      </w:r>
      <w:hyperlink w:anchor="MetaData" w:history="1">
        <w:r w:rsidRPr="00D14840">
          <w:rPr>
            <w:rStyle w:val="Hyperlink"/>
          </w:rPr>
          <w:t>metadata</w:t>
        </w:r>
      </w:hyperlink>
      <w:r>
        <w:t>,</w:t>
      </w:r>
      <w:r w:rsidRPr="00D14840">
        <w:t xml:space="preserve"> includ</w:t>
      </w:r>
      <w:r>
        <w:t>ing</w:t>
      </w:r>
      <w:r w:rsidRPr="00D14840">
        <w:t xml:space="preserve"> information about origin, linked</w:t>
      </w:r>
      <w:r>
        <w:t xml:space="preserve"> </w:t>
      </w:r>
      <w:r w:rsidRPr="00D14840">
        <w:t>data, geographic location, time series continuations, data quality, and other relevant indices</w:t>
      </w:r>
      <w:r>
        <w:t xml:space="preserve"> </w:t>
      </w:r>
      <w:r w:rsidRPr="00D14840">
        <w:t xml:space="preserve">that reveal relationships between </w:t>
      </w:r>
      <w:hyperlink w:anchor="DataSet" w:history="1">
        <w:r w:rsidRPr="00D14840">
          <w:rPr>
            <w:rStyle w:val="Hyperlink"/>
          </w:rPr>
          <w:t>data</w:t>
        </w:r>
        <w:r>
          <w:rPr>
            <w:rStyle w:val="Hyperlink"/>
          </w:rPr>
          <w:t xml:space="preserve"> </w:t>
        </w:r>
        <w:r w:rsidRPr="00D14840">
          <w:rPr>
            <w:rStyle w:val="Hyperlink"/>
          </w:rPr>
          <w:t>sets</w:t>
        </w:r>
      </w:hyperlink>
      <w:r w:rsidRPr="00D14840">
        <w:t xml:space="preserve"> and allow the </w:t>
      </w:r>
      <w:r>
        <w:t xml:space="preserve">user </w:t>
      </w:r>
      <w:r w:rsidRPr="00D14840">
        <w:t>to determine the fitness of the</w:t>
      </w:r>
      <w:r>
        <w:t xml:space="preserve"> </w:t>
      </w:r>
      <w:r w:rsidRPr="00D14840">
        <w:t>data source</w:t>
      </w:r>
      <w:r>
        <w:t>.</w:t>
      </w:r>
    </w:p>
    <w:p w14:paraId="2DBB3A51" w14:textId="77777777" w:rsidR="00F15881" w:rsidRDefault="00F15881" w:rsidP="00F15881">
      <w:pPr>
        <w:pStyle w:val="ListParagraph"/>
        <w:numPr>
          <w:ilvl w:val="0"/>
          <w:numId w:val="20"/>
        </w:numPr>
        <w:spacing w:after="120"/>
        <w:contextualSpacing w:val="0"/>
      </w:pPr>
      <w:r>
        <w:t>Ensure systems are scalable and flexible and facilitate extraction of data in multiple formats and for a range of uses as internal and external needs change, including potential uses not considered in the original system design.</w:t>
      </w:r>
    </w:p>
    <w:p w14:paraId="02B8F378" w14:textId="77777777" w:rsidR="00F15881" w:rsidRDefault="00F15881" w:rsidP="00F15881">
      <w:pPr>
        <w:pStyle w:val="ListParagraph"/>
        <w:numPr>
          <w:ilvl w:val="0"/>
          <w:numId w:val="20"/>
        </w:numPr>
        <w:spacing w:after="120"/>
        <w:contextualSpacing w:val="0"/>
      </w:pPr>
      <w:r>
        <w:t>Create a process to engage with stakeholders to solicit help in prioritizing the release of data sets and determining the most usable and appropriate formats for releases.</w:t>
      </w:r>
    </w:p>
    <w:p w14:paraId="0C61055C" w14:textId="77777777" w:rsidR="00F15881" w:rsidRDefault="00F15881" w:rsidP="00F15881">
      <w:pPr>
        <w:pStyle w:val="ListParagraph"/>
        <w:numPr>
          <w:ilvl w:val="0"/>
          <w:numId w:val="20"/>
        </w:numPr>
        <w:spacing w:after="120"/>
        <w:contextualSpacing w:val="0"/>
      </w:pPr>
      <w:r>
        <w:t>Ensure that roles and responsibilities are clearly designated for the promotion of efficient and effective data release practices across the agency, and that proper authorities have been granted to execute related responsibilities.</w:t>
      </w:r>
    </w:p>
    <w:p w14:paraId="011747D6" w14:textId="77777777" w:rsidR="00F15881" w:rsidRPr="00D14840" w:rsidRDefault="00F15881" w:rsidP="00F15881">
      <w:pPr>
        <w:pStyle w:val="ListParagraph"/>
        <w:numPr>
          <w:ilvl w:val="0"/>
          <w:numId w:val="20"/>
        </w:numPr>
      </w:pPr>
      <w:r>
        <w:t xml:space="preserve">Incorporate privacy analyses into each stage of the </w:t>
      </w:r>
      <w:hyperlink w:anchor="DataLifecycle" w:history="1">
        <w:r w:rsidRPr="00E26464">
          <w:rPr>
            <w:rStyle w:val="Hyperlink"/>
          </w:rPr>
          <w:t>data lifecycle</w:t>
        </w:r>
      </w:hyperlink>
      <w:r>
        <w:t>. Specifically, review the information collected or created for valid restrictions to release to determine whether it can be made publicly available.</w:t>
      </w:r>
    </w:p>
    <w:p w14:paraId="17A7C9AB" w14:textId="215808C2" w:rsidR="009C20BC" w:rsidRDefault="009C20BC" w:rsidP="00F17535">
      <w:pPr>
        <w:pStyle w:val="Heading2"/>
        <w:spacing w:before="360"/>
      </w:pPr>
      <w:bookmarkStart w:id="37" w:name="_Toc52181187"/>
      <w:r>
        <w:t>Next Steps</w:t>
      </w:r>
      <w:bookmarkEnd w:id="37"/>
    </w:p>
    <w:p w14:paraId="4954C46E" w14:textId="15105EE6" w:rsidR="00710128" w:rsidRPr="00710128" w:rsidRDefault="00710128" w:rsidP="006C7096">
      <w:r>
        <w:t xml:space="preserve">This document should be considered a work in progress. This is the first </w:t>
      </w:r>
      <w:r w:rsidR="00C7332A">
        <w:t>iteration</w:t>
      </w:r>
      <w:r>
        <w:t xml:space="preserve">. The next version will include ACL specific examples. </w:t>
      </w:r>
      <w:r w:rsidR="00C7332A">
        <w:t>Later</w:t>
      </w:r>
      <w:r>
        <w:t xml:space="preserve"> versions will include additional topics such as </w:t>
      </w:r>
      <w:r w:rsidR="00C7332A">
        <w:t xml:space="preserve">ensuring data </w:t>
      </w:r>
      <w:r w:rsidR="00C7332A">
        <w:lastRenderedPageBreak/>
        <w:t>security, protecting respondent privacy, risks related to linking data sets, and tips for responsible data usage.</w:t>
      </w:r>
    </w:p>
    <w:p w14:paraId="6019DF70" w14:textId="2F818A6A" w:rsidR="00051D5F" w:rsidRDefault="00051D5F" w:rsidP="00F17535">
      <w:pPr>
        <w:pStyle w:val="Heading2"/>
        <w:spacing w:before="360"/>
      </w:pPr>
      <w:bookmarkStart w:id="38" w:name="_Toc52181188"/>
      <w:r>
        <w:t>References</w:t>
      </w:r>
      <w:bookmarkEnd w:id="38"/>
    </w:p>
    <w:p w14:paraId="348B763B" w14:textId="732A9A4E" w:rsidR="00051D5F" w:rsidRDefault="00051D5F" w:rsidP="00FD1A9F">
      <w:pPr>
        <w:spacing w:after="120"/>
        <w:ind w:right="-180"/>
        <w:rPr>
          <w:i/>
          <w:iCs/>
          <w:color w:val="C00000"/>
        </w:rPr>
        <w:sectPr w:rsidR="00051D5F" w:rsidSect="001F0FCC">
          <w:footnotePr>
            <w:numFmt w:val="chicago"/>
          </w:footnotePr>
          <w:endnotePr>
            <w:numFmt w:val="decimal"/>
          </w:endnotePr>
          <w:type w:val="continuous"/>
          <w:pgSz w:w="12240" w:h="15840"/>
          <w:pgMar w:top="1440" w:right="1440" w:bottom="1440" w:left="1440" w:header="720" w:footer="720" w:gutter="0"/>
          <w:pgNumType w:start="1"/>
          <w:cols w:space="720"/>
          <w:titlePg/>
          <w:docGrid w:linePitch="360"/>
        </w:sectPr>
      </w:pPr>
    </w:p>
    <w:p w14:paraId="2DE44DE8" w14:textId="77777777" w:rsidR="00FD1A9F" w:rsidRDefault="00FD1A9F" w:rsidP="00880ABA">
      <w:pPr>
        <w:pStyle w:val="Heading2"/>
        <w:spacing w:after="240"/>
      </w:pPr>
      <w:bookmarkStart w:id="39" w:name="_Toc52181189"/>
      <w:r>
        <w:lastRenderedPageBreak/>
        <w:t>Appendix A. Definitions</w:t>
      </w:r>
      <w:bookmarkEnd w:id="39"/>
    </w:p>
    <w:p w14:paraId="49DC0B82" w14:textId="7C1C9D63" w:rsidR="005B1F5C" w:rsidRDefault="005B1F5C" w:rsidP="00FD1A9F">
      <w:pPr>
        <w:ind w:left="2880" w:hanging="2880"/>
      </w:pPr>
      <w:bookmarkStart w:id="40" w:name="DataArchiving"/>
      <w:bookmarkStart w:id="41" w:name="DataAsset"/>
      <w:bookmarkStart w:id="42" w:name="DataGovernance"/>
      <w:r>
        <w:t>Data archiving</w:t>
      </w:r>
      <w:bookmarkEnd w:id="40"/>
      <w:r>
        <w:tab/>
        <w:t>A</w:t>
      </w:r>
      <w:r w:rsidRPr="005B1F5C">
        <w:t xml:space="preserve"> process that supports long-term storage of scientific data and methods used to read or interpret </w:t>
      </w:r>
      <w:r w:rsidR="005C0B1D">
        <w:t>them</w:t>
      </w:r>
      <w:r>
        <w:t>.</w:t>
      </w:r>
    </w:p>
    <w:p w14:paraId="26D26B23" w14:textId="67F986CA" w:rsidR="0097327E" w:rsidRDefault="0097327E" w:rsidP="00FD1A9F">
      <w:pPr>
        <w:ind w:left="2880" w:hanging="2880"/>
      </w:pPr>
      <w:r>
        <w:t>Data asset</w:t>
      </w:r>
      <w:bookmarkEnd w:id="41"/>
      <w:r>
        <w:tab/>
        <w:t xml:space="preserve">A </w:t>
      </w:r>
      <w:r w:rsidRPr="0097327E">
        <w:t>collection of data elements or data</w:t>
      </w:r>
      <w:r w:rsidR="002F1874">
        <w:t xml:space="preserve"> </w:t>
      </w:r>
      <w:r w:rsidRPr="0097327E">
        <w:t xml:space="preserve">sets that make sense to group together. Each community of interest identifies the </w:t>
      </w:r>
      <w:r w:rsidR="002F1874">
        <w:t>d</w:t>
      </w:r>
      <w:r w:rsidRPr="0097327E">
        <w:t xml:space="preserve">ata </w:t>
      </w:r>
      <w:r w:rsidR="002F1874">
        <w:t>a</w:t>
      </w:r>
      <w:r w:rsidRPr="0097327E">
        <w:t xml:space="preserve">ssets specific to supporting the needs of their respective mission or business functions. Notably, a </w:t>
      </w:r>
      <w:r w:rsidR="002F1874">
        <w:t>d</w:t>
      </w:r>
      <w:r w:rsidRPr="0097327E">
        <w:t xml:space="preserve">ata </w:t>
      </w:r>
      <w:r w:rsidR="002F1874">
        <w:t>a</w:t>
      </w:r>
      <w:r w:rsidRPr="0097327E">
        <w:t xml:space="preserve">sset is a deliberately abstract concept. A given </w:t>
      </w:r>
      <w:r w:rsidR="002F1874">
        <w:t>d</w:t>
      </w:r>
      <w:r w:rsidRPr="0097327E">
        <w:t xml:space="preserve">ata </w:t>
      </w:r>
      <w:r w:rsidR="002F1874">
        <w:t>a</w:t>
      </w:r>
      <w:r w:rsidRPr="0097327E">
        <w:t xml:space="preserve">sset may represent an entire database consisting of multiple distinct entity classes, or </w:t>
      </w:r>
      <w:r w:rsidR="002F1874">
        <w:t xml:space="preserve">it </w:t>
      </w:r>
      <w:r w:rsidRPr="0097327E">
        <w:t>may represent a single entity class.</w:t>
      </w:r>
    </w:p>
    <w:p w14:paraId="33D905EA" w14:textId="6ED5EF8A" w:rsidR="005B1F5C" w:rsidRDefault="005B1F5C" w:rsidP="00FD1A9F">
      <w:pPr>
        <w:ind w:left="2880" w:hanging="2880"/>
      </w:pPr>
      <w:bookmarkStart w:id="43" w:name="DataDisposition"/>
      <w:r>
        <w:t>Data disposition</w:t>
      </w:r>
      <w:bookmarkEnd w:id="43"/>
      <w:r>
        <w:tab/>
        <w:t>The</w:t>
      </w:r>
      <w:r w:rsidRPr="005B1F5C">
        <w:t xml:space="preserve"> final stage in the records lifecycle, resulting in destruction of temporary records or the legal and physical transfer of permanent records to the National Archives and Records Administration.</w:t>
      </w:r>
    </w:p>
    <w:p w14:paraId="2A8D7FD2" w14:textId="523E1C85" w:rsidR="00FD1A9F" w:rsidRDefault="00FD1A9F" w:rsidP="00FD1A9F">
      <w:pPr>
        <w:ind w:left="2880" w:hanging="2880"/>
      </w:pPr>
      <w:r>
        <w:t xml:space="preserve">Data </w:t>
      </w:r>
      <w:r w:rsidR="00BF4E1E">
        <w:t>g</w:t>
      </w:r>
      <w:r>
        <w:t>overnance</w:t>
      </w:r>
      <w:bookmarkEnd w:id="42"/>
      <w:r>
        <w:tab/>
        <w:t>The process of setting and enforcing priorities for managing and using data as a strategic asset.</w:t>
      </w:r>
      <w:r w:rsidRPr="00FD1A9F">
        <w:t xml:space="preserve"> </w:t>
      </w:r>
      <w:r>
        <w:t>Refers to the</w:t>
      </w:r>
      <w:r w:rsidRPr="00FD1A9F">
        <w:t xml:space="preserve"> “strategy of data”</w:t>
      </w:r>
      <w:r>
        <w:t xml:space="preserve">, </w:t>
      </w:r>
      <w:r w:rsidRPr="00FD1A9F">
        <w:t>meaning the policies, procedures, and rules that govern the data</w:t>
      </w:r>
      <w:r>
        <w:t>.</w:t>
      </w:r>
    </w:p>
    <w:p w14:paraId="5749A7F7" w14:textId="0C033905" w:rsidR="00357729" w:rsidRDefault="00357729" w:rsidP="00FD1A9F">
      <w:pPr>
        <w:ind w:left="2880" w:hanging="2880"/>
      </w:pPr>
      <w:bookmarkStart w:id="44" w:name="DataLifecycle"/>
      <w:bookmarkStart w:id="45" w:name="DataManagement"/>
      <w:r>
        <w:t>Data lifecycle</w:t>
      </w:r>
      <w:bookmarkEnd w:id="44"/>
      <w:r>
        <w:tab/>
        <w:t>R</w:t>
      </w:r>
      <w:r w:rsidRPr="00357729">
        <w:t>efers to the process or stages data move through, from creation to distribution and use, until deletion or destruction. It consists of multiples stages, each of which has its own characteristics and builds on the previous stage</w:t>
      </w:r>
      <w:r>
        <w:t>.</w:t>
      </w:r>
    </w:p>
    <w:p w14:paraId="116D5A28" w14:textId="6BD14B7B" w:rsidR="00FD1A9F" w:rsidRDefault="00FD1A9F" w:rsidP="00FD1A9F">
      <w:pPr>
        <w:ind w:left="2880" w:hanging="2880"/>
        <w:rPr>
          <w:rFonts w:cstheme="minorHAnsi"/>
          <w:shd w:val="clear" w:color="auto" w:fill="FFFFFF"/>
        </w:rPr>
      </w:pPr>
      <w:r>
        <w:t xml:space="preserve">Data </w:t>
      </w:r>
      <w:r w:rsidR="00BF4E1E">
        <w:t>m</w:t>
      </w:r>
      <w:r>
        <w:t>anagement</w:t>
      </w:r>
      <w:bookmarkEnd w:id="45"/>
      <w:r>
        <w:tab/>
      </w:r>
      <w:r w:rsidRPr="00FD1A9F">
        <w:rPr>
          <w:rFonts w:cstheme="minorHAnsi"/>
          <w:shd w:val="clear" w:color="auto" w:fill="FFFFFF"/>
        </w:rPr>
        <w:t>Refers to the “logistics of data"</w:t>
      </w:r>
      <w:r>
        <w:rPr>
          <w:rFonts w:cstheme="minorHAnsi"/>
          <w:shd w:val="clear" w:color="auto" w:fill="FFFFFF"/>
        </w:rPr>
        <w:t xml:space="preserve">, meaning the </w:t>
      </w:r>
      <w:r w:rsidRPr="008864B8">
        <w:rPr>
          <w:rFonts w:cstheme="minorHAnsi"/>
          <w:shd w:val="clear" w:color="auto" w:fill="FFFFFF"/>
        </w:rPr>
        <w:t>processes used to plan, specify, enable, create, acquire, maintain, use, archive, retrieve, control, and purge data</w:t>
      </w:r>
      <w:r>
        <w:rPr>
          <w:rFonts w:cstheme="minorHAnsi"/>
          <w:shd w:val="clear" w:color="auto" w:fill="FFFFFF"/>
        </w:rPr>
        <w:t>.</w:t>
      </w:r>
    </w:p>
    <w:p w14:paraId="3A320FF5" w14:textId="629BB1A5" w:rsidR="00432D2A" w:rsidRDefault="00432D2A" w:rsidP="0097327E">
      <w:pPr>
        <w:ind w:left="2880" w:hanging="2880"/>
        <w:rPr>
          <w:rFonts w:cstheme="minorHAnsi"/>
          <w:shd w:val="clear" w:color="auto" w:fill="FFFFFF"/>
        </w:rPr>
      </w:pPr>
      <w:bookmarkStart w:id="46" w:name="DataManagementPlan"/>
      <w:bookmarkStart w:id="47" w:name="DataStewardship"/>
      <w:r>
        <w:rPr>
          <w:rFonts w:cstheme="minorHAnsi"/>
          <w:shd w:val="clear" w:color="auto" w:fill="FFFFFF"/>
        </w:rPr>
        <w:t>Data management plan</w:t>
      </w:r>
      <w:bookmarkEnd w:id="46"/>
      <w:r>
        <w:rPr>
          <w:rFonts w:cstheme="minorHAnsi"/>
          <w:shd w:val="clear" w:color="auto" w:fill="FFFFFF"/>
        </w:rPr>
        <w:tab/>
        <w:t>D</w:t>
      </w:r>
      <w:r w:rsidRPr="00432D2A">
        <w:rPr>
          <w:rFonts w:cstheme="minorHAnsi"/>
          <w:shd w:val="clear" w:color="auto" w:fill="FFFFFF"/>
        </w:rPr>
        <w:t xml:space="preserve">escribes data that will be acquired or produced; how the data will be managed, described, and stored, what standards will </w:t>
      </w:r>
      <w:r>
        <w:rPr>
          <w:rFonts w:cstheme="minorHAnsi"/>
          <w:shd w:val="clear" w:color="auto" w:fill="FFFFFF"/>
        </w:rPr>
        <w:t xml:space="preserve">be </w:t>
      </w:r>
      <w:r w:rsidRPr="00432D2A">
        <w:rPr>
          <w:rFonts w:cstheme="minorHAnsi"/>
          <w:shd w:val="clear" w:color="auto" w:fill="FFFFFF"/>
        </w:rPr>
        <w:t>use</w:t>
      </w:r>
      <w:r>
        <w:rPr>
          <w:rFonts w:cstheme="minorHAnsi"/>
          <w:shd w:val="clear" w:color="auto" w:fill="FFFFFF"/>
        </w:rPr>
        <w:t>d</w:t>
      </w:r>
      <w:r w:rsidRPr="00432D2A">
        <w:rPr>
          <w:rFonts w:cstheme="minorHAnsi"/>
          <w:shd w:val="clear" w:color="auto" w:fill="FFFFFF"/>
        </w:rPr>
        <w:t>, and how data will be handled and protected</w:t>
      </w:r>
      <w:r>
        <w:rPr>
          <w:rFonts w:cstheme="minorHAnsi"/>
          <w:shd w:val="clear" w:color="auto" w:fill="FFFFFF"/>
        </w:rPr>
        <w:t>.</w:t>
      </w:r>
    </w:p>
    <w:p w14:paraId="7AF0E8B6" w14:textId="1BC44389" w:rsidR="000D1C80" w:rsidRDefault="000D1C80" w:rsidP="0097327E">
      <w:pPr>
        <w:ind w:left="2880" w:hanging="2880"/>
        <w:rPr>
          <w:rFonts w:cstheme="minorHAnsi"/>
          <w:shd w:val="clear" w:color="auto" w:fill="FFFFFF"/>
        </w:rPr>
      </w:pPr>
      <w:bookmarkStart w:id="48" w:name="DataMaturityAssessment"/>
      <w:bookmarkStart w:id="49" w:name="DataRepository"/>
      <w:r>
        <w:t xml:space="preserve">Data maturity assessment </w:t>
      </w:r>
      <w:bookmarkEnd w:id="48"/>
      <w:r>
        <w:tab/>
        <w:t xml:space="preserve">A </w:t>
      </w:r>
      <w:r w:rsidRPr="008A740A">
        <w:t xml:space="preserve">high-level assessment of </w:t>
      </w:r>
      <w:r>
        <w:t xml:space="preserve">an organization’s </w:t>
      </w:r>
      <w:r w:rsidRPr="008A740A">
        <w:t xml:space="preserve">current </w:t>
      </w:r>
      <w:r>
        <w:t xml:space="preserve">data </w:t>
      </w:r>
      <w:r w:rsidRPr="008A740A">
        <w:t>capabilities and supporting processes</w:t>
      </w:r>
      <w:r>
        <w:t>.</w:t>
      </w:r>
    </w:p>
    <w:p w14:paraId="764E9042" w14:textId="53B41783" w:rsidR="00A432A0" w:rsidRDefault="00A432A0" w:rsidP="0097327E">
      <w:pPr>
        <w:ind w:left="2880" w:hanging="2880"/>
        <w:rPr>
          <w:rFonts w:cstheme="minorHAnsi"/>
          <w:shd w:val="clear" w:color="auto" w:fill="FFFFFF"/>
        </w:rPr>
      </w:pPr>
      <w:bookmarkStart w:id="50" w:name="DataQuality"/>
      <w:r>
        <w:rPr>
          <w:rFonts w:cstheme="minorHAnsi"/>
          <w:shd w:val="clear" w:color="auto" w:fill="FFFFFF"/>
        </w:rPr>
        <w:t>Data quality</w:t>
      </w:r>
      <w:bookmarkEnd w:id="50"/>
      <w:r>
        <w:rPr>
          <w:rFonts w:cstheme="minorHAnsi"/>
          <w:shd w:val="clear" w:color="auto" w:fill="FFFFFF"/>
        </w:rPr>
        <w:tab/>
      </w:r>
      <w:r>
        <w:rPr>
          <w:rFonts w:cstheme="minorHAnsi"/>
        </w:rPr>
        <w:t>Data that are useful, accurate, clear, complete, and unbiased.</w:t>
      </w:r>
    </w:p>
    <w:p w14:paraId="1B3A9D15" w14:textId="2029953A" w:rsidR="00880ABA" w:rsidRDefault="00880ABA" w:rsidP="0097327E">
      <w:pPr>
        <w:ind w:left="2880" w:hanging="2880"/>
        <w:rPr>
          <w:rFonts w:cstheme="minorHAnsi"/>
          <w:shd w:val="clear" w:color="auto" w:fill="FFFFFF"/>
        </w:rPr>
      </w:pPr>
      <w:r>
        <w:rPr>
          <w:rFonts w:cstheme="minorHAnsi"/>
          <w:shd w:val="clear" w:color="auto" w:fill="FFFFFF"/>
        </w:rPr>
        <w:t>Data repository</w:t>
      </w:r>
      <w:bookmarkEnd w:id="49"/>
      <w:r>
        <w:rPr>
          <w:rFonts w:cstheme="minorHAnsi"/>
          <w:shd w:val="clear" w:color="auto" w:fill="FFFFFF"/>
        </w:rPr>
        <w:tab/>
      </w:r>
      <w:r w:rsidRPr="00880ABA">
        <w:rPr>
          <w:rFonts w:cstheme="minorHAnsi"/>
          <w:shd w:val="clear" w:color="auto" w:fill="FFFFFF"/>
        </w:rPr>
        <w:t xml:space="preserve">A centralized place to store and maintain data. A repository can consist of one or more databases or files which can be distributed over a network. </w:t>
      </w:r>
    </w:p>
    <w:p w14:paraId="447558C9" w14:textId="77777777" w:rsidR="005C0B1D" w:rsidRDefault="005C0B1D" w:rsidP="005C0B1D">
      <w:pPr>
        <w:ind w:left="2880" w:hanging="2880"/>
        <w:rPr>
          <w:rFonts w:cstheme="minorHAnsi"/>
          <w:shd w:val="clear" w:color="auto" w:fill="FFFFFF"/>
        </w:rPr>
      </w:pPr>
      <w:bookmarkStart w:id="51" w:name="DataSet"/>
      <w:r>
        <w:rPr>
          <w:rFonts w:cstheme="minorHAnsi"/>
          <w:shd w:val="clear" w:color="auto" w:fill="FFFFFF"/>
        </w:rPr>
        <w:t>Data set</w:t>
      </w:r>
      <w:bookmarkEnd w:id="51"/>
      <w:r>
        <w:rPr>
          <w:rFonts w:cstheme="minorHAnsi"/>
          <w:shd w:val="clear" w:color="auto" w:fill="FFFFFF"/>
        </w:rPr>
        <w:tab/>
      </w:r>
      <w:r w:rsidRPr="0097327E">
        <w:rPr>
          <w:rFonts w:cstheme="minorHAnsi"/>
          <w:shd w:val="clear" w:color="auto" w:fill="FFFFFF"/>
        </w:rPr>
        <w:t>A data</w:t>
      </w:r>
      <w:r>
        <w:rPr>
          <w:rFonts w:cstheme="minorHAnsi"/>
          <w:shd w:val="clear" w:color="auto" w:fill="FFFFFF"/>
        </w:rPr>
        <w:t xml:space="preserve"> </w:t>
      </w:r>
      <w:r w:rsidRPr="0097327E">
        <w:rPr>
          <w:rFonts w:cstheme="minorHAnsi"/>
          <w:shd w:val="clear" w:color="auto" w:fill="FFFFFF"/>
        </w:rPr>
        <w:t>set is an organized collection of data. The most basic representation of a data</w:t>
      </w:r>
      <w:r>
        <w:rPr>
          <w:rFonts w:cstheme="minorHAnsi"/>
          <w:shd w:val="clear" w:color="auto" w:fill="FFFFFF"/>
        </w:rPr>
        <w:t xml:space="preserve"> </w:t>
      </w:r>
      <w:r w:rsidRPr="0097327E">
        <w:rPr>
          <w:rFonts w:cstheme="minorHAnsi"/>
          <w:shd w:val="clear" w:color="auto" w:fill="FFFFFF"/>
        </w:rPr>
        <w:t>set is data elements presented in tabular form. Each column represents a particular variable. Each row corresponds to a given value of that column’s variable. A data</w:t>
      </w:r>
      <w:r>
        <w:rPr>
          <w:rFonts w:cstheme="minorHAnsi"/>
          <w:shd w:val="clear" w:color="auto" w:fill="FFFFFF"/>
        </w:rPr>
        <w:t xml:space="preserve"> </w:t>
      </w:r>
      <w:r w:rsidRPr="0097327E">
        <w:rPr>
          <w:rFonts w:cstheme="minorHAnsi"/>
          <w:shd w:val="clear" w:color="auto" w:fill="FFFFFF"/>
        </w:rPr>
        <w:t>set may also present information in a variety of non-tabular formats, such as an extensible mark-up language (XML) file, a geospatial data file, or an image file, etc.</w:t>
      </w:r>
    </w:p>
    <w:p w14:paraId="792E3027" w14:textId="63524FDE" w:rsidR="007125B6" w:rsidRPr="007125B6" w:rsidRDefault="007125B6" w:rsidP="00051D5F">
      <w:pPr>
        <w:ind w:left="2880" w:hanging="2880"/>
      </w:pPr>
      <w:bookmarkStart w:id="52" w:name="DataSteward"/>
      <w:r>
        <w:rPr>
          <w:rFonts w:cstheme="minorHAnsi"/>
          <w:shd w:val="clear" w:color="auto" w:fill="FFFFFF"/>
        </w:rPr>
        <w:lastRenderedPageBreak/>
        <w:t>Data steward</w:t>
      </w:r>
      <w:bookmarkEnd w:id="52"/>
      <w:r>
        <w:rPr>
          <w:rFonts w:cstheme="minorHAnsi"/>
          <w:shd w:val="clear" w:color="auto" w:fill="FFFFFF"/>
        </w:rPr>
        <w:tab/>
      </w:r>
      <w:r>
        <w:t>Subject</w:t>
      </w:r>
      <w:r w:rsidRPr="002C4C4B">
        <w:t xml:space="preserve"> matter experts and points of contact for the program</w:t>
      </w:r>
      <w:r>
        <w:t xml:space="preserve"> </w:t>
      </w:r>
      <w:r w:rsidRPr="002C4C4B">
        <w:t xml:space="preserve">they oversee. </w:t>
      </w:r>
      <w:r>
        <w:t xml:space="preserve">They are responsible for the management of the program data elements, including content and </w:t>
      </w:r>
      <w:r w:rsidRPr="007125B6">
        <w:t>metadata</w:t>
      </w:r>
      <w:r>
        <w:t>.</w:t>
      </w:r>
    </w:p>
    <w:p w14:paraId="2B287338" w14:textId="454B69FF" w:rsidR="00FD1A9F" w:rsidRDefault="00FD1A9F" w:rsidP="002F1874">
      <w:pPr>
        <w:ind w:left="2880" w:hanging="2880"/>
        <w:rPr>
          <w:rFonts w:cstheme="minorHAnsi"/>
          <w:shd w:val="clear" w:color="auto" w:fill="FFFFFF"/>
        </w:rPr>
      </w:pPr>
      <w:r>
        <w:rPr>
          <w:rFonts w:cstheme="minorHAnsi"/>
          <w:shd w:val="clear" w:color="auto" w:fill="FFFFFF"/>
        </w:rPr>
        <w:t xml:space="preserve">Data </w:t>
      </w:r>
      <w:r w:rsidR="00BF4E1E">
        <w:rPr>
          <w:rFonts w:cstheme="minorHAnsi"/>
          <w:shd w:val="clear" w:color="auto" w:fill="FFFFFF"/>
        </w:rPr>
        <w:t>s</w:t>
      </w:r>
      <w:r>
        <w:rPr>
          <w:rFonts w:cstheme="minorHAnsi"/>
          <w:shd w:val="clear" w:color="auto" w:fill="FFFFFF"/>
        </w:rPr>
        <w:t>tewardship</w:t>
      </w:r>
      <w:bookmarkEnd w:id="47"/>
      <w:r>
        <w:rPr>
          <w:rFonts w:cstheme="minorHAnsi"/>
          <w:shd w:val="clear" w:color="auto" w:fill="FFFFFF"/>
        </w:rPr>
        <w:tab/>
        <w:t>The implementation of the policies, procedures, and rules that govern the data.</w:t>
      </w:r>
      <w:r w:rsidRPr="00641EE8">
        <w:t xml:space="preserve"> </w:t>
      </w:r>
      <w:r w:rsidRPr="00641EE8">
        <w:rPr>
          <w:rFonts w:cstheme="minorHAnsi"/>
          <w:shd w:val="clear" w:color="auto" w:fill="FFFFFF"/>
        </w:rPr>
        <w:t>Data stewardship can be thought of as a collection of data management methods covering acquisition, storage, aggregation, and deidentification, and procedures for data release and use</w:t>
      </w:r>
      <w:r>
        <w:rPr>
          <w:rFonts w:cstheme="minorHAnsi"/>
          <w:shd w:val="clear" w:color="auto" w:fill="FFFFFF"/>
        </w:rPr>
        <w:t>.</w:t>
      </w:r>
    </w:p>
    <w:p w14:paraId="2878987E" w14:textId="7E620883" w:rsidR="00FD1A9F" w:rsidRDefault="00770338" w:rsidP="00AA4D0A">
      <w:pPr>
        <w:spacing w:after="0"/>
        <w:ind w:left="2880" w:hanging="2880"/>
      </w:pPr>
      <w:bookmarkStart w:id="53" w:name="MetaData"/>
      <w:r>
        <w:rPr>
          <w:rFonts w:cstheme="minorHAnsi"/>
          <w:shd w:val="clear" w:color="auto" w:fill="FFFFFF"/>
        </w:rPr>
        <w:t>Metadata</w:t>
      </w:r>
      <w:bookmarkEnd w:id="53"/>
      <w:r>
        <w:rPr>
          <w:rFonts w:cstheme="minorHAnsi"/>
          <w:shd w:val="clear" w:color="auto" w:fill="FFFFFF"/>
        </w:rPr>
        <w:tab/>
      </w:r>
      <w:r w:rsidRPr="00270466">
        <w:t>Metadata</w:t>
      </w:r>
      <w:r>
        <w:t xml:space="preserve"> </w:t>
      </w:r>
      <w:r w:rsidR="005C0B1D">
        <w:t>are</w:t>
      </w:r>
      <w:r>
        <w:t xml:space="preserve"> often thought of as data about data, or facts about data. Specifically, </w:t>
      </w:r>
      <w:r w:rsidR="005C0B1D">
        <w:t xml:space="preserve">they </w:t>
      </w:r>
      <w:r w:rsidR="00357729">
        <w:t>provide</w:t>
      </w:r>
      <w:r w:rsidR="005C0B1D">
        <w:t xml:space="preserve"> </w:t>
      </w:r>
      <w:r w:rsidRPr="00270466">
        <w:t>structured information that describe</w:t>
      </w:r>
      <w:r>
        <w:t xml:space="preserve"> and define</w:t>
      </w:r>
      <w:r w:rsidR="005C0B1D">
        <w:t xml:space="preserve"> </w:t>
      </w:r>
      <w:r>
        <w:t xml:space="preserve">data, including </w:t>
      </w:r>
      <w:r w:rsidR="00357729">
        <w:t>their</w:t>
      </w:r>
      <w:r>
        <w:t xml:space="preserve"> content, quality, and location.</w:t>
      </w:r>
    </w:p>
    <w:p w14:paraId="53DB24E2" w14:textId="77777777" w:rsidR="0007649E" w:rsidRDefault="0007649E" w:rsidP="00AA4D0A">
      <w:pPr>
        <w:spacing w:after="0"/>
        <w:ind w:left="2880" w:hanging="2880"/>
      </w:pPr>
    </w:p>
    <w:p w14:paraId="6813416B" w14:textId="77777777" w:rsidR="009C3694" w:rsidRDefault="009C3694" w:rsidP="00AA4D0A">
      <w:pPr>
        <w:spacing w:after="0"/>
        <w:ind w:left="2880" w:hanging="2880"/>
      </w:pPr>
    </w:p>
    <w:p w14:paraId="3F069370" w14:textId="3E8AEE39" w:rsidR="009C3694" w:rsidRDefault="009C3694" w:rsidP="00AA4D0A">
      <w:pPr>
        <w:spacing w:after="0"/>
        <w:ind w:left="2880" w:hanging="2880"/>
        <w:sectPr w:rsidR="009C3694" w:rsidSect="00FD1A9F">
          <w:endnotePr>
            <w:numFmt w:val="decimal"/>
          </w:endnotePr>
          <w:pgSz w:w="12240" w:h="15840"/>
          <w:pgMar w:top="1440" w:right="1440" w:bottom="1440" w:left="1440" w:header="720" w:footer="720" w:gutter="0"/>
          <w:cols w:space="720"/>
          <w:titlePg/>
          <w:docGrid w:linePitch="360"/>
        </w:sectPr>
      </w:pPr>
    </w:p>
    <w:p w14:paraId="0A270245" w14:textId="77777777" w:rsidR="00687E54" w:rsidRDefault="0007649E" w:rsidP="00C44B72">
      <w:pPr>
        <w:pStyle w:val="Heading2"/>
        <w:spacing w:before="0" w:after="0"/>
        <w:ind w:left="-360"/>
        <w:sectPr w:rsidR="00687E54" w:rsidSect="00CC0860">
          <w:headerReference w:type="first" r:id="rId23"/>
          <w:footerReference w:type="first" r:id="rId24"/>
          <w:footnotePr>
            <w:numFmt w:val="lowerLetter"/>
          </w:footnotePr>
          <w:pgSz w:w="15840" w:h="12240" w:orient="landscape"/>
          <w:pgMar w:top="1440" w:right="1440" w:bottom="1170" w:left="1440" w:header="360" w:footer="720" w:gutter="0"/>
          <w:cols w:space="720"/>
          <w:titlePg/>
          <w:docGrid w:linePitch="360"/>
        </w:sectPr>
      </w:pPr>
      <w:bookmarkStart w:id="54" w:name="_Appendix_B._Federal"/>
      <w:bookmarkStart w:id="55" w:name="_Hlk48724313"/>
      <w:bookmarkStart w:id="56" w:name="_Toc52181190"/>
      <w:bookmarkStart w:id="57" w:name="_Hlk49259480"/>
      <w:bookmarkEnd w:id="54"/>
      <w:r w:rsidRPr="003C6D52">
        <w:lastRenderedPageBreak/>
        <w:t xml:space="preserve">Appendix </w:t>
      </w:r>
      <w:r>
        <w:t>B</w:t>
      </w:r>
      <w:r w:rsidRPr="003C6D52">
        <w:t>. Federal Government Data Maturity Mode</w:t>
      </w:r>
      <w:bookmarkEnd w:id="55"/>
      <w:r w:rsidR="00C44B72">
        <w:t>l</w:t>
      </w:r>
      <w:r w:rsidR="00C44B72">
        <w:rPr>
          <w:rStyle w:val="FootnoteReference"/>
        </w:rPr>
        <w:footnoteReference w:id="4"/>
      </w:r>
      <w:bookmarkEnd w:id="56"/>
    </w:p>
    <w:p w14:paraId="5378B79D" w14:textId="286A54D0" w:rsidR="00C44B72" w:rsidRDefault="00C44B72" w:rsidP="00687E54">
      <w:pPr>
        <w:spacing w:after="0"/>
        <w:sectPr w:rsidR="00C44B72" w:rsidSect="00687E54">
          <w:footnotePr>
            <w:numFmt w:val="lowerLetter"/>
          </w:footnotePr>
          <w:type w:val="continuous"/>
          <w:pgSz w:w="15840" w:h="12240" w:orient="landscape"/>
          <w:pgMar w:top="720" w:right="720" w:bottom="720" w:left="720" w:header="360" w:footer="720" w:gutter="0"/>
          <w:cols w:space="720"/>
          <w:titlePg/>
          <w:docGrid w:linePitch="360"/>
        </w:sectPr>
      </w:pPr>
      <w:r>
        <w:rPr>
          <w:noProof/>
        </w:rPr>
        <w:drawing>
          <wp:inline distT="0" distB="0" distL="0" distR="0" wp14:anchorId="3F7E9A5A" wp14:editId="10C14E77">
            <wp:extent cx="8991600" cy="3968115"/>
            <wp:effectExtent l="0" t="0" r="0" b="0"/>
            <wp:docPr id="10" name="Picture 10" descr="Flowchart showing the criteria for data maturity from low capability to high capability.  Details are provided below th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showing the criteria for data maturity from low capability to high capability.  Details are provided below the graphic."/>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991600" cy="3968115"/>
                    </a:xfrm>
                    <a:prstGeom prst="rect">
                      <a:avLst/>
                    </a:prstGeom>
                    <a:noFill/>
                    <a:ln>
                      <a:noFill/>
                    </a:ln>
                  </pic:spPr>
                </pic:pic>
              </a:graphicData>
            </a:graphic>
          </wp:inline>
        </w:drawing>
      </w:r>
    </w:p>
    <w:p w14:paraId="35D82A63" w14:textId="77777777" w:rsidR="00687E54" w:rsidRDefault="00687E54" w:rsidP="00C44B72">
      <w:pPr>
        <w:spacing w:after="0"/>
        <w:rPr>
          <w:rFonts w:cstheme="minorHAnsi"/>
        </w:rPr>
        <w:sectPr w:rsidR="00687E54" w:rsidSect="00C44B72">
          <w:type w:val="continuous"/>
          <w:pgSz w:w="15840" w:h="12240" w:orient="landscape"/>
          <w:pgMar w:top="1440" w:right="1440" w:bottom="1170" w:left="1440" w:header="360" w:footer="720" w:gutter="0"/>
          <w:cols w:space="720"/>
          <w:titlePg/>
          <w:docGrid w:linePitch="360"/>
        </w:sectPr>
      </w:pPr>
    </w:p>
    <w:p w14:paraId="5550D8B9" w14:textId="77777777" w:rsidR="009C3694" w:rsidRDefault="0007649E" w:rsidP="00C44B72">
      <w:pPr>
        <w:pStyle w:val="NormalWeb"/>
        <w:shd w:val="clear" w:color="auto" w:fill="FFFFFF"/>
        <w:spacing w:before="0" w:beforeAutospacing="0" w:after="0" w:afterAutospacing="0"/>
        <w:ind w:left="-634"/>
        <w:rPr>
          <w:rFonts w:asciiTheme="minorHAnsi" w:hAnsiTheme="minorHAnsi" w:cstheme="minorHAnsi"/>
          <w:sz w:val="22"/>
          <w:szCs w:val="22"/>
        </w:rPr>
        <w:sectPr w:rsidR="009C3694" w:rsidSect="00687E54">
          <w:type w:val="continuous"/>
          <w:pgSz w:w="15840" w:h="12240" w:orient="landscape"/>
          <w:pgMar w:top="1440" w:right="1440" w:bottom="1440" w:left="1440" w:header="360" w:footer="720" w:gutter="0"/>
          <w:cols w:space="720"/>
          <w:titlePg/>
          <w:docGrid w:linePitch="360"/>
        </w:sectPr>
      </w:pPr>
      <w:r w:rsidRPr="00B77374">
        <w:rPr>
          <w:rFonts w:asciiTheme="minorHAnsi" w:hAnsiTheme="minorHAnsi" w:cstheme="minorHAnsi"/>
          <w:sz w:val="22"/>
          <w:szCs w:val="22"/>
        </w:rPr>
        <w:t xml:space="preserve">Appendix A shows a data maturity model that lists the criteria for data maturity from low capability to high capability. Data maturity is assessed based on the following areas: analytics capability, data culture, data management, data personnel, systems/technology, and data governance. Data with low maturity – or low capability – are characterized by disparate systems and groups, reactive data management at the individual system level, poor data quality, and low decision-making capability. Data with high maturity – or high capability – are characterized by transparency and mission return on investment through executive collaboration and accountability for data quality, government-wide standards, and automation and decision support.  </w:t>
      </w:r>
    </w:p>
    <w:p w14:paraId="46C05895" w14:textId="22A76021" w:rsidR="00D62B65" w:rsidRDefault="009C3694" w:rsidP="00D62B65">
      <w:pPr>
        <w:pStyle w:val="Heading2"/>
        <w:spacing w:after="240"/>
      </w:pPr>
      <w:bookmarkStart w:id="58" w:name="_Appendix_C._Application"/>
      <w:bookmarkStart w:id="59" w:name="_Toc52181191"/>
      <w:bookmarkEnd w:id="57"/>
      <w:bookmarkEnd w:id="58"/>
      <w:r w:rsidRPr="003C6D52">
        <w:lastRenderedPageBreak/>
        <w:t xml:space="preserve">Appendix </w:t>
      </w:r>
      <w:r w:rsidR="00514B42">
        <w:t>C</w:t>
      </w:r>
      <w:r w:rsidRPr="003C6D52">
        <w:t xml:space="preserve">. </w:t>
      </w:r>
      <w:r>
        <w:t xml:space="preserve">Application of the </w:t>
      </w:r>
      <w:r w:rsidRPr="003C6D52">
        <w:t>Federal Government Data Maturity Model</w:t>
      </w:r>
      <w:r>
        <w:t xml:space="preserve"> to ACL</w:t>
      </w:r>
      <w:bookmarkEnd w:id="59"/>
    </w:p>
    <w:p w14:paraId="71C64E3A" w14:textId="17AABDC8" w:rsidR="009C3694" w:rsidRPr="00D62B65" w:rsidRDefault="009C3694" w:rsidP="00D62B65">
      <w:r w:rsidRPr="00D62B65">
        <w:t xml:space="preserve">Following is an overview of the current state of data capabilities </w:t>
      </w:r>
      <w:r w:rsidRPr="00C44B72">
        <w:rPr>
          <w:color w:val="C00000"/>
          <w:u w:val="single"/>
        </w:rPr>
        <w:t>(on a 1–5 continuum)</w:t>
      </w:r>
      <w:r w:rsidRPr="00D62B65">
        <w:t xml:space="preserve"> of ACL </w:t>
      </w:r>
      <w:r w:rsidRPr="00D62B65">
        <w:rPr>
          <w:u w:val="single"/>
        </w:rPr>
        <w:t>as an agency</w:t>
      </w:r>
      <w:r w:rsidRPr="00D62B65">
        <w:t xml:space="preserve"> (capabilities may differ for specific programs), as shown for the six key areas listed in the</w:t>
      </w:r>
      <w:r w:rsidR="00D62B65" w:rsidRPr="00D62B65">
        <w:t xml:space="preserve"> Federal Government Data Maturity</w:t>
      </w:r>
      <w:r w:rsidRPr="00D62B65">
        <w:t xml:space="preserve"> model. It also lists milestones that ACL may target to improve its data capabilities in each area.</w:t>
      </w:r>
    </w:p>
    <w:p w14:paraId="5FB40792" w14:textId="77777777" w:rsidR="009C3694" w:rsidRPr="00D62B65" w:rsidRDefault="009C3694" w:rsidP="00C44B72">
      <w:pPr>
        <w:pStyle w:val="ListParagraph"/>
        <w:numPr>
          <w:ilvl w:val="0"/>
          <w:numId w:val="19"/>
        </w:numPr>
        <w:spacing w:after="120"/>
        <w:contextualSpacing w:val="0"/>
        <w:rPr>
          <w:rFonts w:cstheme="minorHAnsi"/>
        </w:rPr>
      </w:pPr>
      <w:r w:rsidRPr="00D62B65">
        <w:rPr>
          <w:rFonts w:cstheme="minorHAnsi"/>
          <w:color w:val="C00000"/>
        </w:rPr>
        <w:t xml:space="preserve">Analytic Capabilities </w:t>
      </w:r>
      <w:r w:rsidRPr="00C44B72">
        <w:rPr>
          <w:rFonts w:cstheme="minorHAnsi"/>
          <w:color w:val="C00000"/>
          <w:u w:val="single"/>
        </w:rPr>
        <w:t>(2)</w:t>
      </w:r>
      <w:r w:rsidRPr="00D62B65">
        <w:rPr>
          <w:rFonts w:cstheme="minorHAnsi"/>
        </w:rPr>
        <w:t>: ACL is able to conduct descriptive analytics to assess “what happened.” Sufficient data exist to create metrics or compare data points from year to year. To enhance its analytic capabilities, ACL may build out its data collection and analytics to identify causes of poor performance or operational problems in real time, to answer “what is happening?” and “why did it happen?”</w:t>
      </w:r>
    </w:p>
    <w:p w14:paraId="189359A9" w14:textId="77777777" w:rsidR="009C3694" w:rsidRPr="00D62B65" w:rsidRDefault="009C3694" w:rsidP="00C44B72">
      <w:pPr>
        <w:pStyle w:val="ListParagraph"/>
        <w:numPr>
          <w:ilvl w:val="0"/>
          <w:numId w:val="19"/>
        </w:numPr>
        <w:spacing w:after="120"/>
        <w:contextualSpacing w:val="0"/>
        <w:rPr>
          <w:rFonts w:cstheme="minorHAnsi"/>
        </w:rPr>
      </w:pPr>
      <w:r w:rsidRPr="00D62B65">
        <w:rPr>
          <w:rFonts w:cstheme="minorHAnsi"/>
          <w:color w:val="C00000"/>
        </w:rPr>
        <w:t xml:space="preserve">Data Culture </w:t>
      </w:r>
      <w:r w:rsidRPr="00C44B72">
        <w:rPr>
          <w:rFonts w:cstheme="minorHAnsi"/>
          <w:color w:val="C00000"/>
          <w:u w:val="single"/>
        </w:rPr>
        <w:t>(3)</w:t>
      </w:r>
      <w:r w:rsidRPr="00D62B65">
        <w:rPr>
          <w:rFonts w:cstheme="minorHAnsi"/>
        </w:rPr>
        <w:t>: Within ACL, some high performing programs/centers exist that transform quality data into useful information that support decision-making. There is a defined data quality strategy within parts of ACL. Some user feedback is collected and incorporated into programs that produce data-related products and services. To enhance its data culture, ACL may implement efforts to manage data as a strategic asset across the agency. Customer feedback loops and accountability for data and data quality should be realized across all centers/programs. Data should be used to drive strategic and operational decision-making agencywide.</w:t>
      </w:r>
    </w:p>
    <w:p w14:paraId="67E37844" w14:textId="77777777" w:rsidR="009C3694" w:rsidRPr="00D62B65" w:rsidRDefault="009C3694" w:rsidP="00C44B72">
      <w:pPr>
        <w:pStyle w:val="ListParagraph"/>
        <w:numPr>
          <w:ilvl w:val="0"/>
          <w:numId w:val="19"/>
        </w:numPr>
        <w:spacing w:after="120"/>
        <w:contextualSpacing w:val="0"/>
        <w:rPr>
          <w:rFonts w:cstheme="minorHAnsi"/>
        </w:rPr>
      </w:pPr>
      <w:r w:rsidRPr="00D62B65">
        <w:rPr>
          <w:rFonts w:cstheme="minorHAnsi"/>
          <w:color w:val="C00000"/>
        </w:rPr>
        <w:t xml:space="preserve">Data Management </w:t>
      </w:r>
      <w:r w:rsidRPr="00C44B72">
        <w:rPr>
          <w:rFonts w:cstheme="minorHAnsi"/>
          <w:color w:val="C00000"/>
          <w:u w:val="single"/>
        </w:rPr>
        <w:t>(2)</w:t>
      </w:r>
      <w:r w:rsidRPr="00D62B65">
        <w:rPr>
          <w:rFonts w:cstheme="minorHAnsi"/>
        </w:rPr>
        <w:t xml:space="preserve">: Currently, data are managed in siloes. Although some documentation exists, standards may not be applied regularly and across the entire agency. To enhance its data management, ACL may take steps to ensure that data are managed across the agency, documentation is uniform, and standards are applied consistently. </w:t>
      </w:r>
    </w:p>
    <w:p w14:paraId="1C89BAAC" w14:textId="77777777" w:rsidR="009C3694" w:rsidRPr="00D62B65" w:rsidRDefault="009C3694" w:rsidP="00C44B72">
      <w:pPr>
        <w:pStyle w:val="ListParagraph"/>
        <w:numPr>
          <w:ilvl w:val="0"/>
          <w:numId w:val="19"/>
        </w:numPr>
        <w:spacing w:after="120"/>
        <w:contextualSpacing w:val="0"/>
        <w:rPr>
          <w:rFonts w:cstheme="minorHAnsi"/>
        </w:rPr>
      </w:pPr>
      <w:r w:rsidRPr="00D62B65">
        <w:rPr>
          <w:rFonts w:cstheme="minorHAnsi"/>
          <w:color w:val="C00000"/>
        </w:rPr>
        <w:t xml:space="preserve">Data Personnel </w:t>
      </w:r>
      <w:r w:rsidRPr="00C44B72">
        <w:rPr>
          <w:rFonts w:cstheme="minorHAnsi"/>
          <w:color w:val="C00000"/>
          <w:u w:val="single"/>
        </w:rPr>
        <w:t>(2)</w:t>
      </w:r>
      <w:r w:rsidRPr="00D62B65">
        <w:rPr>
          <w:rFonts w:cstheme="minorHAnsi"/>
        </w:rPr>
        <w:t>: Dedicated data professionals exist within ACL but data teams may not be integrated into all operations/centers/programs. Data personnel may spend most of their time on data maintenance, analysis, and report writing, rather than helping solve operational and mission challenges using complex analytics. To encourage further contributions from its data personnel, ACL may establish professional development training for data professional and program/regional staff.</w:t>
      </w:r>
    </w:p>
    <w:p w14:paraId="3078E67F" w14:textId="77777777" w:rsidR="00D62B65" w:rsidRPr="00D62B65" w:rsidRDefault="009C3694" w:rsidP="00C44B72">
      <w:pPr>
        <w:pStyle w:val="ListParagraph"/>
        <w:numPr>
          <w:ilvl w:val="0"/>
          <w:numId w:val="19"/>
        </w:numPr>
        <w:spacing w:after="120"/>
        <w:contextualSpacing w:val="0"/>
        <w:rPr>
          <w:rFonts w:cstheme="minorHAnsi"/>
        </w:rPr>
      </w:pPr>
      <w:r w:rsidRPr="00D62B65">
        <w:rPr>
          <w:rFonts w:cstheme="minorHAnsi"/>
          <w:color w:val="C00000"/>
        </w:rPr>
        <w:t xml:space="preserve">Systems/Technology </w:t>
      </w:r>
      <w:r w:rsidRPr="00C44B72">
        <w:rPr>
          <w:rFonts w:cstheme="minorHAnsi"/>
          <w:color w:val="C00000"/>
          <w:u w:val="single"/>
        </w:rPr>
        <w:t>(3)</w:t>
      </w:r>
      <w:r w:rsidRPr="00D62B65">
        <w:rPr>
          <w:rFonts w:cstheme="minorHAnsi"/>
        </w:rPr>
        <w:t>: ACL program data can be accessed for decision-making, and ACL is actively working on improving its data systems (e.g., data restructuring project) to eliminate siloes and allow for use of data across programs. To further enhance its systems/technology, ACL may continue to build common data systems and common data tools and encourage their use across the agency.</w:t>
      </w:r>
    </w:p>
    <w:p w14:paraId="0923DA69" w14:textId="0255CBD2" w:rsidR="0007649E" w:rsidRPr="00D62B65" w:rsidRDefault="009C3694" w:rsidP="00C44B72">
      <w:pPr>
        <w:pStyle w:val="ListParagraph"/>
        <w:numPr>
          <w:ilvl w:val="0"/>
          <w:numId w:val="19"/>
        </w:numPr>
        <w:rPr>
          <w:rFonts w:cstheme="minorHAnsi"/>
        </w:rPr>
      </w:pPr>
      <w:r w:rsidRPr="00D62B65">
        <w:rPr>
          <w:rFonts w:cstheme="minorHAnsi"/>
          <w:color w:val="C00000"/>
        </w:rPr>
        <w:t xml:space="preserve">Data Governance </w:t>
      </w:r>
      <w:r w:rsidRPr="00C44B72">
        <w:rPr>
          <w:rFonts w:cstheme="minorHAnsi"/>
          <w:color w:val="C00000"/>
          <w:u w:val="single"/>
        </w:rPr>
        <w:t>(2)</w:t>
      </w:r>
      <w:r w:rsidRPr="00D62B65">
        <w:rPr>
          <w:rFonts w:cstheme="minorHAnsi"/>
          <w:color w:val="C00000"/>
        </w:rPr>
        <w:t xml:space="preserve">: </w:t>
      </w:r>
      <w:r w:rsidRPr="00D62B65">
        <w:rPr>
          <w:rFonts w:cstheme="minorHAnsi"/>
        </w:rPr>
        <w:t>ACL program managers and system owners assume accountability for data sets based on projects. Program leads work with technical staff on incremental policy and data management improvements (e.g., OEJAPS) based on specific business needs and program goals. To enhance its data governance, ACL may focus on agency-level collaboration, such as establishing a review and evaluation process for data governance for continuous improvement.</w:t>
      </w:r>
    </w:p>
    <w:p w14:paraId="11ED7F4E" w14:textId="5F399499" w:rsidR="0007649E" w:rsidRPr="00FD1A9F" w:rsidRDefault="0007649E" w:rsidP="00AA4D0A">
      <w:pPr>
        <w:spacing w:after="0"/>
        <w:ind w:left="2880" w:hanging="2880"/>
      </w:pPr>
    </w:p>
    <w:sectPr w:rsidR="0007649E" w:rsidRPr="00FD1A9F" w:rsidSect="009C3694">
      <w:pgSz w:w="12240" w:h="15840"/>
      <w:pgMar w:top="1440" w:right="1440" w:bottom="1440" w:left="117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F6B9" w14:textId="77777777" w:rsidR="005A473B" w:rsidRDefault="005A473B" w:rsidP="0074326F">
      <w:pPr>
        <w:spacing w:after="0" w:line="240" w:lineRule="auto"/>
      </w:pPr>
      <w:r>
        <w:separator/>
      </w:r>
    </w:p>
  </w:endnote>
  <w:endnote w:type="continuationSeparator" w:id="0">
    <w:p w14:paraId="6B3805DC" w14:textId="77777777" w:rsidR="005A473B" w:rsidRDefault="005A473B" w:rsidP="0074326F">
      <w:pPr>
        <w:spacing w:after="0" w:line="240" w:lineRule="auto"/>
      </w:pPr>
      <w:r>
        <w:continuationSeparator/>
      </w:r>
    </w:p>
  </w:endnote>
  <w:endnote w:id="1">
    <w:p w14:paraId="5AFDE053" w14:textId="69CFE368" w:rsidR="006B305B" w:rsidRPr="00051D5F" w:rsidRDefault="006B305B" w:rsidP="00051D5F">
      <w:pPr>
        <w:spacing w:after="120"/>
        <w:ind w:left="274" w:hanging="274"/>
      </w:pPr>
      <w:r>
        <w:rPr>
          <w:rStyle w:val="EndnoteReference"/>
        </w:rPr>
        <w:endnoteRef/>
      </w:r>
      <w:r>
        <w:t xml:space="preserve"> </w:t>
      </w:r>
      <w:r w:rsidRPr="00051D5F">
        <w:rPr>
          <w:rFonts w:cstheme="minorHAnsi"/>
        </w:rPr>
        <w:t xml:space="preserve">Office of Management and Budget. (2019). A Playbook in Support of the Federal Data Strategy. Getting Started on: Prioritizing Data Governance and Assessing Maturity. </w:t>
      </w:r>
      <w:hyperlink r:id="rId1" w:tooltip="https://resources.data.gov/assets/documents/fds-data-governance-playbook.pdf" w:history="1">
        <w:r w:rsidRPr="00051D5F">
          <w:rPr>
            <w:rStyle w:val="Hyperlink"/>
          </w:rPr>
          <w:t>https://resources.data.gov/assets/documents/fds-data-governance-playbook.pdf</w:t>
        </w:r>
      </w:hyperlink>
    </w:p>
  </w:endnote>
  <w:endnote w:id="2">
    <w:p w14:paraId="7310FCEE" w14:textId="011385DB" w:rsidR="006B305B" w:rsidRPr="00051D5F" w:rsidRDefault="006B305B" w:rsidP="00051D5F">
      <w:pPr>
        <w:spacing w:after="120"/>
        <w:ind w:left="274" w:hanging="274"/>
      </w:pPr>
      <w:r w:rsidRPr="00051D5F">
        <w:rPr>
          <w:rStyle w:val="EndnoteReference"/>
        </w:rPr>
        <w:endnoteRef/>
      </w:r>
      <w:r w:rsidRPr="00051D5F">
        <w:t xml:space="preserve"> Rosenbaum, S. (2010). Data Governance and Stewardship: Designing Entities and Advancing Data Access. Health Services Research, 45(5 Pt 2), 1442-1455. </w:t>
      </w:r>
      <w:hyperlink r:id="rId2" w:tooltip="https://www.ncbi.nlm.nih.gov/pmc/articles/PMC2965885/" w:history="1">
        <w:r w:rsidRPr="00051D5F">
          <w:rPr>
            <w:rStyle w:val="Hyperlink"/>
          </w:rPr>
          <w:t>https://www.ncbi.nlm.nih.gov/pmc/articles/PMC2965885/</w:t>
        </w:r>
      </w:hyperlink>
    </w:p>
  </w:endnote>
  <w:endnote w:id="3">
    <w:p w14:paraId="1BE3DDB1" w14:textId="271EABCE" w:rsidR="006B305B" w:rsidRPr="00051D5F" w:rsidRDefault="006B305B" w:rsidP="00051D5F">
      <w:pPr>
        <w:spacing w:after="120"/>
        <w:ind w:left="274" w:hanging="274"/>
      </w:pPr>
      <w:r w:rsidRPr="00051D5F">
        <w:rPr>
          <w:rStyle w:val="EndnoteReference"/>
        </w:rPr>
        <w:endnoteRef/>
      </w:r>
      <w:r w:rsidRPr="00051D5F">
        <w:t xml:space="preserve"> </w:t>
      </w:r>
      <w:r w:rsidRPr="00051D5F">
        <w:rPr>
          <w:rFonts w:cstheme="minorHAnsi"/>
        </w:rPr>
        <w:t xml:space="preserve">Office of Management and Budget. (2019). Memorandum for the Heads of Executive Departments and Agencies (M-19-18). Federal Data Strategy – A Framework for Consistency. </w:t>
      </w:r>
      <w:hyperlink r:id="rId3" w:tooltip="Federal Data Strategy Memorandum PDF" w:history="1">
        <w:r w:rsidRPr="00051D5F">
          <w:rPr>
            <w:rStyle w:val="Hyperlink"/>
            <w:rFonts w:cstheme="minorHAnsi"/>
          </w:rPr>
          <w:t>https://www.whitehouse.gov/wp-content/uploads/2019/06/M-19-18.pdf</w:t>
        </w:r>
      </w:hyperlink>
    </w:p>
  </w:endnote>
  <w:endnote w:id="4">
    <w:p w14:paraId="51BA64C4" w14:textId="3303BC27" w:rsidR="006B305B" w:rsidRPr="00051D5F" w:rsidRDefault="006B305B" w:rsidP="00051D5F">
      <w:pPr>
        <w:pStyle w:val="EndnoteText"/>
        <w:spacing w:after="120"/>
        <w:ind w:left="274" w:hanging="274"/>
        <w:rPr>
          <w:sz w:val="22"/>
          <w:szCs w:val="22"/>
        </w:rPr>
      </w:pPr>
      <w:r w:rsidRPr="00051D5F">
        <w:rPr>
          <w:rStyle w:val="EndnoteReference"/>
          <w:sz w:val="22"/>
          <w:szCs w:val="22"/>
        </w:rPr>
        <w:endnoteRef/>
      </w:r>
      <w:r w:rsidRPr="00051D5F">
        <w:rPr>
          <w:sz w:val="22"/>
          <w:szCs w:val="22"/>
        </w:rPr>
        <w:t xml:space="preserve"> </w:t>
      </w:r>
      <w:r w:rsidRPr="00051D5F">
        <w:rPr>
          <w:rFonts w:cstheme="minorHAnsi"/>
          <w:sz w:val="22"/>
          <w:szCs w:val="22"/>
        </w:rPr>
        <w:t xml:space="preserve">Office of Management and Budget. (2019). Federal Data Strategy 2020 Action Plan.  </w:t>
      </w:r>
      <w:hyperlink r:id="rId4" w:tooltip="https://strategy.data.gov/assets/docs/2020-federal-data-strategy-action-plan.pdf" w:history="1">
        <w:r w:rsidRPr="00051D5F">
          <w:rPr>
            <w:rStyle w:val="Hyperlink"/>
            <w:sz w:val="22"/>
            <w:szCs w:val="22"/>
          </w:rPr>
          <w:t>https://strategy.data.gov/assets/docs/2020-federal-data-strategy-action-plan.pdf</w:t>
        </w:r>
      </w:hyperlink>
    </w:p>
  </w:endnote>
  <w:endnote w:id="5">
    <w:p w14:paraId="53DCF779" w14:textId="13FB1757" w:rsidR="006B305B" w:rsidRPr="00DF6D6C" w:rsidRDefault="006B305B" w:rsidP="00E12EB6">
      <w:pPr>
        <w:spacing w:after="120"/>
        <w:ind w:left="274" w:hanging="274"/>
      </w:pPr>
      <w:r w:rsidRPr="00051D5F">
        <w:rPr>
          <w:rStyle w:val="EndnoteReference"/>
        </w:rPr>
        <w:endnoteRef/>
      </w:r>
      <w:r w:rsidRPr="00051D5F">
        <w:t xml:space="preserve"> </w:t>
      </w:r>
      <w:r w:rsidRPr="00051D5F">
        <w:rPr>
          <w:rFonts w:cstheme="minorHAnsi"/>
        </w:rPr>
        <w:t xml:space="preserve">Office of </w:t>
      </w:r>
      <w:r w:rsidRPr="00DF6D6C">
        <w:rPr>
          <w:rFonts w:cstheme="minorHAnsi"/>
        </w:rPr>
        <w:t xml:space="preserve">Management and Budget. (2019). A Playbook in Support of the Federal Data Strategy. Getting Started on: Prioritizing Data Governance and Assessing Maturity. </w:t>
      </w:r>
      <w:hyperlink r:id="rId5" w:tooltip="https://resources.data.gov/assets/documents/fds-data-governance-playbook.pdf" w:history="1">
        <w:r w:rsidRPr="00DF6D6C">
          <w:rPr>
            <w:rStyle w:val="Hyperlink"/>
          </w:rPr>
          <w:t>https://resources.data.gov/assets/documents/fds-data-governance-playbook.pdf</w:t>
        </w:r>
      </w:hyperlink>
    </w:p>
  </w:endnote>
  <w:endnote w:id="6">
    <w:p w14:paraId="02125E84" w14:textId="77777777" w:rsidR="006B305B" w:rsidRPr="00DF6D6C" w:rsidRDefault="006B305B" w:rsidP="00E12EB6">
      <w:pPr>
        <w:pStyle w:val="EndnoteText"/>
        <w:spacing w:after="120"/>
        <w:ind w:left="274" w:hanging="274"/>
        <w:rPr>
          <w:sz w:val="22"/>
          <w:szCs w:val="22"/>
        </w:rPr>
      </w:pPr>
      <w:r w:rsidRPr="00DF6D6C">
        <w:rPr>
          <w:rStyle w:val="EndnoteReference"/>
          <w:sz w:val="22"/>
          <w:szCs w:val="22"/>
        </w:rPr>
        <w:endnoteRef/>
      </w:r>
      <w:r w:rsidRPr="00DF6D6C">
        <w:rPr>
          <w:sz w:val="22"/>
          <w:szCs w:val="22"/>
        </w:rPr>
        <w:t xml:space="preserve"> National Aeronautics and Space Administration. (2015). Data Strategy White Paper. </w:t>
      </w:r>
    </w:p>
  </w:endnote>
  <w:endnote w:id="7">
    <w:p w14:paraId="17460618" w14:textId="486D2394" w:rsidR="006B305B" w:rsidRPr="00DF6D6C" w:rsidRDefault="006B305B" w:rsidP="00051D5F">
      <w:pPr>
        <w:spacing w:after="120"/>
        <w:ind w:left="274" w:hanging="274"/>
      </w:pPr>
      <w:r w:rsidRPr="00DF6D6C">
        <w:rPr>
          <w:rStyle w:val="EndnoteReference"/>
        </w:rPr>
        <w:endnoteRef/>
      </w:r>
      <w:r w:rsidRPr="00DF6D6C">
        <w:t xml:space="preserve"> </w:t>
      </w:r>
      <w:r w:rsidRPr="00DF6D6C">
        <w:rPr>
          <w:rFonts w:cstheme="minorHAnsi"/>
        </w:rPr>
        <w:t xml:space="preserve">Office of Management and Budget. (2019). A Playbook in Support of the Federal Data Strategy. Getting Started on: Prioritizing Data Governance and Assessing Maturity. </w:t>
      </w:r>
      <w:hyperlink r:id="rId6" w:tooltip="https://resources.data.gov/assets/documents/fds-data-governance-playbook.pdf" w:history="1">
        <w:r w:rsidRPr="00DF6D6C">
          <w:rPr>
            <w:rStyle w:val="Hyperlink"/>
          </w:rPr>
          <w:t>https://resources.data.gov/assets/documents/fds-data-governance-playbook.pdf</w:t>
        </w:r>
      </w:hyperlink>
    </w:p>
  </w:endnote>
  <w:endnote w:id="8">
    <w:p w14:paraId="3203FCC0" w14:textId="25E7377E" w:rsidR="006B305B" w:rsidRPr="00DF6D6C" w:rsidRDefault="006B305B" w:rsidP="00051D5F">
      <w:pPr>
        <w:pStyle w:val="EndnoteText"/>
        <w:spacing w:after="120"/>
        <w:ind w:left="274" w:hanging="274"/>
        <w:rPr>
          <w:sz w:val="22"/>
          <w:szCs w:val="22"/>
        </w:rPr>
      </w:pPr>
      <w:r w:rsidRPr="00DF6D6C">
        <w:rPr>
          <w:rStyle w:val="EndnoteReference"/>
          <w:sz w:val="22"/>
          <w:szCs w:val="22"/>
        </w:rPr>
        <w:endnoteRef/>
      </w:r>
      <w:r w:rsidRPr="00DF6D6C">
        <w:rPr>
          <w:sz w:val="22"/>
          <w:szCs w:val="22"/>
        </w:rPr>
        <w:t xml:space="preserve"> </w:t>
      </w:r>
      <w:r w:rsidRPr="00DF6D6C">
        <w:rPr>
          <w:rFonts w:cstheme="minorHAnsi"/>
          <w:sz w:val="22"/>
          <w:szCs w:val="22"/>
        </w:rPr>
        <w:t xml:space="preserve">Office of Management and Budget. (2019). Federal Data Strategy 2020 Action Plan.  </w:t>
      </w:r>
      <w:hyperlink r:id="rId7" w:tooltip="https://strategy.data.gov/assets/docs/2020-federal-data-strategy-action-plan.pdf" w:history="1">
        <w:r w:rsidRPr="00DF6D6C">
          <w:rPr>
            <w:rStyle w:val="Hyperlink"/>
            <w:sz w:val="22"/>
            <w:szCs w:val="22"/>
          </w:rPr>
          <w:t>https://strategy.data.gov/assets/docs/2020-federal-data-strategy-action-plan.pdf</w:t>
        </w:r>
      </w:hyperlink>
    </w:p>
  </w:endnote>
  <w:endnote w:id="9">
    <w:p w14:paraId="403F92C3" w14:textId="4A0585E3" w:rsidR="006B305B" w:rsidRPr="00DF6D6C" w:rsidRDefault="006B305B" w:rsidP="00051D5F">
      <w:pPr>
        <w:pStyle w:val="EndnoteText"/>
        <w:spacing w:after="120"/>
        <w:ind w:left="274" w:hanging="274"/>
        <w:rPr>
          <w:sz w:val="22"/>
          <w:szCs w:val="22"/>
        </w:rPr>
      </w:pPr>
      <w:r w:rsidRPr="00DF6D6C">
        <w:rPr>
          <w:rStyle w:val="EndnoteReference"/>
          <w:sz w:val="22"/>
          <w:szCs w:val="22"/>
        </w:rPr>
        <w:endnoteRef/>
      </w:r>
      <w:r w:rsidRPr="00DF6D6C">
        <w:rPr>
          <w:sz w:val="22"/>
          <w:szCs w:val="22"/>
        </w:rPr>
        <w:t xml:space="preserve"> </w:t>
      </w:r>
      <w:r w:rsidRPr="00DF6D6C">
        <w:rPr>
          <w:rFonts w:cstheme="minorHAnsi"/>
          <w:sz w:val="22"/>
          <w:szCs w:val="22"/>
        </w:rPr>
        <w:t xml:space="preserve">Office of Management and Budget. (2019). Federal Data Strategy 2020 Action Plan.  </w:t>
      </w:r>
      <w:hyperlink r:id="rId8" w:tooltip="https://strategy.data.gov/assets/docs/2020-federal-data-strategy-action-plan.pdf" w:history="1">
        <w:r w:rsidRPr="00DF6D6C">
          <w:rPr>
            <w:rStyle w:val="Hyperlink"/>
            <w:sz w:val="22"/>
            <w:szCs w:val="22"/>
          </w:rPr>
          <w:t>https://strategy.data.gov/assets/docs/2020-federal-data-strategy-action-plan.pdf</w:t>
        </w:r>
      </w:hyperlink>
    </w:p>
  </w:endnote>
  <w:endnote w:id="10">
    <w:p w14:paraId="0A1CF752" w14:textId="352F9540" w:rsidR="006B305B" w:rsidRPr="00DF6D6C" w:rsidRDefault="006B305B" w:rsidP="00F15881">
      <w:pPr>
        <w:pStyle w:val="EndnoteText"/>
        <w:spacing w:after="120"/>
        <w:ind w:left="360" w:hanging="360"/>
        <w:rPr>
          <w:sz w:val="22"/>
          <w:szCs w:val="22"/>
        </w:rPr>
      </w:pPr>
      <w:r w:rsidRPr="00DF6D6C">
        <w:rPr>
          <w:rStyle w:val="EndnoteReference"/>
          <w:sz w:val="22"/>
          <w:szCs w:val="22"/>
        </w:rPr>
        <w:endnoteRef/>
      </w:r>
      <w:r w:rsidRPr="00DF6D6C">
        <w:rPr>
          <w:sz w:val="22"/>
          <w:szCs w:val="22"/>
        </w:rPr>
        <w:t xml:space="preserve"> </w:t>
      </w:r>
      <w:r>
        <w:rPr>
          <w:sz w:val="22"/>
          <w:szCs w:val="22"/>
        </w:rPr>
        <w:t xml:space="preserve">Seiner, R. S. (2017, March 1). </w:t>
      </w:r>
      <w:r w:rsidRPr="00DC606F">
        <w:rPr>
          <w:i/>
          <w:iCs/>
          <w:sz w:val="22"/>
          <w:szCs w:val="22"/>
        </w:rPr>
        <w:t xml:space="preserve">Defining data governance core principles. </w:t>
      </w:r>
      <w:r>
        <w:rPr>
          <w:sz w:val="22"/>
          <w:szCs w:val="22"/>
        </w:rPr>
        <w:t xml:space="preserve">The Data Administration Newsletter. </w:t>
      </w:r>
      <w:hyperlink r:id="rId9" w:tooltip="https://tdan.com/defining-data-governance-core-principles/17087" w:history="1">
        <w:r w:rsidRPr="005E294E">
          <w:rPr>
            <w:rStyle w:val="Hyperlink"/>
            <w:sz w:val="22"/>
            <w:szCs w:val="22"/>
          </w:rPr>
          <w:t>https://tdan.com/defining-data-governance-core-principles/17087</w:t>
        </w:r>
      </w:hyperlink>
      <w:r w:rsidRPr="00DF6D6C">
        <w:rPr>
          <w:sz w:val="22"/>
          <w:szCs w:val="22"/>
        </w:rPr>
        <w:t xml:space="preserve"> </w:t>
      </w:r>
    </w:p>
  </w:endnote>
  <w:endnote w:id="11">
    <w:p w14:paraId="1448ABD4" w14:textId="0FD1015C" w:rsidR="006B305B" w:rsidRPr="00DF6D6C" w:rsidRDefault="006B305B" w:rsidP="00F15881">
      <w:pPr>
        <w:pStyle w:val="EndnoteText"/>
        <w:spacing w:after="120"/>
        <w:ind w:left="360" w:hanging="360"/>
        <w:rPr>
          <w:sz w:val="22"/>
          <w:szCs w:val="22"/>
        </w:rPr>
      </w:pPr>
      <w:r w:rsidRPr="00DF6D6C">
        <w:rPr>
          <w:rStyle w:val="EndnoteReference"/>
          <w:sz w:val="22"/>
          <w:szCs w:val="22"/>
        </w:rPr>
        <w:endnoteRef/>
      </w:r>
      <w:r w:rsidRPr="00DF6D6C">
        <w:rPr>
          <w:sz w:val="22"/>
          <w:szCs w:val="22"/>
        </w:rPr>
        <w:t xml:space="preserve"> University of New South Wales. (n.d.)</w:t>
      </w:r>
      <w:r>
        <w:rPr>
          <w:sz w:val="22"/>
          <w:szCs w:val="22"/>
        </w:rPr>
        <w:t>.</w:t>
      </w:r>
      <w:r w:rsidRPr="00DF6D6C">
        <w:rPr>
          <w:sz w:val="22"/>
          <w:szCs w:val="22"/>
        </w:rPr>
        <w:t xml:space="preserve"> </w:t>
      </w:r>
      <w:r w:rsidRPr="00DC606F">
        <w:rPr>
          <w:i/>
          <w:iCs/>
          <w:sz w:val="22"/>
          <w:szCs w:val="22"/>
        </w:rPr>
        <w:t>Data governance principles.</w:t>
      </w:r>
      <w:r w:rsidRPr="00DF6D6C">
        <w:rPr>
          <w:sz w:val="22"/>
          <w:szCs w:val="22"/>
        </w:rPr>
        <w:t xml:space="preserve"> </w:t>
      </w:r>
      <w:hyperlink r:id="rId10" w:tooltip="https://www.datagovernance.unsw.edu.au/data-governance-principles" w:history="1">
        <w:r w:rsidRPr="00DF6D6C">
          <w:rPr>
            <w:rStyle w:val="Hyperlink"/>
            <w:sz w:val="22"/>
            <w:szCs w:val="22"/>
          </w:rPr>
          <w:t>https://www.datagovernance.unsw.edu.au/data-governance-principles</w:t>
        </w:r>
      </w:hyperlink>
      <w:r w:rsidRPr="00DF6D6C">
        <w:rPr>
          <w:sz w:val="22"/>
          <w:szCs w:val="22"/>
        </w:rPr>
        <w:t xml:space="preserve"> </w:t>
      </w:r>
    </w:p>
  </w:endnote>
  <w:endnote w:id="12">
    <w:p w14:paraId="42F4AFD8" w14:textId="4874BAB8" w:rsidR="006B305B" w:rsidRPr="00DF6D6C" w:rsidRDefault="006B305B" w:rsidP="00F15881">
      <w:pPr>
        <w:pStyle w:val="EndnoteText"/>
        <w:spacing w:after="120"/>
        <w:ind w:left="360" w:hanging="360"/>
        <w:rPr>
          <w:sz w:val="22"/>
          <w:szCs w:val="22"/>
        </w:rPr>
      </w:pPr>
      <w:r w:rsidRPr="00DF6D6C">
        <w:rPr>
          <w:rStyle w:val="EndnoteReference"/>
          <w:sz w:val="22"/>
          <w:szCs w:val="22"/>
        </w:rPr>
        <w:endnoteRef/>
      </w:r>
      <w:r w:rsidRPr="00DF6D6C">
        <w:rPr>
          <w:sz w:val="22"/>
          <w:szCs w:val="22"/>
        </w:rPr>
        <w:t xml:space="preserve"> </w:t>
      </w:r>
      <w:r>
        <w:rPr>
          <w:sz w:val="22"/>
          <w:szCs w:val="22"/>
        </w:rPr>
        <w:t>EOL</w:t>
      </w:r>
      <w:r w:rsidRPr="00DF6D6C">
        <w:rPr>
          <w:sz w:val="22"/>
          <w:szCs w:val="22"/>
        </w:rPr>
        <w:t xml:space="preserve"> IT Services. (2018</w:t>
      </w:r>
      <w:r>
        <w:rPr>
          <w:sz w:val="22"/>
          <w:szCs w:val="22"/>
        </w:rPr>
        <w:t>, January 2</w:t>
      </w:r>
      <w:r w:rsidRPr="00DF6D6C">
        <w:rPr>
          <w:sz w:val="22"/>
          <w:szCs w:val="22"/>
        </w:rPr>
        <w:t xml:space="preserve">). </w:t>
      </w:r>
      <w:r w:rsidRPr="00DC606F">
        <w:rPr>
          <w:i/>
          <w:iCs/>
          <w:sz w:val="22"/>
          <w:szCs w:val="22"/>
        </w:rPr>
        <w:t xml:space="preserve">The 5 principles of data governance. </w:t>
      </w:r>
      <w:hyperlink r:id="rId11" w:tooltip="https://www.eolitservices.co.uk/2018/01/02/5-principles-data-governance/" w:history="1">
        <w:r w:rsidRPr="00C011BD">
          <w:rPr>
            <w:rStyle w:val="Hyperlink"/>
            <w:sz w:val="22"/>
            <w:szCs w:val="22"/>
          </w:rPr>
          <w:t>https://www.eolitservices.co.uk/2018/01/02/5-principles-data-governance/</w:t>
        </w:r>
      </w:hyperlink>
      <w:r w:rsidRPr="00DF6D6C">
        <w:rPr>
          <w:sz w:val="22"/>
          <w:szCs w:val="22"/>
        </w:rPr>
        <w:t xml:space="preserve"> </w:t>
      </w:r>
    </w:p>
  </w:endnote>
  <w:endnote w:id="13">
    <w:p w14:paraId="5EA33FA7" w14:textId="101C02CA" w:rsidR="006B305B" w:rsidRPr="00DF6D6C" w:rsidRDefault="006B305B" w:rsidP="00F15881">
      <w:pPr>
        <w:pStyle w:val="EndnoteText"/>
        <w:spacing w:after="120"/>
        <w:ind w:left="360" w:hanging="360"/>
        <w:rPr>
          <w:sz w:val="22"/>
          <w:szCs w:val="22"/>
        </w:rPr>
      </w:pPr>
      <w:r w:rsidRPr="00DF6D6C">
        <w:rPr>
          <w:rStyle w:val="EndnoteReference"/>
          <w:sz w:val="22"/>
          <w:szCs w:val="22"/>
        </w:rPr>
        <w:endnoteRef/>
      </w:r>
      <w:r w:rsidRPr="00DF6D6C">
        <w:rPr>
          <w:sz w:val="22"/>
          <w:szCs w:val="22"/>
        </w:rPr>
        <w:t xml:space="preserve"> </w:t>
      </w:r>
      <w:r w:rsidRPr="00A5553C">
        <w:rPr>
          <w:sz w:val="22"/>
          <w:szCs w:val="22"/>
        </w:rPr>
        <w:t>Office of Management and Budget. (2002</w:t>
      </w:r>
      <w:r>
        <w:rPr>
          <w:sz w:val="22"/>
          <w:szCs w:val="22"/>
        </w:rPr>
        <w:t>, February 22</w:t>
      </w:r>
      <w:r w:rsidRPr="00A5553C">
        <w:rPr>
          <w:sz w:val="22"/>
          <w:szCs w:val="22"/>
        </w:rPr>
        <w:t xml:space="preserve">). </w:t>
      </w:r>
      <w:r>
        <w:rPr>
          <w:sz w:val="22"/>
          <w:szCs w:val="22"/>
        </w:rPr>
        <w:t>G</w:t>
      </w:r>
      <w:r w:rsidRPr="00A5553C">
        <w:rPr>
          <w:sz w:val="22"/>
          <w:szCs w:val="22"/>
        </w:rPr>
        <w:t xml:space="preserve">uidelines for </w:t>
      </w:r>
      <w:r>
        <w:rPr>
          <w:sz w:val="22"/>
          <w:szCs w:val="22"/>
        </w:rPr>
        <w:t>e</w:t>
      </w:r>
      <w:r w:rsidRPr="00A5553C">
        <w:rPr>
          <w:sz w:val="22"/>
          <w:szCs w:val="22"/>
        </w:rPr>
        <w:t xml:space="preserve">nsuring and </w:t>
      </w:r>
      <w:r>
        <w:rPr>
          <w:sz w:val="22"/>
          <w:szCs w:val="22"/>
        </w:rPr>
        <w:t>m</w:t>
      </w:r>
      <w:r w:rsidRPr="00A5553C">
        <w:rPr>
          <w:sz w:val="22"/>
          <w:szCs w:val="22"/>
        </w:rPr>
        <w:t xml:space="preserve">aximizing the </w:t>
      </w:r>
      <w:r>
        <w:rPr>
          <w:sz w:val="22"/>
          <w:szCs w:val="22"/>
        </w:rPr>
        <w:t>q</w:t>
      </w:r>
      <w:r w:rsidRPr="00A5553C">
        <w:rPr>
          <w:sz w:val="22"/>
          <w:szCs w:val="22"/>
        </w:rPr>
        <w:t xml:space="preserve">uality, </w:t>
      </w:r>
      <w:r>
        <w:rPr>
          <w:sz w:val="22"/>
          <w:szCs w:val="22"/>
        </w:rPr>
        <w:t>o</w:t>
      </w:r>
      <w:r w:rsidRPr="00A5553C">
        <w:rPr>
          <w:sz w:val="22"/>
          <w:szCs w:val="22"/>
        </w:rPr>
        <w:t xml:space="preserve">bjectivity, </w:t>
      </w:r>
      <w:r>
        <w:rPr>
          <w:sz w:val="22"/>
          <w:szCs w:val="22"/>
        </w:rPr>
        <w:t>u</w:t>
      </w:r>
      <w:r w:rsidRPr="00A5553C">
        <w:rPr>
          <w:sz w:val="22"/>
          <w:szCs w:val="22"/>
        </w:rPr>
        <w:t xml:space="preserve">tility, and </w:t>
      </w:r>
      <w:r>
        <w:rPr>
          <w:sz w:val="22"/>
          <w:szCs w:val="22"/>
        </w:rPr>
        <w:t>i</w:t>
      </w:r>
      <w:r w:rsidRPr="00A5553C">
        <w:rPr>
          <w:sz w:val="22"/>
          <w:szCs w:val="22"/>
        </w:rPr>
        <w:t xml:space="preserve">ntegrity of </w:t>
      </w:r>
      <w:r>
        <w:rPr>
          <w:sz w:val="22"/>
          <w:szCs w:val="22"/>
        </w:rPr>
        <w:t>i</w:t>
      </w:r>
      <w:r w:rsidRPr="00A5553C">
        <w:rPr>
          <w:sz w:val="22"/>
          <w:szCs w:val="22"/>
        </w:rPr>
        <w:t xml:space="preserve">nformation </w:t>
      </w:r>
      <w:r>
        <w:rPr>
          <w:sz w:val="22"/>
          <w:szCs w:val="22"/>
        </w:rPr>
        <w:t>d</w:t>
      </w:r>
      <w:r w:rsidRPr="00A5553C">
        <w:rPr>
          <w:sz w:val="22"/>
          <w:szCs w:val="22"/>
        </w:rPr>
        <w:t xml:space="preserve">isseminated by </w:t>
      </w:r>
      <w:r>
        <w:rPr>
          <w:sz w:val="22"/>
          <w:szCs w:val="22"/>
        </w:rPr>
        <w:t>f</w:t>
      </w:r>
      <w:r w:rsidRPr="00A5553C">
        <w:rPr>
          <w:sz w:val="22"/>
          <w:szCs w:val="22"/>
        </w:rPr>
        <w:t xml:space="preserve">ederal </w:t>
      </w:r>
      <w:r>
        <w:rPr>
          <w:sz w:val="22"/>
          <w:szCs w:val="22"/>
        </w:rPr>
        <w:t>a</w:t>
      </w:r>
      <w:r w:rsidRPr="00A5553C">
        <w:rPr>
          <w:sz w:val="22"/>
          <w:szCs w:val="22"/>
        </w:rPr>
        <w:t>gencies</w:t>
      </w:r>
      <w:r>
        <w:rPr>
          <w:sz w:val="22"/>
          <w:szCs w:val="22"/>
        </w:rPr>
        <w:t xml:space="preserve">. </w:t>
      </w:r>
      <w:r>
        <w:rPr>
          <w:i/>
          <w:iCs/>
          <w:sz w:val="22"/>
          <w:szCs w:val="22"/>
        </w:rPr>
        <w:t>Federal Register 67</w:t>
      </w:r>
      <w:r>
        <w:rPr>
          <w:sz w:val="22"/>
          <w:szCs w:val="22"/>
        </w:rPr>
        <w:t xml:space="preserve">(36), 8452–8460. </w:t>
      </w:r>
      <w:hyperlink r:id="rId12" w:tooltip="https://www.whitehouse.gov/sites/whitehouse.gov/files/omb/assets/OMB/fedreg/reproducible2.pdf" w:history="1">
        <w:r w:rsidRPr="003E556F">
          <w:rPr>
            <w:rStyle w:val="Hyperlink"/>
            <w:sz w:val="22"/>
            <w:szCs w:val="22"/>
          </w:rPr>
          <w:t>https://www.whitehouse.gov/sites/whitehouse.gov/files/omb/assets/OMB/fedreg/reproducible2.pdf</w:t>
        </w:r>
      </w:hyperlink>
    </w:p>
  </w:endnote>
  <w:endnote w:id="14">
    <w:p w14:paraId="37CDCCCD" w14:textId="0B83D368" w:rsidR="006B305B" w:rsidRPr="00A432A0" w:rsidRDefault="006B305B" w:rsidP="00F15881">
      <w:pPr>
        <w:pStyle w:val="EndnoteText"/>
        <w:spacing w:after="120"/>
        <w:ind w:left="360" w:hanging="360"/>
        <w:rPr>
          <w:sz w:val="22"/>
          <w:szCs w:val="22"/>
        </w:rPr>
      </w:pPr>
      <w:r w:rsidRPr="00DF6D6C">
        <w:rPr>
          <w:rStyle w:val="EndnoteReference"/>
          <w:sz w:val="22"/>
          <w:szCs w:val="22"/>
        </w:rPr>
        <w:endnoteRef/>
      </w:r>
      <w:r w:rsidRPr="00DF6D6C">
        <w:rPr>
          <w:sz w:val="22"/>
          <w:szCs w:val="22"/>
        </w:rPr>
        <w:t xml:space="preserve"> Prell, M., Chapman, C., Adeshiyan, S., Fixler, D., Garin, T., Mirel, L., &amp; Phipps, P. (2019</w:t>
      </w:r>
      <w:r>
        <w:rPr>
          <w:sz w:val="22"/>
          <w:szCs w:val="22"/>
        </w:rPr>
        <w:t>, September</w:t>
      </w:r>
      <w:r w:rsidRPr="00DF6D6C">
        <w:rPr>
          <w:sz w:val="22"/>
          <w:szCs w:val="22"/>
        </w:rPr>
        <w:t xml:space="preserve">). </w:t>
      </w:r>
      <w:r w:rsidRPr="00DC606F">
        <w:rPr>
          <w:i/>
          <w:iCs/>
          <w:sz w:val="22"/>
          <w:szCs w:val="22"/>
        </w:rPr>
        <w:t>Transparent reporting for integrated data quality: Practices of seven federal statistical agencies</w:t>
      </w:r>
      <w:r w:rsidRPr="00DF6D6C">
        <w:rPr>
          <w:sz w:val="22"/>
          <w:szCs w:val="22"/>
        </w:rPr>
        <w:t xml:space="preserve"> </w:t>
      </w:r>
      <w:r>
        <w:rPr>
          <w:sz w:val="22"/>
          <w:szCs w:val="22"/>
        </w:rPr>
        <w:t>(</w:t>
      </w:r>
      <w:r w:rsidRPr="00DF6D6C">
        <w:rPr>
          <w:sz w:val="22"/>
          <w:szCs w:val="22"/>
        </w:rPr>
        <w:t>FCSM 19-01</w:t>
      </w:r>
      <w:r>
        <w:rPr>
          <w:sz w:val="22"/>
          <w:szCs w:val="22"/>
        </w:rPr>
        <w:t>)</w:t>
      </w:r>
      <w:r w:rsidRPr="00DF6D6C">
        <w:rPr>
          <w:sz w:val="22"/>
          <w:szCs w:val="22"/>
        </w:rPr>
        <w:t>. Federal Committee on Statistical Methodology.</w:t>
      </w:r>
      <w:r w:rsidRPr="00A432A0">
        <w:rPr>
          <w:sz w:val="22"/>
          <w:szCs w:val="22"/>
        </w:rPr>
        <w:t xml:space="preserve"> </w:t>
      </w:r>
      <w:hyperlink r:id="rId13" w:tooltip="https://nces.ed.gov/FCSM/pdf/Transparent_Reporting_FCSM_19.01.pdf" w:history="1">
        <w:r w:rsidRPr="00A432A0">
          <w:rPr>
            <w:rStyle w:val="Hyperlink"/>
            <w:sz w:val="22"/>
            <w:szCs w:val="22"/>
          </w:rPr>
          <w:t>https://nces.ed.gov/FCSM/pdf/Transparent_Reporting_FCSM_19.01.pdf</w:t>
        </w:r>
      </w:hyperlink>
    </w:p>
  </w:endnote>
  <w:endnote w:id="15">
    <w:p w14:paraId="6D3693DC" w14:textId="152FAD6B" w:rsidR="006B305B" w:rsidRPr="009209D3" w:rsidRDefault="006B305B" w:rsidP="00F15881">
      <w:pPr>
        <w:pStyle w:val="EndnoteText"/>
        <w:spacing w:after="120"/>
        <w:ind w:left="360" w:hanging="360"/>
        <w:rPr>
          <w:sz w:val="22"/>
          <w:szCs w:val="22"/>
        </w:rPr>
      </w:pPr>
      <w:r>
        <w:rPr>
          <w:rStyle w:val="EndnoteReference"/>
        </w:rPr>
        <w:endnoteRef/>
      </w:r>
      <w:r>
        <w:t xml:space="preserve"> </w:t>
      </w:r>
      <w:r w:rsidRPr="00A5553C">
        <w:rPr>
          <w:sz w:val="22"/>
          <w:szCs w:val="22"/>
        </w:rPr>
        <w:t>Office of Management and Budget. (2002</w:t>
      </w:r>
      <w:r>
        <w:rPr>
          <w:sz w:val="22"/>
          <w:szCs w:val="22"/>
        </w:rPr>
        <w:t>, February 22</w:t>
      </w:r>
      <w:r w:rsidRPr="00A5553C">
        <w:rPr>
          <w:sz w:val="22"/>
          <w:szCs w:val="22"/>
        </w:rPr>
        <w:t xml:space="preserve">). </w:t>
      </w:r>
      <w:r>
        <w:rPr>
          <w:sz w:val="22"/>
          <w:szCs w:val="22"/>
        </w:rPr>
        <w:t>G</w:t>
      </w:r>
      <w:r w:rsidRPr="00A5553C">
        <w:rPr>
          <w:sz w:val="22"/>
          <w:szCs w:val="22"/>
        </w:rPr>
        <w:t xml:space="preserve">uidelines for </w:t>
      </w:r>
      <w:r>
        <w:rPr>
          <w:sz w:val="22"/>
          <w:szCs w:val="22"/>
        </w:rPr>
        <w:t>e</w:t>
      </w:r>
      <w:r w:rsidRPr="00A5553C">
        <w:rPr>
          <w:sz w:val="22"/>
          <w:szCs w:val="22"/>
        </w:rPr>
        <w:t xml:space="preserve">nsuring and </w:t>
      </w:r>
      <w:r>
        <w:rPr>
          <w:sz w:val="22"/>
          <w:szCs w:val="22"/>
        </w:rPr>
        <w:t>m</w:t>
      </w:r>
      <w:r w:rsidRPr="00A5553C">
        <w:rPr>
          <w:sz w:val="22"/>
          <w:szCs w:val="22"/>
        </w:rPr>
        <w:t xml:space="preserve">aximizing the </w:t>
      </w:r>
      <w:r>
        <w:rPr>
          <w:sz w:val="22"/>
          <w:szCs w:val="22"/>
        </w:rPr>
        <w:t>q</w:t>
      </w:r>
      <w:r w:rsidRPr="00A5553C">
        <w:rPr>
          <w:sz w:val="22"/>
          <w:szCs w:val="22"/>
        </w:rPr>
        <w:t xml:space="preserve">uality, </w:t>
      </w:r>
      <w:r>
        <w:rPr>
          <w:sz w:val="22"/>
          <w:szCs w:val="22"/>
        </w:rPr>
        <w:t>o</w:t>
      </w:r>
      <w:r w:rsidRPr="00A5553C">
        <w:rPr>
          <w:sz w:val="22"/>
          <w:szCs w:val="22"/>
        </w:rPr>
        <w:t xml:space="preserve">bjectivity, </w:t>
      </w:r>
      <w:r>
        <w:rPr>
          <w:sz w:val="22"/>
          <w:szCs w:val="22"/>
        </w:rPr>
        <w:t>u</w:t>
      </w:r>
      <w:r w:rsidRPr="00A5553C">
        <w:rPr>
          <w:sz w:val="22"/>
          <w:szCs w:val="22"/>
        </w:rPr>
        <w:t xml:space="preserve">tility, and </w:t>
      </w:r>
      <w:r>
        <w:rPr>
          <w:sz w:val="22"/>
          <w:szCs w:val="22"/>
        </w:rPr>
        <w:t>i</w:t>
      </w:r>
      <w:r w:rsidRPr="00A5553C">
        <w:rPr>
          <w:sz w:val="22"/>
          <w:szCs w:val="22"/>
        </w:rPr>
        <w:t xml:space="preserve">ntegrity of </w:t>
      </w:r>
      <w:r>
        <w:rPr>
          <w:sz w:val="22"/>
          <w:szCs w:val="22"/>
        </w:rPr>
        <w:t>i</w:t>
      </w:r>
      <w:r w:rsidRPr="00A5553C">
        <w:rPr>
          <w:sz w:val="22"/>
          <w:szCs w:val="22"/>
        </w:rPr>
        <w:t xml:space="preserve">nformation </w:t>
      </w:r>
      <w:r>
        <w:rPr>
          <w:sz w:val="22"/>
          <w:szCs w:val="22"/>
        </w:rPr>
        <w:t>d</w:t>
      </w:r>
      <w:r w:rsidRPr="00A5553C">
        <w:rPr>
          <w:sz w:val="22"/>
          <w:szCs w:val="22"/>
        </w:rPr>
        <w:t xml:space="preserve">isseminated by </w:t>
      </w:r>
      <w:r>
        <w:rPr>
          <w:sz w:val="22"/>
          <w:szCs w:val="22"/>
        </w:rPr>
        <w:t>f</w:t>
      </w:r>
      <w:r w:rsidRPr="00A5553C">
        <w:rPr>
          <w:sz w:val="22"/>
          <w:szCs w:val="22"/>
        </w:rPr>
        <w:t xml:space="preserve">ederal </w:t>
      </w:r>
      <w:r>
        <w:rPr>
          <w:sz w:val="22"/>
          <w:szCs w:val="22"/>
        </w:rPr>
        <w:t>a</w:t>
      </w:r>
      <w:r w:rsidRPr="00A5553C">
        <w:rPr>
          <w:sz w:val="22"/>
          <w:szCs w:val="22"/>
        </w:rPr>
        <w:t>gencies</w:t>
      </w:r>
      <w:r>
        <w:rPr>
          <w:sz w:val="22"/>
          <w:szCs w:val="22"/>
        </w:rPr>
        <w:t xml:space="preserve">. </w:t>
      </w:r>
      <w:r>
        <w:rPr>
          <w:i/>
          <w:iCs/>
          <w:sz w:val="22"/>
          <w:szCs w:val="22"/>
        </w:rPr>
        <w:t>Federal Register 67</w:t>
      </w:r>
      <w:r>
        <w:rPr>
          <w:sz w:val="22"/>
          <w:szCs w:val="22"/>
        </w:rPr>
        <w:t xml:space="preserve">(36), 8452–8460. </w:t>
      </w:r>
      <w:hyperlink r:id="rId14" w:tooltip="https://www.whitehouse.gov/sites/whitehouse.gov/files/omb/assets/OMB/fedreg/reproducible2.pdf" w:history="1">
        <w:r w:rsidRPr="003E556F">
          <w:rPr>
            <w:rStyle w:val="Hyperlink"/>
            <w:sz w:val="22"/>
            <w:szCs w:val="22"/>
          </w:rPr>
          <w:t>https://www.whitehouse.gov/sites/whitehouse.gov/files/omb/assets/OMB/fedreg/reproducible2.pdf</w:t>
        </w:r>
      </w:hyperlink>
      <w:r>
        <w:rPr>
          <w:sz w:val="22"/>
          <w:szCs w:val="22"/>
        </w:rPr>
        <w:t xml:space="preserve"> </w:t>
      </w:r>
    </w:p>
  </w:endnote>
  <w:endnote w:id="16">
    <w:p w14:paraId="1588FF38" w14:textId="43B11E3F" w:rsidR="006B305B" w:rsidRPr="00051D5F" w:rsidRDefault="006B305B" w:rsidP="00F17535">
      <w:pPr>
        <w:pStyle w:val="EndnoteText"/>
        <w:spacing w:after="120"/>
        <w:ind w:left="274" w:hanging="274"/>
        <w:rPr>
          <w:sz w:val="22"/>
          <w:szCs w:val="22"/>
        </w:rPr>
      </w:pPr>
      <w:r w:rsidRPr="00051D5F">
        <w:rPr>
          <w:rStyle w:val="EndnoteReference"/>
          <w:sz w:val="22"/>
          <w:szCs w:val="22"/>
        </w:rPr>
        <w:endnoteRef/>
      </w:r>
      <w:r w:rsidRPr="00051D5F">
        <w:rPr>
          <w:sz w:val="22"/>
          <w:szCs w:val="22"/>
        </w:rPr>
        <w:t xml:space="preserve"> United States Geological Survey. (2013). The United States Geological Survey science data lifecycle model. </w:t>
      </w:r>
      <w:hyperlink r:id="rId15" w:tooltip="https://pubs.usgs.gov/of/2013/1265/pdf/of2013-1265.pdf" w:history="1">
        <w:r w:rsidRPr="00051D5F">
          <w:rPr>
            <w:rStyle w:val="Hyperlink"/>
            <w:sz w:val="22"/>
            <w:szCs w:val="22"/>
          </w:rPr>
          <w:t>https://pubs.usgs.gov/of/2013/1265/pdf/of2013-1265.pdf</w:t>
        </w:r>
      </w:hyperlink>
    </w:p>
  </w:endnote>
  <w:endnote w:id="17">
    <w:p w14:paraId="43B3B832" w14:textId="3E07121B" w:rsidR="006B305B" w:rsidRPr="00051D5F" w:rsidRDefault="006B305B" w:rsidP="00F17535">
      <w:pPr>
        <w:pStyle w:val="EndnoteText"/>
        <w:spacing w:after="120"/>
        <w:ind w:left="274" w:hanging="274"/>
        <w:rPr>
          <w:sz w:val="22"/>
          <w:szCs w:val="22"/>
        </w:rPr>
      </w:pPr>
      <w:r w:rsidRPr="00051D5F">
        <w:rPr>
          <w:rStyle w:val="EndnoteReference"/>
          <w:sz w:val="22"/>
          <w:szCs w:val="22"/>
        </w:rPr>
        <w:endnoteRef/>
      </w:r>
      <w:r w:rsidRPr="00051D5F">
        <w:rPr>
          <w:sz w:val="22"/>
          <w:szCs w:val="22"/>
        </w:rPr>
        <w:t xml:space="preserve"> United States Geological Survey. (2010). Data lifecycle models and concepts. </w:t>
      </w:r>
      <w:hyperlink r:id="rId16" w:tooltip="https://my.usgs.gov/confluence/download/attachments/82935852/Data%20Lifecycle%20Models%20and%20Concepts_sm.pdf?version=1&amp;modificationDate=1362680814819&amp;api=v2" w:history="1">
        <w:r w:rsidRPr="00051D5F">
          <w:rPr>
            <w:rStyle w:val="Hyperlink"/>
            <w:sz w:val="22"/>
            <w:szCs w:val="22"/>
          </w:rPr>
          <w:t>https://my.usgs.gov/confluence/download/attachments/82935852/Data%20Lifecycle%20Models%20and%20Concepts_sm.pdf?version=1&amp;modificationDate=1362680814819&amp;api=v2</w:t>
        </w:r>
      </w:hyperlink>
    </w:p>
  </w:endnote>
  <w:endnote w:id="18">
    <w:p w14:paraId="60AE407C" w14:textId="57E1C348" w:rsidR="006B305B" w:rsidRPr="00051D5F" w:rsidRDefault="006B305B" w:rsidP="00F17535">
      <w:pPr>
        <w:pStyle w:val="EndnoteText"/>
        <w:spacing w:after="120"/>
        <w:ind w:left="274" w:hanging="274"/>
        <w:rPr>
          <w:sz w:val="22"/>
          <w:szCs w:val="22"/>
        </w:rPr>
      </w:pPr>
      <w:r w:rsidRPr="00051D5F">
        <w:rPr>
          <w:rStyle w:val="EndnoteReference"/>
          <w:sz w:val="22"/>
          <w:szCs w:val="22"/>
        </w:rPr>
        <w:endnoteRef/>
      </w:r>
      <w:r w:rsidRPr="00051D5F">
        <w:rPr>
          <w:sz w:val="22"/>
          <w:szCs w:val="22"/>
        </w:rPr>
        <w:t xml:space="preserve"> United States Geological Survey. (2013). The United States Geological Survey science data lifecycle model. </w:t>
      </w:r>
      <w:hyperlink r:id="rId17" w:tooltip="https://pubs.usgs.gov/of/2013/1265/pdf/of2013-1265.pdf" w:history="1">
        <w:r w:rsidRPr="00051D5F">
          <w:rPr>
            <w:rStyle w:val="Hyperlink"/>
            <w:sz w:val="22"/>
            <w:szCs w:val="22"/>
          </w:rPr>
          <w:t>https://pubs.usgs.gov/of/2013/1265/pdf/of2013-1265.pdf</w:t>
        </w:r>
      </w:hyperlink>
      <w:r w:rsidRPr="00051D5F">
        <w:rPr>
          <w:sz w:val="22"/>
          <w:szCs w:val="22"/>
        </w:rPr>
        <w:t xml:space="preserve"> </w:t>
      </w:r>
    </w:p>
  </w:endnote>
  <w:endnote w:id="19">
    <w:p w14:paraId="1A256C6F" w14:textId="4901AB60" w:rsidR="006B305B" w:rsidRPr="00051D5F" w:rsidRDefault="006B305B" w:rsidP="00051D5F">
      <w:pPr>
        <w:pStyle w:val="EndnoteText"/>
        <w:spacing w:after="120"/>
        <w:ind w:left="274" w:hanging="274"/>
        <w:rPr>
          <w:sz w:val="22"/>
          <w:szCs w:val="22"/>
        </w:rPr>
      </w:pPr>
      <w:r w:rsidRPr="00051D5F">
        <w:rPr>
          <w:rStyle w:val="EndnoteReference"/>
          <w:sz w:val="22"/>
          <w:szCs w:val="22"/>
        </w:rPr>
        <w:endnoteRef/>
      </w:r>
      <w:r w:rsidRPr="00051D5F">
        <w:rPr>
          <w:sz w:val="22"/>
          <w:szCs w:val="22"/>
        </w:rPr>
        <w:t xml:space="preserve"> National Oceanic and Atmospheric Administration. </w:t>
      </w:r>
      <w:r w:rsidRPr="00051D5F">
        <w:rPr>
          <w:sz w:val="22"/>
          <w:szCs w:val="22"/>
          <w:lang w:val="pt-BR"/>
        </w:rPr>
        <w:t xml:space="preserve">(2010). Metadata. </w:t>
      </w:r>
      <w:hyperlink r:id="rId18" w:tooltip="https://www.ncei.noaa.gov/resources/metadata" w:history="1">
        <w:r w:rsidRPr="00051D5F">
          <w:rPr>
            <w:rStyle w:val="Hyperlink"/>
            <w:sz w:val="22"/>
            <w:szCs w:val="22"/>
            <w:lang w:val="pt-BR"/>
          </w:rPr>
          <w:t>https://www.ncei.noaa.gov/resources/metadata</w:t>
        </w:r>
      </w:hyperlink>
    </w:p>
  </w:endnote>
  <w:endnote w:id="20">
    <w:p w14:paraId="608D7F69" w14:textId="7764ED4B" w:rsidR="006B305B" w:rsidRPr="00051D5F" w:rsidRDefault="006B305B" w:rsidP="00051D5F">
      <w:pPr>
        <w:pStyle w:val="EndnoteText"/>
        <w:spacing w:after="120"/>
        <w:ind w:left="274" w:hanging="274"/>
        <w:rPr>
          <w:sz w:val="22"/>
          <w:szCs w:val="22"/>
        </w:rPr>
      </w:pPr>
      <w:r w:rsidRPr="00051D5F">
        <w:rPr>
          <w:rStyle w:val="EndnoteReference"/>
          <w:sz w:val="22"/>
          <w:szCs w:val="22"/>
        </w:rPr>
        <w:endnoteRef/>
      </w:r>
      <w:r w:rsidRPr="00051D5F">
        <w:rPr>
          <w:sz w:val="22"/>
          <w:szCs w:val="22"/>
        </w:rPr>
        <w:t xml:space="preserve"> Resources.data.gov. (2014). DCAT-US Schema v1.1 (Project Open Data Metadata Schema). </w:t>
      </w:r>
      <w:hyperlink r:id="rId19" w:tooltip="https://resources.data.gov/resources/dcat-us/" w:history="1">
        <w:r w:rsidRPr="00051D5F">
          <w:rPr>
            <w:rStyle w:val="Hyperlink"/>
            <w:sz w:val="22"/>
            <w:szCs w:val="22"/>
          </w:rPr>
          <w:t>https://resources.data.gov/resources/dcat-us/</w:t>
        </w:r>
      </w:hyperlink>
    </w:p>
  </w:endnote>
  <w:endnote w:id="21">
    <w:p w14:paraId="597E5315" w14:textId="7A455800" w:rsidR="006B305B" w:rsidRPr="00051D5F" w:rsidRDefault="006B305B" w:rsidP="00051D5F">
      <w:pPr>
        <w:pStyle w:val="EndnoteText"/>
        <w:spacing w:after="120"/>
        <w:ind w:left="274" w:hanging="274"/>
        <w:rPr>
          <w:sz w:val="22"/>
          <w:szCs w:val="22"/>
        </w:rPr>
      </w:pPr>
      <w:r w:rsidRPr="00051D5F">
        <w:rPr>
          <w:rStyle w:val="EndnoteReference"/>
          <w:sz w:val="22"/>
          <w:szCs w:val="22"/>
        </w:rPr>
        <w:endnoteRef/>
      </w:r>
      <w:r w:rsidRPr="00051D5F">
        <w:rPr>
          <w:sz w:val="22"/>
          <w:szCs w:val="22"/>
        </w:rPr>
        <w:t xml:space="preserve"> National Oceanic and Atmospheric Administration. </w:t>
      </w:r>
      <w:r w:rsidRPr="00051D5F">
        <w:rPr>
          <w:sz w:val="22"/>
          <w:szCs w:val="22"/>
          <w:lang w:val="pt-BR"/>
        </w:rPr>
        <w:t xml:space="preserve">(2010). Metadata. </w:t>
      </w:r>
      <w:hyperlink r:id="rId20" w:tooltip="https://www.ncei.noaa.gov/resources/metadata" w:history="1">
        <w:r w:rsidRPr="00051D5F">
          <w:rPr>
            <w:rStyle w:val="Hyperlink"/>
            <w:sz w:val="22"/>
            <w:szCs w:val="22"/>
            <w:lang w:val="pt-BR"/>
          </w:rPr>
          <w:t>https://www.ncei.noaa.gov/resources/metadata</w:t>
        </w:r>
      </w:hyperlink>
    </w:p>
  </w:endnote>
  <w:endnote w:id="22">
    <w:p w14:paraId="752B83B1" w14:textId="280D5DC2" w:rsidR="006B305B" w:rsidRPr="008B09EE" w:rsidRDefault="006B305B" w:rsidP="00F15881">
      <w:pPr>
        <w:pStyle w:val="EndnoteText"/>
        <w:spacing w:after="120"/>
        <w:ind w:left="270" w:hanging="270"/>
        <w:rPr>
          <w:sz w:val="22"/>
          <w:szCs w:val="22"/>
        </w:rPr>
      </w:pPr>
      <w:r w:rsidRPr="008B09EE">
        <w:rPr>
          <w:rStyle w:val="EndnoteReference"/>
          <w:sz w:val="22"/>
          <w:szCs w:val="22"/>
        </w:rPr>
        <w:endnoteRef/>
      </w:r>
      <w:r w:rsidRPr="008B09EE">
        <w:rPr>
          <w:sz w:val="22"/>
          <w:szCs w:val="22"/>
        </w:rPr>
        <w:t xml:space="preserve"> </w:t>
      </w:r>
      <w:r w:rsidRPr="00DC606F">
        <w:rPr>
          <w:i/>
          <w:iCs/>
          <w:sz w:val="22"/>
          <w:szCs w:val="22"/>
        </w:rPr>
        <w:t xml:space="preserve">H.R.4174 - Foundations for Evidence-Based Policymaking Act of 2018. </w:t>
      </w:r>
      <w:hyperlink r:id="rId21" w:tooltip="https://www.congress.gov/bill/115th-congress/house-bill/4174/text" w:history="1">
        <w:r w:rsidRPr="008B09EE">
          <w:rPr>
            <w:rStyle w:val="Hyperlink"/>
            <w:sz w:val="22"/>
            <w:szCs w:val="22"/>
          </w:rPr>
          <w:t>https://www.congress.gov/bill/115th-congress/house-bill/4174/text</w:t>
        </w:r>
      </w:hyperlink>
      <w:r w:rsidRPr="008B09EE">
        <w:rPr>
          <w:sz w:val="22"/>
          <w:szCs w:val="22"/>
        </w:rPr>
        <w:t xml:space="preserve"> </w:t>
      </w:r>
    </w:p>
  </w:endnote>
  <w:endnote w:id="23">
    <w:p w14:paraId="21681FA2" w14:textId="6CF601AD" w:rsidR="006B305B" w:rsidRPr="00E26464" w:rsidRDefault="006B305B" w:rsidP="00F15881">
      <w:pPr>
        <w:pStyle w:val="EndnoteText"/>
        <w:spacing w:after="120"/>
        <w:ind w:left="270" w:hanging="270"/>
        <w:rPr>
          <w:sz w:val="22"/>
          <w:szCs w:val="22"/>
        </w:rPr>
      </w:pPr>
      <w:r>
        <w:rPr>
          <w:rStyle w:val="EndnoteReference"/>
        </w:rPr>
        <w:endnoteRef/>
      </w:r>
      <w:r>
        <w:t xml:space="preserve"> </w:t>
      </w:r>
      <w:r>
        <w:rPr>
          <w:sz w:val="22"/>
          <w:szCs w:val="22"/>
        </w:rPr>
        <w:t xml:space="preserve">Burwell, S. M., VanRoekel, S., Park, T., &amp; Mancini, D. J. (2013, May 9). </w:t>
      </w:r>
      <w:r>
        <w:rPr>
          <w:i/>
          <w:iCs/>
          <w:sz w:val="22"/>
          <w:szCs w:val="22"/>
        </w:rPr>
        <w:t xml:space="preserve">Open data policy: Managing information as an asset </w:t>
      </w:r>
      <w:r>
        <w:rPr>
          <w:sz w:val="22"/>
          <w:szCs w:val="22"/>
        </w:rPr>
        <w:t xml:space="preserve">(Memorandum M-13-13). Office of Management and Budget. </w:t>
      </w:r>
      <w:hyperlink r:id="rId22" w:tooltip="https://www.whitehouse.gov/sites/whitehouse.gov/files/omb/memoranda/2013/m-13-13.pdf" w:history="1">
        <w:r w:rsidRPr="00F66905">
          <w:rPr>
            <w:rStyle w:val="Hyperlink"/>
            <w:sz w:val="22"/>
            <w:szCs w:val="22"/>
          </w:rPr>
          <w:t>https://www.whitehouse.gov/sites/whitehouse.gov/files/omb/memoranda/2013/m-13-13.pdf</w:t>
        </w:r>
      </w:hyperlink>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95149"/>
      <w:docPartObj>
        <w:docPartGallery w:val="Page Numbers (Bottom of Page)"/>
        <w:docPartUnique/>
      </w:docPartObj>
    </w:sdtPr>
    <w:sdtEndPr>
      <w:rPr>
        <w:noProof/>
      </w:rPr>
    </w:sdtEndPr>
    <w:sdtContent>
      <w:p w14:paraId="5C93312C" w14:textId="2AB4305B" w:rsidR="006B305B" w:rsidRDefault="005A473B" w:rsidP="0074326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45217"/>
      <w:docPartObj>
        <w:docPartGallery w:val="Page Numbers (Bottom of Page)"/>
        <w:docPartUnique/>
      </w:docPartObj>
    </w:sdtPr>
    <w:sdtEndPr>
      <w:rPr>
        <w:noProof/>
      </w:rPr>
    </w:sdtEndPr>
    <w:sdtContent>
      <w:p w14:paraId="298274A7" w14:textId="4C010CCE" w:rsidR="006B305B" w:rsidRDefault="006B305B" w:rsidP="0074326F">
        <w:pPr>
          <w:pStyle w:val="Footer"/>
          <w:jc w:val="center"/>
        </w:pPr>
        <w:r>
          <w:fldChar w:fldCharType="begin"/>
        </w:r>
        <w:r>
          <w:instrText xml:space="preserve"> PAGE   \* MERGEFORMAT </w:instrText>
        </w:r>
        <w:r>
          <w:fldChar w:fldCharType="separate"/>
        </w:r>
        <w:r w:rsidR="00F3683A">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46997"/>
      <w:docPartObj>
        <w:docPartGallery w:val="Page Numbers (Bottom of Page)"/>
        <w:docPartUnique/>
      </w:docPartObj>
    </w:sdtPr>
    <w:sdtEndPr>
      <w:rPr>
        <w:noProof/>
      </w:rPr>
    </w:sdtEndPr>
    <w:sdtContent>
      <w:p w14:paraId="41C6DDAB" w14:textId="5DA546EA" w:rsidR="006B305B" w:rsidRDefault="006B305B" w:rsidP="0074326F">
        <w:pPr>
          <w:pStyle w:val="Footer"/>
          <w:jc w:val="center"/>
        </w:pPr>
        <w:r>
          <w:fldChar w:fldCharType="begin"/>
        </w:r>
        <w:r>
          <w:instrText xml:space="preserve"> PAGE   \* MERGEFORMAT </w:instrText>
        </w:r>
        <w:r>
          <w:fldChar w:fldCharType="separate"/>
        </w:r>
        <w:r w:rsidR="00F3683A">
          <w:rPr>
            <w:noProof/>
          </w:rPr>
          <w:t>17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810235"/>
      <w:docPartObj>
        <w:docPartGallery w:val="Page Numbers (Bottom of Page)"/>
        <w:docPartUnique/>
      </w:docPartObj>
    </w:sdtPr>
    <w:sdtEndPr>
      <w:rPr>
        <w:noProof/>
      </w:rPr>
    </w:sdtEndPr>
    <w:sdtContent>
      <w:p w14:paraId="6E9AFF6D" w14:textId="61722415" w:rsidR="006B305B" w:rsidRPr="00C90DCE" w:rsidRDefault="006B305B" w:rsidP="00CC0860">
        <w:pPr>
          <w:pStyle w:val="Footer"/>
          <w:jc w:val="center"/>
        </w:pPr>
        <w:r>
          <w:fldChar w:fldCharType="begin"/>
        </w:r>
        <w:r>
          <w:instrText xml:space="preserve"> PAGE   \* MERGEFORMAT </w:instrText>
        </w:r>
        <w:r>
          <w:fldChar w:fldCharType="separate"/>
        </w:r>
        <w:r w:rsidR="00F3683A">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B1231" w14:textId="77777777" w:rsidR="005A473B" w:rsidRDefault="005A473B" w:rsidP="0074326F">
      <w:pPr>
        <w:spacing w:after="0" w:line="240" w:lineRule="auto"/>
      </w:pPr>
      <w:r>
        <w:separator/>
      </w:r>
    </w:p>
  </w:footnote>
  <w:footnote w:type="continuationSeparator" w:id="0">
    <w:p w14:paraId="0BB0DF2C" w14:textId="77777777" w:rsidR="005A473B" w:rsidRDefault="005A473B" w:rsidP="0074326F">
      <w:pPr>
        <w:spacing w:after="0" w:line="240" w:lineRule="auto"/>
      </w:pPr>
      <w:r>
        <w:continuationSeparator/>
      </w:r>
    </w:p>
  </w:footnote>
  <w:footnote w:id="1">
    <w:p w14:paraId="0773CFFF" w14:textId="3CBD6EFF" w:rsidR="006B305B" w:rsidRDefault="006B305B">
      <w:pPr>
        <w:pStyle w:val="FootnoteText"/>
      </w:pPr>
      <w:r>
        <w:rPr>
          <w:rStyle w:val="FootnoteReference"/>
        </w:rPr>
        <w:footnoteRef/>
      </w:r>
      <w:r>
        <w:t xml:space="preserve"> </w:t>
      </w:r>
      <w:r w:rsidRPr="0035700F">
        <w:t xml:space="preserve">The government-wide resources repository required by the </w:t>
      </w:r>
      <w:r w:rsidRPr="008B09EE">
        <w:t>Foundations for Evidence-Based Policymaking Act of 2018</w:t>
      </w:r>
      <w:r>
        <w:t xml:space="preserve"> (</w:t>
      </w:r>
      <w:r w:rsidRPr="0035700F">
        <w:t>Evidence Act</w:t>
      </w:r>
      <w:r>
        <w:t>)</w:t>
      </w:r>
      <w:r w:rsidRPr="0035700F">
        <w:t xml:space="preserve">, </w:t>
      </w:r>
      <w:hyperlink r:id="rId1" w:history="1">
        <w:r w:rsidRPr="0035700F">
          <w:rPr>
            <w:rStyle w:val="Hyperlink"/>
          </w:rPr>
          <w:t>resources.data.gov</w:t>
        </w:r>
      </w:hyperlink>
      <w:r w:rsidRPr="0035700F">
        <w:t>, includes a collection of references and examples of commonly used data maturity assessment models, including both open-source and proprietary models</w:t>
      </w:r>
      <w:r>
        <w:t>.</w:t>
      </w:r>
    </w:p>
  </w:footnote>
  <w:footnote w:id="2">
    <w:p w14:paraId="24371FEB" w14:textId="51B3AE7F" w:rsidR="006B305B" w:rsidRDefault="006B305B" w:rsidP="00F15881">
      <w:pPr>
        <w:pStyle w:val="FootnoteText"/>
        <w:ind w:left="90" w:hanging="90"/>
      </w:pPr>
      <w:r>
        <w:rPr>
          <w:rStyle w:val="FootnoteReference"/>
        </w:rPr>
        <w:footnoteRef/>
      </w:r>
      <w:r>
        <w:t xml:space="preserve"> The Federal Committee on Statistical Methodology (FCSM) established its Working Group on Transparent Quality Reporting in the Integration of Multiple Data Sources in 2017. One of the key projects of the working group was to examine current practices for transparent reporting and identify improvements. For a report on the project, see: </w:t>
      </w:r>
      <w:r w:rsidRPr="00066FD3">
        <w:t xml:space="preserve">Prell, M., Chapman, C., Adeshiyan, S., Fixler, D., Garin, T., Mirel, L., &amp; Phipps, P. (2019). </w:t>
      </w:r>
      <w:r w:rsidRPr="00DC606F">
        <w:rPr>
          <w:i/>
          <w:iCs/>
        </w:rPr>
        <w:t>Transparent reporting for integrated data quality: Practices of seven federal statistical agencies</w:t>
      </w:r>
      <w:r w:rsidRPr="00066FD3">
        <w:t xml:space="preserve"> </w:t>
      </w:r>
      <w:r>
        <w:t>(</w:t>
      </w:r>
      <w:r w:rsidRPr="00066FD3">
        <w:t>FCSM 19-01</w:t>
      </w:r>
      <w:r>
        <w:t>)</w:t>
      </w:r>
      <w:r w:rsidRPr="00066FD3">
        <w:t xml:space="preserve">. Federal Committee on Statistical Methodology. </w:t>
      </w:r>
      <w:hyperlink r:id="rId2" w:tooltip="https://nces.ed.gov/FCSM/pdf/Transparent_Reporting_FCSM_19.01.pdf" w:history="1">
        <w:r w:rsidRPr="0095089E">
          <w:rPr>
            <w:rStyle w:val="Hyperlink"/>
          </w:rPr>
          <w:t>https://nces.ed.gov/FCSM/pdf/Transparent_Reporting_FCSM_19.01.pdf</w:t>
        </w:r>
      </w:hyperlink>
      <w:r>
        <w:t xml:space="preserve"> </w:t>
      </w:r>
    </w:p>
  </w:footnote>
  <w:footnote w:id="3">
    <w:p w14:paraId="71D04991" w14:textId="77777777" w:rsidR="006B305B" w:rsidRDefault="006B305B" w:rsidP="00F15881">
      <w:pPr>
        <w:pStyle w:val="FootnoteText"/>
        <w:ind w:left="90" w:hanging="90"/>
      </w:pPr>
      <w:r>
        <w:rPr>
          <w:rStyle w:val="FootnoteReference"/>
        </w:rPr>
        <w:footnoteRef/>
      </w:r>
      <w:r>
        <w:t xml:space="preserve"> Section 515 of the Treasury and General Government Appropriations Act for FY2001 (Public Law 106–554) directed the Office of Management and Budget to issue government-wide guidelines that provide policy and procedural guidance to federal agencies for ensuring and maximizing the quality, objectivity, utility, and integrity of information, including statistical information, disseminated by federal agencies.</w:t>
      </w:r>
    </w:p>
  </w:footnote>
  <w:footnote w:id="4">
    <w:p w14:paraId="275B769C" w14:textId="24B6E23F" w:rsidR="006B305B" w:rsidRDefault="006B305B">
      <w:pPr>
        <w:pStyle w:val="FootnoteText"/>
      </w:pPr>
      <w:r>
        <w:rPr>
          <w:rStyle w:val="FootnoteReference"/>
        </w:rPr>
        <w:footnoteRef/>
      </w:r>
      <w:r>
        <w:t xml:space="preserve"> </w:t>
      </w:r>
      <w:r w:rsidRPr="004A1928">
        <w:rPr>
          <w:sz w:val="18"/>
          <w:szCs w:val="18"/>
        </w:rPr>
        <w:t xml:space="preserve">Executive Office of the President. (n.d.). The Federal Government Data Maturity Model. </w:t>
      </w:r>
      <w:hyperlink r:id="rId3" w:tooltip="Federal Government Data Maturity Model PDF" w:history="1">
        <w:r w:rsidRPr="004A1928">
          <w:rPr>
            <w:rStyle w:val="Hyperlink"/>
            <w:sz w:val="18"/>
            <w:szCs w:val="18"/>
          </w:rPr>
          <w:t>https://my.usgs.gov/confluence/download/attachments/624464994/Federal%20Government%20Data%20Maturity%20Model.pdf?api=v2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3809" w14:textId="5C370D5D" w:rsidR="006B305B" w:rsidRDefault="006B305B" w:rsidP="0007649E">
    <w:pPr>
      <w:pStyle w:val="Header"/>
      <w:ind w:right="-99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29A"/>
    <w:multiLevelType w:val="multilevel"/>
    <w:tmpl w:val="1AC69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F7135"/>
    <w:multiLevelType w:val="hybridMultilevel"/>
    <w:tmpl w:val="B77A699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C7BB8"/>
    <w:multiLevelType w:val="hybridMultilevel"/>
    <w:tmpl w:val="64F221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BC6300"/>
    <w:multiLevelType w:val="multilevel"/>
    <w:tmpl w:val="8618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B55ED"/>
    <w:multiLevelType w:val="hybridMultilevel"/>
    <w:tmpl w:val="4FDC34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F251E2"/>
    <w:multiLevelType w:val="hybridMultilevel"/>
    <w:tmpl w:val="2BB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C71"/>
    <w:multiLevelType w:val="hybridMultilevel"/>
    <w:tmpl w:val="890C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D12C9"/>
    <w:multiLevelType w:val="hybridMultilevel"/>
    <w:tmpl w:val="937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3EA2"/>
    <w:multiLevelType w:val="hybridMultilevel"/>
    <w:tmpl w:val="2EAC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F469F"/>
    <w:multiLevelType w:val="hybridMultilevel"/>
    <w:tmpl w:val="201C19D8"/>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E1738B"/>
    <w:multiLevelType w:val="hybridMultilevel"/>
    <w:tmpl w:val="B330C288"/>
    <w:lvl w:ilvl="0" w:tplc="BD3EA47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446DF"/>
    <w:multiLevelType w:val="hybridMultilevel"/>
    <w:tmpl w:val="206C4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014570"/>
    <w:multiLevelType w:val="hybridMultilevel"/>
    <w:tmpl w:val="2AE269BA"/>
    <w:lvl w:ilvl="0" w:tplc="F68625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27DA4"/>
    <w:multiLevelType w:val="hybridMultilevel"/>
    <w:tmpl w:val="9842A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069C5"/>
    <w:multiLevelType w:val="hybridMultilevel"/>
    <w:tmpl w:val="CF9C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35A76"/>
    <w:multiLevelType w:val="hybridMultilevel"/>
    <w:tmpl w:val="09347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7151C"/>
    <w:multiLevelType w:val="hybridMultilevel"/>
    <w:tmpl w:val="0A1E5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402D3"/>
    <w:multiLevelType w:val="hybridMultilevel"/>
    <w:tmpl w:val="1D98B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D047B"/>
    <w:multiLevelType w:val="hybridMultilevel"/>
    <w:tmpl w:val="35A66B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6321BB"/>
    <w:multiLevelType w:val="hybridMultilevel"/>
    <w:tmpl w:val="6B40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67711"/>
    <w:multiLevelType w:val="multilevel"/>
    <w:tmpl w:val="0E5415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4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BB1555"/>
    <w:multiLevelType w:val="hybridMultilevel"/>
    <w:tmpl w:val="B330C288"/>
    <w:lvl w:ilvl="0" w:tplc="BD3EA47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62A01"/>
    <w:multiLevelType w:val="hybridMultilevel"/>
    <w:tmpl w:val="EE085346"/>
    <w:lvl w:ilvl="0" w:tplc="220EFED6">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9"/>
  </w:num>
  <w:num w:numId="5">
    <w:abstractNumId w:val="15"/>
  </w:num>
  <w:num w:numId="6">
    <w:abstractNumId w:val="4"/>
  </w:num>
  <w:num w:numId="7">
    <w:abstractNumId w:val="10"/>
  </w:num>
  <w:num w:numId="8">
    <w:abstractNumId w:val="12"/>
  </w:num>
  <w:num w:numId="9">
    <w:abstractNumId w:val="19"/>
  </w:num>
  <w:num w:numId="10">
    <w:abstractNumId w:val="11"/>
  </w:num>
  <w:num w:numId="11">
    <w:abstractNumId w:val="18"/>
  </w:num>
  <w:num w:numId="12">
    <w:abstractNumId w:val="17"/>
  </w:num>
  <w:num w:numId="13">
    <w:abstractNumId w:val="14"/>
  </w:num>
  <w:num w:numId="14">
    <w:abstractNumId w:val="7"/>
  </w:num>
  <w:num w:numId="15">
    <w:abstractNumId w:val="13"/>
  </w:num>
  <w:num w:numId="16">
    <w:abstractNumId w:val="6"/>
  </w:num>
  <w:num w:numId="17">
    <w:abstractNumId w:val="1"/>
  </w:num>
  <w:num w:numId="18">
    <w:abstractNumId w:val="21"/>
  </w:num>
  <w:num w:numId="19">
    <w:abstractNumId w:val="22"/>
  </w:num>
  <w:num w:numId="20">
    <w:abstractNumId w:val="5"/>
  </w:num>
  <w:num w:numId="21">
    <w:abstractNumId w:val="16"/>
  </w:num>
  <w:num w:numId="22">
    <w:abstractNumId w:val="3"/>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A8"/>
    <w:rsid w:val="00001630"/>
    <w:rsid w:val="00001A91"/>
    <w:rsid w:val="00015EBC"/>
    <w:rsid w:val="00025997"/>
    <w:rsid w:val="00037287"/>
    <w:rsid w:val="00051D5F"/>
    <w:rsid w:val="00061143"/>
    <w:rsid w:val="00065B5E"/>
    <w:rsid w:val="00066AB1"/>
    <w:rsid w:val="000716B4"/>
    <w:rsid w:val="00074B90"/>
    <w:rsid w:val="0007649E"/>
    <w:rsid w:val="00085039"/>
    <w:rsid w:val="000A0327"/>
    <w:rsid w:val="000B2F81"/>
    <w:rsid w:val="000D1C80"/>
    <w:rsid w:val="000D5347"/>
    <w:rsid w:val="000E34E3"/>
    <w:rsid w:val="000F2B34"/>
    <w:rsid w:val="00134BDA"/>
    <w:rsid w:val="001573DF"/>
    <w:rsid w:val="00166A80"/>
    <w:rsid w:val="00171750"/>
    <w:rsid w:val="001874D1"/>
    <w:rsid w:val="001A08E3"/>
    <w:rsid w:val="001A5900"/>
    <w:rsid w:val="001B5EDF"/>
    <w:rsid w:val="001B63DC"/>
    <w:rsid w:val="001C00E3"/>
    <w:rsid w:val="001C5802"/>
    <w:rsid w:val="001F0FCC"/>
    <w:rsid w:val="002161AF"/>
    <w:rsid w:val="002305DD"/>
    <w:rsid w:val="00235A39"/>
    <w:rsid w:val="00244F1B"/>
    <w:rsid w:val="00247916"/>
    <w:rsid w:val="00263939"/>
    <w:rsid w:val="0026569E"/>
    <w:rsid w:val="00267DAB"/>
    <w:rsid w:val="00270466"/>
    <w:rsid w:val="00273779"/>
    <w:rsid w:val="00275AB6"/>
    <w:rsid w:val="00282B3D"/>
    <w:rsid w:val="0028601F"/>
    <w:rsid w:val="00293345"/>
    <w:rsid w:val="002A459E"/>
    <w:rsid w:val="002A7FEF"/>
    <w:rsid w:val="002B121B"/>
    <w:rsid w:val="002B7DA7"/>
    <w:rsid w:val="002C066E"/>
    <w:rsid w:val="002C1B80"/>
    <w:rsid w:val="002C4C4B"/>
    <w:rsid w:val="002C7F74"/>
    <w:rsid w:val="002D0793"/>
    <w:rsid w:val="002D0953"/>
    <w:rsid w:val="002D4BC8"/>
    <w:rsid w:val="002D73E8"/>
    <w:rsid w:val="002E5985"/>
    <w:rsid w:val="002F1874"/>
    <w:rsid w:val="0032656D"/>
    <w:rsid w:val="003274BE"/>
    <w:rsid w:val="00344A74"/>
    <w:rsid w:val="0035420E"/>
    <w:rsid w:val="0035700F"/>
    <w:rsid w:val="00357729"/>
    <w:rsid w:val="0039037A"/>
    <w:rsid w:val="0039596F"/>
    <w:rsid w:val="003972E5"/>
    <w:rsid w:val="003B4C48"/>
    <w:rsid w:val="003D27AA"/>
    <w:rsid w:val="003D42CB"/>
    <w:rsid w:val="003F3397"/>
    <w:rsid w:val="003F38DD"/>
    <w:rsid w:val="00407A9E"/>
    <w:rsid w:val="004107D2"/>
    <w:rsid w:val="00410921"/>
    <w:rsid w:val="0042232A"/>
    <w:rsid w:val="00432D2A"/>
    <w:rsid w:val="00433066"/>
    <w:rsid w:val="00441B2F"/>
    <w:rsid w:val="00443059"/>
    <w:rsid w:val="00452837"/>
    <w:rsid w:val="00457980"/>
    <w:rsid w:val="004879A8"/>
    <w:rsid w:val="0049661B"/>
    <w:rsid w:val="004A5DC1"/>
    <w:rsid w:val="004D2EEA"/>
    <w:rsid w:val="004D4927"/>
    <w:rsid w:val="004D5F22"/>
    <w:rsid w:val="004E1242"/>
    <w:rsid w:val="004E2E16"/>
    <w:rsid w:val="004E62E2"/>
    <w:rsid w:val="00503AB3"/>
    <w:rsid w:val="0050561B"/>
    <w:rsid w:val="00514B42"/>
    <w:rsid w:val="00524773"/>
    <w:rsid w:val="00533D36"/>
    <w:rsid w:val="00541DB9"/>
    <w:rsid w:val="00543F93"/>
    <w:rsid w:val="00545041"/>
    <w:rsid w:val="0055201C"/>
    <w:rsid w:val="00562F42"/>
    <w:rsid w:val="00564149"/>
    <w:rsid w:val="005926B1"/>
    <w:rsid w:val="005950F2"/>
    <w:rsid w:val="005A473B"/>
    <w:rsid w:val="005B1F5C"/>
    <w:rsid w:val="005C037F"/>
    <w:rsid w:val="005C0B1D"/>
    <w:rsid w:val="005D2449"/>
    <w:rsid w:val="005D451F"/>
    <w:rsid w:val="005F01F8"/>
    <w:rsid w:val="0060614C"/>
    <w:rsid w:val="0062438E"/>
    <w:rsid w:val="00635AC8"/>
    <w:rsid w:val="00641EE8"/>
    <w:rsid w:val="00662FAE"/>
    <w:rsid w:val="00673586"/>
    <w:rsid w:val="00676AC9"/>
    <w:rsid w:val="00687E54"/>
    <w:rsid w:val="00695C53"/>
    <w:rsid w:val="00696983"/>
    <w:rsid w:val="006A4756"/>
    <w:rsid w:val="006A597D"/>
    <w:rsid w:val="006B09C8"/>
    <w:rsid w:val="006B305B"/>
    <w:rsid w:val="006B5268"/>
    <w:rsid w:val="006C7096"/>
    <w:rsid w:val="006D0108"/>
    <w:rsid w:val="006E106C"/>
    <w:rsid w:val="006E3225"/>
    <w:rsid w:val="006E783A"/>
    <w:rsid w:val="006F7FB5"/>
    <w:rsid w:val="00703063"/>
    <w:rsid w:val="007033E1"/>
    <w:rsid w:val="00710128"/>
    <w:rsid w:val="007125B6"/>
    <w:rsid w:val="00722D72"/>
    <w:rsid w:val="007261AC"/>
    <w:rsid w:val="007278C8"/>
    <w:rsid w:val="007340F5"/>
    <w:rsid w:val="00734809"/>
    <w:rsid w:val="00736D8E"/>
    <w:rsid w:val="007416D9"/>
    <w:rsid w:val="0074326F"/>
    <w:rsid w:val="00747A0D"/>
    <w:rsid w:val="0075709F"/>
    <w:rsid w:val="00757808"/>
    <w:rsid w:val="00770338"/>
    <w:rsid w:val="00782963"/>
    <w:rsid w:val="00794F7C"/>
    <w:rsid w:val="007B3C24"/>
    <w:rsid w:val="007C2D95"/>
    <w:rsid w:val="007C36B9"/>
    <w:rsid w:val="007D4821"/>
    <w:rsid w:val="007D5675"/>
    <w:rsid w:val="007E37A7"/>
    <w:rsid w:val="007F00AA"/>
    <w:rsid w:val="00805AFD"/>
    <w:rsid w:val="00805F2C"/>
    <w:rsid w:val="00820823"/>
    <w:rsid w:val="00821EF9"/>
    <w:rsid w:val="00824EDE"/>
    <w:rsid w:val="00842E42"/>
    <w:rsid w:val="00845FAB"/>
    <w:rsid w:val="0084656F"/>
    <w:rsid w:val="008552E0"/>
    <w:rsid w:val="0087055F"/>
    <w:rsid w:val="00871944"/>
    <w:rsid w:val="00880ABA"/>
    <w:rsid w:val="008864B8"/>
    <w:rsid w:val="00886796"/>
    <w:rsid w:val="008A740A"/>
    <w:rsid w:val="008B09EE"/>
    <w:rsid w:val="008C41B5"/>
    <w:rsid w:val="008E0C0A"/>
    <w:rsid w:val="008E5FEB"/>
    <w:rsid w:val="008F2DA0"/>
    <w:rsid w:val="009000C1"/>
    <w:rsid w:val="009209D3"/>
    <w:rsid w:val="00923487"/>
    <w:rsid w:val="009266E3"/>
    <w:rsid w:val="00932476"/>
    <w:rsid w:val="00942EF5"/>
    <w:rsid w:val="00951DE8"/>
    <w:rsid w:val="00962746"/>
    <w:rsid w:val="0097163F"/>
    <w:rsid w:val="009729D8"/>
    <w:rsid w:val="0097327E"/>
    <w:rsid w:val="0097683D"/>
    <w:rsid w:val="00996778"/>
    <w:rsid w:val="009975C6"/>
    <w:rsid w:val="009B270A"/>
    <w:rsid w:val="009C20BC"/>
    <w:rsid w:val="009C3694"/>
    <w:rsid w:val="009C767D"/>
    <w:rsid w:val="009D0462"/>
    <w:rsid w:val="009D74D3"/>
    <w:rsid w:val="009E0B54"/>
    <w:rsid w:val="009E1893"/>
    <w:rsid w:val="009E22A7"/>
    <w:rsid w:val="009E41D3"/>
    <w:rsid w:val="009F3A3D"/>
    <w:rsid w:val="009F5DDC"/>
    <w:rsid w:val="00A0717F"/>
    <w:rsid w:val="00A224C2"/>
    <w:rsid w:val="00A34DE7"/>
    <w:rsid w:val="00A432A0"/>
    <w:rsid w:val="00A50484"/>
    <w:rsid w:val="00A5553C"/>
    <w:rsid w:val="00A56BB3"/>
    <w:rsid w:val="00A60B8C"/>
    <w:rsid w:val="00A631DA"/>
    <w:rsid w:val="00A712A5"/>
    <w:rsid w:val="00A73874"/>
    <w:rsid w:val="00A76ADE"/>
    <w:rsid w:val="00A76E54"/>
    <w:rsid w:val="00A80B65"/>
    <w:rsid w:val="00AA24A6"/>
    <w:rsid w:val="00AA4D0A"/>
    <w:rsid w:val="00AB3295"/>
    <w:rsid w:val="00AE3C40"/>
    <w:rsid w:val="00AF1A22"/>
    <w:rsid w:val="00AF2DD3"/>
    <w:rsid w:val="00AF3F61"/>
    <w:rsid w:val="00B2134B"/>
    <w:rsid w:val="00B22086"/>
    <w:rsid w:val="00B222DA"/>
    <w:rsid w:val="00B27D36"/>
    <w:rsid w:val="00B3246C"/>
    <w:rsid w:val="00B32B04"/>
    <w:rsid w:val="00B41818"/>
    <w:rsid w:val="00B5102C"/>
    <w:rsid w:val="00B54164"/>
    <w:rsid w:val="00B6349B"/>
    <w:rsid w:val="00B634E6"/>
    <w:rsid w:val="00B7091C"/>
    <w:rsid w:val="00B7157F"/>
    <w:rsid w:val="00B92640"/>
    <w:rsid w:val="00BC3326"/>
    <w:rsid w:val="00BC57FF"/>
    <w:rsid w:val="00BD4C0E"/>
    <w:rsid w:val="00BE0D07"/>
    <w:rsid w:val="00BF4E1E"/>
    <w:rsid w:val="00C00F25"/>
    <w:rsid w:val="00C17D01"/>
    <w:rsid w:val="00C26C9D"/>
    <w:rsid w:val="00C346AE"/>
    <w:rsid w:val="00C43705"/>
    <w:rsid w:val="00C43B15"/>
    <w:rsid w:val="00C44B72"/>
    <w:rsid w:val="00C4726B"/>
    <w:rsid w:val="00C52A31"/>
    <w:rsid w:val="00C60C15"/>
    <w:rsid w:val="00C634DD"/>
    <w:rsid w:val="00C63C88"/>
    <w:rsid w:val="00C63DD0"/>
    <w:rsid w:val="00C7219C"/>
    <w:rsid w:val="00C7332A"/>
    <w:rsid w:val="00C96EB8"/>
    <w:rsid w:val="00CA54C0"/>
    <w:rsid w:val="00CA7A2F"/>
    <w:rsid w:val="00CB09AB"/>
    <w:rsid w:val="00CB2850"/>
    <w:rsid w:val="00CC0860"/>
    <w:rsid w:val="00CD66B1"/>
    <w:rsid w:val="00CE2FA7"/>
    <w:rsid w:val="00CE483C"/>
    <w:rsid w:val="00CE700B"/>
    <w:rsid w:val="00CF4DA8"/>
    <w:rsid w:val="00CF584F"/>
    <w:rsid w:val="00CF6354"/>
    <w:rsid w:val="00D0314D"/>
    <w:rsid w:val="00D11D2C"/>
    <w:rsid w:val="00D14840"/>
    <w:rsid w:val="00D25EEA"/>
    <w:rsid w:val="00D4656C"/>
    <w:rsid w:val="00D4780E"/>
    <w:rsid w:val="00D62B65"/>
    <w:rsid w:val="00D650A8"/>
    <w:rsid w:val="00D65EA5"/>
    <w:rsid w:val="00D72BF5"/>
    <w:rsid w:val="00D72E02"/>
    <w:rsid w:val="00D74C4B"/>
    <w:rsid w:val="00D815F0"/>
    <w:rsid w:val="00D92457"/>
    <w:rsid w:val="00D93007"/>
    <w:rsid w:val="00D971DC"/>
    <w:rsid w:val="00DA2B3A"/>
    <w:rsid w:val="00DA4ADB"/>
    <w:rsid w:val="00DA57E2"/>
    <w:rsid w:val="00DA729D"/>
    <w:rsid w:val="00DB3B91"/>
    <w:rsid w:val="00DC0583"/>
    <w:rsid w:val="00DD2F7B"/>
    <w:rsid w:val="00DD327C"/>
    <w:rsid w:val="00DD7938"/>
    <w:rsid w:val="00DF28DB"/>
    <w:rsid w:val="00DF30A2"/>
    <w:rsid w:val="00DF5972"/>
    <w:rsid w:val="00DF6D6C"/>
    <w:rsid w:val="00E12EB6"/>
    <w:rsid w:val="00E17DF1"/>
    <w:rsid w:val="00E26464"/>
    <w:rsid w:val="00E441BE"/>
    <w:rsid w:val="00E600BC"/>
    <w:rsid w:val="00E64F42"/>
    <w:rsid w:val="00E7266E"/>
    <w:rsid w:val="00E81D5C"/>
    <w:rsid w:val="00E92D66"/>
    <w:rsid w:val="00E96AD7"/>
    <w:rsid w:val="00EA6E93"/>
    <w:rsid w:val="00EB094A"/>
    <w:rsid w:val="00EB4252"/>
    <w:rsid w:val="00EF62F2"/>
    <w:rsid w:val="00EF73B1"/>
    <w:rsid w:val="00F03B2B"/>
    <w:rsid w:val="00F03BE1"/>
    <w:rsid w:val="00F03D03"/>
    <w:rsid w:val="00F1034C"/>
    <w:rsid w:val="00F13517"/>
    <w:rsid w:val="00F15881"/>
    <w:rsid w:val="00F17535"/>
    <w:rsid w:val="00F26F3C"/>
    <w:rsid w:val="00F32E0F"/>
    <w:rsid w:val="00F34948"/>
    <w:rsid w:val="00F3683A"/>
    <w:rsid w:val="00F43F4E"/>
    <w:rsid w:val="00F56298"/>
    <w:rsid w:val="00F56CE6"/>
    <w:rsid w:val="00F60620"/>
    <w:rsid w:val="00F65B0A"/>
    <w:rsid w:val="00F670D4"/>
    <w:rsid w:val="00F96B2B"/>
    <w:rsid w:val="00FB0E9E"/>
    <w:rsid w:val="00FB3C96"/>
    <w:rsid w:val="00FD1A9F"/>
    <w:rsid w:val="00FD2E18"/>
    <w:rsid w:val="00FD6B3A"/>
    <w:rsid w:val="00FE4D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643D"/>
  <w15:chartTrackingRefBased/>
  <w15:docId w15:val="{ACE92563-5ED5-4124-8D00-8AEFA85C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B6"/>
  </w:style>
  <w:style w:type="paragraph" w:styleId="Heading1">
    <w:name w:val="heading 1"/>
    <w:basedOn w:val="Normal"/>
    <w:next w:val="Normal"/>
    <w:link w:val="Heading1Char"/>
    <w:uiPriority w:val="9"/>
    <w:qFormat/>
    <w:rsid w:val="00D650A8"/>
    <w:pPr>
      <w:keepNext/>
      <w:keepLines/>
      <w:spacing w:after="120"/>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7261AC"/>
    <w:pPr>
      <w:keepNext/>
      <w:keepLines/>
      <w:spacing w:before="40" w:after="12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BD4C0E"/>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AB3"/>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A8"/>
    <w:rPr>
      <w:rFonts w:eastAsiaTheme="majorEastAsia" w:cstheme="majorBidi"/>
      <w:b/>
      <w:color w:val="C00000"/>
      <w:sz w:val="28"/>
      <w:szCs w:val="32"/>
    </w:rPr>
  </w:style>
  <w:style w:type="paragraph" w:styleId="ListParagraph">
    <w:name w:val="List Paragraph"/>
    <w:basedOn w:val="Normal"/>
    <w:link w:val="ListParagraphChar"/>
    <w:uiPriority w:val="34"/>
    <w:qFormat/>
    <w:rsid w:val="00D650A8"/>
    <w:pPr>
      <w:ind w:left="720"/>
      <w:contextualSpacing/>
    </w:pPr>
  </w:style>
  <w:style w:type="paragraph" w:styleId="BalloonText">
    <w:name w:val="Balloon Text"/>
    <w:basedOn w:val="Normal"/>
    <w:link w:val="BalloonTextChar"/>
    <w:uiPriority w:val="99"/>
    <w:semiHidden/>
    <w:unhideWhenUsed/>
    <w:rsid w:val="00D65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A8"/>
    <w:rPr>
      <w:rFonts w:ascii="Segoe UI" w:hAnsi="Segoe UI" w:cs="Segoe UI"/>
      <w:sz w:val="18"/>
      <w:szCs w:val="18"/>
    </w:rPr>
  </w:style>
  <w:style w:type="character" w:styleId="Hyperlink">
    <w:name w:val="Hyperlink"/>
    <w:basedOn w:val="DefaultParagraphFont"/>
    <w:uiPriority w:val="99"/>
    <w:unhideWhenUsed/>
    <w:rsid w:val="006B5268"/>
    <w:rPr>
      <w:color w:val="0563C1" w:themeColor="hyperlink"/>
      <w:u w:val="single"/>
    </w:rPr>
  </w:style>
  <w:style w:type="character" w:customStyle="1" w:styleId="Heading2Char">
    <w:name w:val="Heading 2 Char"/>
    <w:basedOn w:val="DefaultParagraphFont"/>
    <w:link w:val="Heading2"/>
    <w:uiPriority w:val="9"/>
    <w:rsid w:val="007261AC"/>
    <w:rPr>
      <w:rFonts w:asciiTheme="majorHAnsi" w:eastAsiaTheme="majorEastAsia" w:hAnsiTheme="majorHAnsi" w:cstheme="majorBidi"/>
      <w:b/>
      <w:color w:val="2F5496" w:themeColor="accent1" w:themeShade="BF"/>
      <w:sz w:val="28"/>
      <w:szCs w:val="26"/>
    </w:rPr>
  </w:style>
  <w:style w:type="paragraph" w:styleId="Header">
    <w:name w:val="header"/>
    <w:basedOn w:val="Normal"/>
    <w:link w:val="HeaderChar"/>
    <w:uiPriority w:val="99"/>
    <w:unhideWhenUsed/>
    <w:rsid w:val="0074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6F"/>
  </w:style>
  <w:style w:type="paragraph" w:styleId="Footer">
    <w:name w:val="footer"/>
    <w:basedOn w:val="Normal"/>
    <w:link w:val="FooterChar"/>
    <w:uiPriority w:val="99"/>
    <w:unhideWhenUsed/>
    <w:rsid w:val="0074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6F"/>
  </w:style>
  <w:style w:type="character" w:styleId="CommentReference">
    <w:name w:val="annotation reference"/>
    <w:basedOn w:val="DefaultParagraphFont"/>
    <w:uiPriority w:val="99"/>
    <w:semiHidden/>
    <w:unhideWhenUsed/>
    <w:rsid w:val="00F32E0F"/>
    <w:rPr>
      <w:sz w:val="16"/>
      <w:szCs w:val="16"/>
    </w:rPr>
  </w:style>
  <w:style w:type="paragraph" w:styleId="CommentText">
    <w:name w:val="annotation text"/>
    <w:basedOn w:val="Normal"/>
    <w:link w:val="CommentTextChar"/>
    <w:uiPriority w:val="99"/>
    <w:semiHidden/>
    <w:unhideWhenUsed/>
    <w:rsid w:val="00F32E0F"/>
    <w:pPr>
      <w:spacing w:line="240" w:lineRule="auto"/>
    </w:pPr>
    <w:rPr>
      <w:sz w:val="20"/>
      <w:szCs w:val="20"/>
    </w:rPr>
  </w:style>
  <w:style w:type="character" w:customStyle="1" w:styleId="CommentTextChar">
    <w:name w:val="Comment Text Char"/>
    <w:basedOn w:val="DefaultParagraphFont"/>
    <w:link w:val="CommentText"/>
    <w:uiPriority w:val="99"/>
    <w:semiHidden/>
    <w:rsid w:val="00F32E0F"/>
    <w:rPr>
      <w:sz w:val="20"/>
      <w:szCs w:val="20"/>
    </w:rPr>
  </w:style>
  <w:style w:type="paragraph" w:styleId="CommentSubject">
    <w:name w:val="annotation subject"/>
    <w:basedOn w:val="CommentText"/>
    <w:next w:val="CommentText"/>
    <w:link w:val="CommentSubjectChar"/>
    <w:uiPriority w:val="99"/>
    <w:semiHidden/>
    <w:unhideWhenUsed/>
    <w:rsid w:val="00F32E0F"/>
    <w:rPr>
      <w:b/>
      <w:bCs/>
    </w:rPr>
  </w:style>
  <w:style w:type="character" w:customStyle="1" w:styleId="CommentSubjectChar">
    <w:name w:val="Comment Subject Char"/>
    <w:basedOn w:val="CommentTextChar"/>
    <w:link w:val="CommentSubject"/>
    <w:uiPriority w:val="99"/>
    <w:semiHidden/>
    <w:rsid w:val="00F32E0F"/>
    <w:rPr>
      <w:b/>
      <w:bCs/>
      <w:sz w:val="20"/>
      <w:szCs w:val="20"/>
    </w:rPr>
  </w:style>
  <w:style w:type="character" w:customStyle="1" w:styleId="Heading3Char">
    <w:name w:val="Heading 3 Char"/>
    <w:basedOn w:val="DefaultParagraphFont"/>
    <w:link w:val="Heading3"/>
    <w:uiPriority w:val="9"/>
    <w:rsid w:val="00BD4C0E"/>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unhideWhenUsed/>
    <w:rsid w:val="00BD4C0E"/>
    <w:pPr>
      <w:spacing w:after="0" w:line="240" w:lineRule="auto"/>
    </w:pPr>
    <w:rPr>
      <w:sz w:val="20"/>
      <w:szCs w:val="20"/>
    </w:rPr>
  </w:style>
  <w:style w:type="character" w:customStyle="1" w:styleId="EndnoteTextChar">
    <w:name w:val="Endnote Text Char"/>
    <w:basedOn w:val="DefaultParagraphFont"/>
    <w:link w:val="EndnoteText"/>
    <w:uiPriority w:val="99"/>
    <w:rsid w:val="00BD4C0E"/>
    <w:rPr>
      <w:sz w:val="20"/>
      <w:szCs w:val="20"/>
    </w:rPr>
  </w:style>
  <w:style w:type="character" w:styleId="EndnoteReference">
    <w:name w:val="endnote reference"/>
    <w:basedOn w:val="DefaultParagraphFont"/>
    <w:uiPriority w:val="99"/>
    <w:semiHidden/>
    <w:unhideWhenUsed/>
    <w:rsid w:val="00BD4C0E"/>
    <w:rPr>
      <w:vertAlign w:val="superscript"/>
    </w:rPr>
  </w:style>
  <w:style w:type="character" w:customStyle="1" w:styleId="ListParagraphChar">
    <w:name w:val="List Paragraph Char"/>
    <w:basedOn w:val="DefaultParagraphFont"/>
    <w:link w:val="ListParagraph"/>
    <w:uiPriority w:val="34"/>
    <w:locked/>
    <w:rsid w:val="00845FAB"/>
  </w:style>
  <w:style w:type="character" w:customStyle="1" w:styleId="UnresolvedMention1">
    <w:name w:val="Unresolved Mention1"/>
    <w:basedOn w:val="DefaultParagraphFont"/>
    <w:uiPriority w:val="99"/>
    <w:semiHidden/>
    <w:unhideWhenUsed/>
    <w:rsid w:val="007B3C24"/>
    <w:rPr>
      <w:color w:val="605E5C"/>
      <w:shd w:val="clear" w:color="auto" w:fill="E1DFDD"/>
    </w:rPr>
  </w:style>
  <w:style w:type="character" w:styleId="FollowedHyperlink">
    <w:name w:val="FollowedHyperlink"/>
    <w:basedOn w:val="DefaultParagraphFont"/>
    <w:uiPriority w:val="99"/>
    <w:semiHidden/>
    <w:unhideWhenUsed/>
    <w:rsid w:val="004E62E2"/>
    <w:rPr>
      <w:color w:val="954F72" w:themeColor="followedHyperlink"/>
      <w:u w:val="single"/>
    </w:rPr>
  </w:style>
  <w:style w:type="character" w:customStyle="1" w:styleId="Heading4Char">
    <w:name w:val="Heading 4 Char"/>
    <w:basedOn w:val="DefaultParagraphFont"/>
    <w:link w:val="Heading4"/>
    <w:uiPriority w:val="9"/>
    <w:rsid w:val="00503AB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0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746"/>
    <w:pPr>
      <w:spacing w:after="0" w:line="240" w:lineRule="auto"/>
    </w:pPr>
  </w:style>
  <w:style w:type="paragraph" w:styleId="TOCHeading">
    <w:name w:val="TOC Heading"/>
    <w:basedOn w:val="Heading1"/>
    <w:next w:val="Normal"/>
    <w:uiPriority w:val="39"/>
    <w:unhideWhenUsed/>
    <w:qFormat/>
    <w:rsid w:val="008A740A"/>
    <w:pPr>
      <w:spacing w:before="240" w:after="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A740A"/>
    <w:pPr>
      <w:spacing w:after="100"/>
    </w:pPr>
  </w:style>
  <w:style w:type="paragraph" w:styleId="TOC2">
    <w:name w:val="toc 2"/>
    <w:basedOn w:val="Normal"/>
    <w:next w:val="Normal"/>
    <w:autoRedefine/>
    <w:uiPriority w:val="39"/>
    <w:unhideWhenUsed/>
    <w:rsid w:val="008A740A"/>
    <w:pPr>
      <w:spacing w:after="100"/>
      <w:ind w:left="220"/>
    </w:pPr>
  </w:style>
  <w:style w:type="paragraph" w:styleId="TOC3">
    <w:name w:val="toc 3"/>
    <w:basedOn w:val="Normal"/>
    <w:next w:val="Normal"/>
    <w:autoRedefine/>
    <w:uiPriority w:val="39"/>
    <w:unhideWhenUsed/>
    <w:rsid w:val="008A740A"/>
    <w:pPr>
      <w:spacing w:after="100"/>
      <w:ind w:left="440"/>
    </w:pPr>
  </w:style>
  <w:style w:type="paragraph" w:customStyle="1" w:styleId="Default">
    <w:name w:val="Default"/>
    <w:rsid w:val="008A740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35700F"/>
    <w:pPr>
      <w:spacing w:after="0" w:line="240" w:lineRule="auto"/>
    </w:pPr>
    <w:rPr>
      <w:sz w:val="20"/>
      <w:szCs w:val="20"/>
    </w:rPr>
  </w:style>
  <w:style w:type="character" w:customStyle="1" w:styleId="FootnoteTextChar">
    <w:name w:val="Footnote Text Char"/>
    <w:basedOn w:val="DefaultParagraphFont"/>
    <w:link w:val="FootnoteText"/>
    <w:uiPriority w:val="99"/>
    <w:rsid w:val="0035700F"/>
    <w:rPr>
      <w:sz w:val="20"/>
      <w:szCs w:val="20"/>
    </w:rPr>
  </w:style>
  <w:style w:type="character" w:styleId="FootnoteReference">
    <w:name w:val="footnote reference"/>
    <w:basedOn w:val="DefaultParagraphFont"/>
    <w:uiPriority w:val="99"/>
    <w:semiHidden/>
    <w:unhideWhenUsed/>
    <w:rsid w:val="0035700F"/>
    <w:rPr>
      <w:vertAlign w:val="superscript"/>
    </w:rPr>
  </w:style>
  <w:style w:type="paragraph" w:styleId="NormalWeb">
    <w:name w:val="Normal (Web)"/>
    <w:basedOn w:val="Normal"/>
    <w:uiPriority w:val="99"/>
    <w:unhideWhenUsed/>
    <w:rsid w:val="0007649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B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09EE"/>
    <w:rPr>
      <w:rFonts w:ascii="Courier New" w:eastAsia="Times New Roman" w:hAnsi="Courier New" w:cs="Courier New"/>
      <w:sz w:val="20"/>
      <w:szCs w:val="20"/>
    </w:rPr>
  </w:style>
  <w:style w:type="character" w:styleId="Strong">
    <w:name w:val="Strong"/>
    <w:basedOn w:val="DefaultParagraphFont"/>
    <w:uiPriority w:val="22"/>
    <w:qFormat/>
    <w:rsid w:val="002D0793"/>
    <w:rPr>
      <w:b/>
      <w:bCs/>
    </w:rPr>
  </w:style>
  <w:style w:type="paragraph" w:styleId="TOC4">
    <w:name w:val="toc 4"/>
    <w:basedOn w:val="Normal"/>
    <w:next w:val="Normal"/>
    <w:autoRedefine/>
    <w:uiPriority w:val="39"/>
    <w:unhideWhenUsed/>
    <w:rsid w:val="005D2449"/>
    <w:pPr>
      <w:spacing w:after="100"/>
      <w:ind w:left="660"/>
    </w:pPr>
  </w:style>
  <w:style w:type="character" w:customStyle="1" w:styleId="UnresolvedMention">
    <w:name w:val="Unresolved Mention"/>
    <w:basedOn w:val="DefaultParagraphFont"/>
    <w:uiPriority w:val="99"/>
    <w:semiHidden/>
    <w:unhideWhenUsed/>
    <w:rsid w:val="003D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349">
      <w:bodyDiv w:val="1"/>
      <w:marLeft w:val="0"/>
      <w:marRight w:val="0"/>
      <w:marTop w:val="0"/>
      <w:marBottom w:val="0"/>
      <w:divBdr>
        <w:top w:val="none" w:sz="0" w:space="0" w:color="auto"/>
        <w:left w:val="none" w:sz="0" w:space="0" w:color="auto"/>
        <w:bottom w:val="none" w:sz="0" w:space="0" w:color="auto"/>
        <w:right w:val="none" w:sz="0" w:space="0" w:color="auto"/>
      </w:divBdr>
    </w:div>
    <w:div w:id="458185048">
      <w:bodyDiv w:val="1"/>
      <w:marLeft w:val="0"/>
      <w:marRight w:val="0"/>
      <w:marTop w:val="0"/>
      <w:marBottom w:val="0"/>
      <w:divBdr>
        <w:top w:val="none" w:sz="0" w:space="0" w:color="auto"/>
        <w:left w:val="none" w:sz="0" w:space="0" w:color="auto"/>
        <w:bottom w:val="none" w:sz="0" w:space="0" w:color="auto"/>
        <w:right w:val="none" w:sz="0" w:space="0" w:color="auto"/>
      </w:divBdr>
    </w:div>
    <w:div w:id="2002125416">
      <w:bodyDiv w:val="1"/>
      <w:marLeft w:val="0"/>
      <w:marRight w:val="0"/>
      <w:marTop w:val="0"/>
      <w:marBottom w:val="0"/>
      <w:divBdr>
        <w:top w:val="none" w:sz="0" w:space="0" w:color="auto"/>
        <w:left w:val="none" w:sz="0" w:space="0" w:color="auto"/>
        <w:bottom w:val="none" w:sz="0" w:space="0" w:color="auto"/>
        <w:right w:val="none" w:sz="0" w:space="0" w:color="auto"/>
      </w:divBdr>
    </w:div>
    <w:div w:id="21307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burndata.washington.edu/standard-operating-procedures" TargetMode="External"/><Relationship Id="rId26" Type="http://schemas.openxmlformats.org/officeDocument/2006/relationships/image" Target="cid:image006.png@01D5D048.935E6F40" TargetMode="External"/><Relationship Id="rId3" Type="http://schemas.openxmlformats.org/officeDocument/2006/relationships/styles" Target="styles.xml"/><Relationship Id="rId21" Type="http://schemas.openxmlformats.org/officeDocument/2006/relationships/hyperlink" Target="https://www.tbindsc.org/Syllabus.aspx" TargetMode="External"/><Relationship Id="rId7" Type="http://schemas.openxmlformats.org/officeDocument/2006/relationships/endnotes" Target="endnotes.xml"/><Relationship Id="rId12" Type="http://schemas.openxmlformats.org/officeDocument/2006/relationships/hyperlink" Target="http://neweditions.net/sites/default/files/sites/default/files/ACLDataCouncil/acl-data-council_data-governance-standards-working-group_annotated-bibliography-6-10-20-draft_508.docx" TargetMode="External"/><Relationship Id="rId17" Type="http://schemas.openxmlformats.org/officeDocument/2006/relationships/hyperlink" Target="https://www.datagovernance.unsw.edu.au/data-governance-principles"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tbindsc.org/Syllabu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my.usgs.gov/confluence/download/attachments/624464994/Federal%20Government%20Data%20Maturity%20Model.pdf?api=v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burndata.washington.edu/standard-operating-proced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itehouse.gov/wp-content/uploads/2019/06/M-19-18.pdf" TargetMode="External"/><Relationship Id="rId22" Type="http://schemas.openxmlformats.org/officeDocument/2006/relationships/image" Target="media/image4.png"/><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strategy.data.gov/assets/docs/2020-federal-data-strategy-action-plan.pdf" TargetMode="External"/><Relationship Id="rId13" Type="http://schemas.openxmlformats.org/officeDocument/2006/relationships/hyperlink" Target="https://nces.ed.gov/FCSM/pdf/Transparent_Reporting_FCSM_19.01.pdf" TargetMode="External"/><Relationship Id="rId18" Type="http://schemas.openxmlformats.org/officeDocument/2006/relationships/hyperlink" Target="https://www.ncei.noaa.gov/resources/metadata" TargetMode="External"/><Relationship Id="rId3" Type="http://schemas.openxmlformats.org/officeDocument/2006/relationships/hyperlink" Target="https://www.whitehouse.gov/wp-content/uploads/2019/06/M-19-18.pdf" TargetMode="External"/><Relationship Id="rId21" Type="http://schemas.openxmlformats.org/officeDocument/2006/relationships/hyperlink" Target="https://www.congress.gov/bill/115th-congress/house-bill/4174/text" TargetMode="External"/><Relationship Id="rId7" Type="http://schemas.openxmlformats.org/officeDocument/2006/relationships/hyperlink" Target="https://strategy.data.gov/assets/docs/2020-federal-data-strategy-action-plan.pdf" TargetMode="External"/><Relationship Id="rId12" Type="http://schemas.openxmlformats.org/officeDocument/2006/relationships/hyperlink" Target="https://www.whitehouse.gov/sites/whitehouse.gov/files/omb/assets/OMB/fedreg/reproducible2.pdf" TargetMode="External"/><Relationship Id="rId17" Type="http://schemas.openxmlformats.org/officeDocument/2006/relationships/hyperlink" Target="https://pubs.usgs.gov/of/2013/1265/pdf/of2013-1265.pdf" TargetMode="External"/><Relationship Id="rId2" Type="http://schemas.openxmlformats.org/officeDocument/2006/relationships/hyperlink" Target="https://www.ncbi.nlm.nih.gov/pmc/articles/PMC2965885/" TargetMode="External"/><Relationship Id="rId16" Type="http://schemas.openxmlformats.org/officeDocument/2006/relationships/hyperlink" Target="https://my.usgs.gov/confluence/download/attachments/82935852/Data%20Lifecycle%20Models%20and%20Concepts_sm.pdf?version=1&amp;modificationDate=1362680814819&amp;api=v2" TargetMode="External"/><Relationship Id="rId20" Type="http://schemas.openxmlformats.org/officeDocument/2006/relationships/hyperlink" Target="https://www.ncei.noaa.gov/resources/metadata" TargetMode="External"/><Relationship Id="rId1" Type="http://schemas.openxmlformats.org/officeDocument/2006/relationships/hyperlink" Target="https://resources.data.gov/assets/documents/fds-data-governance-playbook.pdf" TargetMode="External"/><Relationship Id="rId6" Type="http://schemas.openxmlformats.org/officeDocument/2006/relationships/hyperlink" Target="https://resources.data.gov/assets/documents/fds-data-governance-playbook.pdf" TargetMode="External"/><Relationship Id="rId11" Type="http://schemas.openxmlformats.org/officeDocument/2006/relationships/hyperlink" Target="https://www.eolitservices.co.uk/2018/01/02/5-principles-data-governance/" TargetMode="External"/><Relationship Id="rId5" Type="http://schemas.openxmlformats.org/officeDocument/2006/relationships/hyperlink" Target="https://resources.data.gov/assets/documents/fds-data-governance-playbook.pdf" TargetMode="External"/><Relationship Id="rId15" Type="http://schemas.openxmlformats.org/officeDocument/2006/relationships/hyperlink" Target="https://pubs.usgs.gov/of/2013/1265/pdf/of2013-1265.pdf" TargetMode="External"/><Relationship Id="rId10" Type="http://schemas.openxmlformats.org/officeDocument/2006/relationships/hyperlink" Target="https://www.datagovernance.unsw.edu.au/data-governance-principles" TargetMode="External"/><Relationship Id="rId19" Type="http://schemas.openxmlformats.org/officeDocument/2006/relationships/hyperlink" Target="https://resources.data.gov/resources/dcat-us/" TargetMode="External"/><Relationship Id="rId4" Type="http://schemas.openxmlformats.org/officeDocument/2006/relationships/hyperlink" Target="https://strategy.data.gov/assets/docs/2020-federal-data-strategy-action-plan.pdf" TargetMode="External"/><Relationship Id="rId9" Type="http://schemas.openxmlformats.org/officeDocument/2006/relationships/hyperlink" Target="https://tdan.com/defining-data-governance-core-principles/17087" TargetMode="External"/><Relationship Id="rId14" Type="http://schemas.openxmlformats.org/officeDocument/2006/relationships/hyperlink" Target="https://www.whitehouse.gov/sites/whitehouse.gov/files/omb/assets/OMB/fedreg/reproducible2.pdf" TargetMode="External"/><Relationship Id="rId22" Type="http://schemas.openxmlformats.org/officeDocument/2006/relationships/hyperlink" Target="https://www.whitehouse.gov/sites/whitehouse.gov/files/omb/memoranda/2013/m-13-1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y.usgs.gov/confluence/download/attachments/624464994/Federal%20Government%20Data%20Maturity%20Model.pdf?api=v2" TargetMode="External"/><Relationship Id="rId2" Type="http://schemas.openxmlformats.org/officeDocument/2006/relationships/hyperlink" Target="https://nces.ed.gov/FCSM/pdf/Transparent_Reporting_FCSM_19.01.pdf" TargetMode="External"/><Relationship Id="rId1" Type="http://schemas.openxmlformats.org/officeDocument/2006/relationships/hyperlink" Target="https://resources.da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F9F9-87F4-411B-A370-D2997DBB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ACL Data Council Data Governance Primer version 1 September 2020</vt:lpstr>
    </vt:vector>
  </TitlesOfParts>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Data Council Data Governance Primer version 1 September 2020</dc:title>
  <dc:subject/>
  <dc:creator>Anne Leopold</dc:creator>
  <cp:keywords>ACL Data Council, primer</cp:keywords>
  <dc:description/>
  <cp:lastModifiedBy>Bruyere, Caryn (ACL)</cp:lastModifiedBy>
  <cp:revision>2</cp:revision>
  <dcterms:created xsi:type="dcterms:W3CDTF">2020-10-19T17:39:00Z</dcterms:created>
  <dcterms:modified xsi:type="dcterms:W3CDTF">2020-10-19T17:39:00Z</dcterms:modified>
</cp:coreProperties>
</file>