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2BF" w14:textId="0340BBFA" w:rsidR="003D7D4F" w:rsidRDefault="005A3023" w:rsidP="00D94055">
      <w:pPr>
        <w:pStyle w:val="Heading1"/>
        <w:spacing w:after="240" w:line="240" w:lineRule="auto"/>
        <w:jc w:val="center"/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The </w:t>
      </w:r>
      <w:r w:rsidR="003D7D4F">
        <w:rPr>
          <w:rFonts w:ascii="Arial" w:hAnsi="Arial" w:cs="Arial"/>
          <w:b/>
          <w:bCs/>
          <w:color w:val="4472C4" w:themeColor="accent1"/>
          <w:sz w:val="40"/>
          <w:szCs w:val="40"/>
        </w:rPr>
        <w:t>Targeted Review</w:t>
      </w:r>
      <w:r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A Component </w:t>
      </w:r>
      <w:r w:rsidR="00D94055">
        <w:rPr>
          <w:rFonts w:ascii="Arial" w:hAnsi="Arial" w:cs="Arial"/>
          <w:b/>
          <w:bCs/>
          <w:color w:val="4472C4" w:themeColor="accent1"/>
          <w:sz w:val="40"/>
          <w:szCs w:val="40"/>
        </w:rPr>
        <w:t>of IL COMP</w:t>
      </w:r>
    </w:p>
    <w:p w14:paraId="2B5C16F3" w14:textId="77777777" w:rsidR="003D7D4F" w:rsidRDefault="003D7D4F" w:rsidP="006E545A">
      <w:pPr>
        <w:pStyle w:val="Heading2"/>
        <w:spacing w:before="0" w:after="12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Overview </w:t>
      </w:r>
    </w:p>
    <w:p w14:paraId="5FF77345" w14:textId="425624B6" w:rsidR="00920B5E" w:rsidRPr="00565BCC" w:rsidRDefault="00D94055" w:rsidP="00D94055">
      <w:pPr>
        <w:pStyle w:val="BodyText"/>
        <w:spacing w:before="120" w:after="240"/>
        <w:ind w:left="0" w:right="403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After baseline monitoring, the targeted review is the next frequently used monitoring process by ACL. The targeted review </w:t>
      </w:r>
      <w:r w:rsidRPr="00D94055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a component </w:t>
      </w:r>
      <w:r w:rsidRPr="00D94055">
        <w:rPr>
          <w:rFonts w:ascii="Arial" w:hAnsi="Arial" w:cs="Arial"/>
          <w:sz w:val="22"/>
          <w:szCs w:val="22"/>
        </w:rPr>
        <w:t xml:space="preserve">of the COMP (Comprehensive Oversight and Monitoring Protocol) for the IL program. </w:t>
      </w:r>
      <w:r>
        <w:rPr>
          <w:rFonts w:ascii="Arial" w:hAnsi="Arial" w:cs="Arial"/>
          <w:sz w:val="22"/>
          <w:szCs w:val="22"/>
        </w:rPr>
        <w:t xml:space="preserve">It is </w:t>
      </w:r>
      <w:r w:rsidR="00852265">
        <w:rPr>
          <w:rFonts w:ascii="Arial" w:hAnsi="Arial" w:cs="Arial"/>
          <w:sz w:val="22"/>
          <w:szCs w:val="22"/>
        </w:rPr>
        <w:t>an</w:t>
      </w:r>
      <w:r w:rsidR="00920B5E" w:rsidRPr="00565BCC">
        <w:rPr>
          <w:rFonts w:ascii="Arial" w:hAnsi="Arial" w:cs="Arial"/>
          <w:sz w:val="22"/>
          <w:szCs w:val="22"/>
        </w:rPr>
        <w:t xml:space="preserve"> </w:t>
      </w:r>
      <w:r w:rsidR="00CD058A" w:rsidRPr="00565BCC">
        <w:rPr>
          <w:rFonts w:ascii="Arial" w:hAnsi="Arial" w:cs="Arial"/>
          <w:sz w:val="22"/>
          <w:szCs w:val="22"/>
        </w:rPr>
        <w:t xml:space="preserve">individualized </w:t>
      </w:r>
      <w:r w:rsidR="00920B5E" w:rsidRPr="00565BCC">
        <w:rPr>
          <w:rFonts w:ascii="Arial" w:hAnsi="Arial" w:cs="Arial"/>
          <w:sz w:val="22"/>
          <w:szCs w:val="22"/>
        </w:rPr>
        <w:t>review</w:t>
      </w:r>
      <w:r w:rsidR="00852265">
        <w:rPr>
          <w:rFonts w:ascii="Arial" w:hAnsi="Arial" w:cs="Arial"/>
          <w:sz w:val="22"/>
          <w:szCs w:val="22"/>
        </w:rPr>
        <w:t xml:space="preserve"> of a grantee </w:t>
      </w:r>
      <w:r w:rsidR="00FD6209" w:rsidRPr="00565BCC">
        <w:rPr>
          <w:rFonts w:ascii="Arial" w:hAnsi="Arial" w:cs="Arial"/>
          <w:sz w:val="22"/>
          <w:szCs w:val="22"/>
        </w:rPr>
        <w:t>focused on specific areas of concern</w:t>
      </w:r>
      <w:r w:rsidR="00F273BE" w:rsidRPr="00565BCC">
        <w:rPr>
          <w:rFonts w:ascii="Arial" w:hAnsi="Arial" w:cs="Arial"/>
          <w:sz w:val="22"/>
          <w:szCs w:val="22"/>
        </w:rPr>
        <w:t xml:space="preserve">. </w:t>
      </w:r>
      <w:r w:rsidR="0018056C">
        <w:rPr>
          <w:rFonts w:ascii="Arial" w:hAnsi="Arial" w:cs="Arial"/>
          <w:sz w:val="22"/>
          <w:szCs w:val="22"/>
        </w:rPr>
        <w:t xml:space="preserve">Targeted reviews can </w:t>
      </w:r>
      <w:r w:rsidR="00202234">
        <w:rPr>
          <w:rFonts w:ascii="Arial" w:hAnsi="Arial" w:cs="Arial"/>
          <w:sz w:val="22"/>
          <w:szCs w:val="22"/>
        </w:rPr>
        <w:t xml:space="preserve">involve only </w:t>
      </w:r>
      <w:r w:rsidR="0018056C">
        <w:rPr>
          <w:rFonts w:ascii="Arial" w:hAnsi="Arial" w:cs="Arial"/>
          <w:sz w:val="22"/>
          <w:szCs w:val="22"/>
        </w:rPr>
        <w:t xml:space="preserve">fiscal </w:t>
      </w:r>
      <w:r w:rsidR="00F323B0">
        <w:rPr>
          <w:rFonts w:ascii="Arial" w:hAnsi="Arial" w:cs="Arial"/>
          <w:sz w:val="22"/>
          <w:szCs w:val="22"/>
        </w:rPr>
        <w:t xml:space="preserve">or </w:t>
      </w:r>
      <w:r w:rsidR="0018056C">
        <w:rPr>
          <w:rFonts w:ascii="Arial" w:hAnsi="Arial" w:cs="Arial"/>
          <w:sz w:val="22"/>
          <w:szCs w:val="22"/>
        </w:rPr>
        <w:t>programmatic elements</w:t>
      </w:r>
      <w:r w:rsidR="00F323B0">
        <w:rPr>
          <w:rFonts w:ascii="Arial" w:hAnsi="Arial" w:cs="Arial"/>
          <w:sz w:val="22"/>
          <w:szCs w:val="22"/>
        </w:rPr>
        <w:t>, or a combination</w:t>
      </w:r>
      <w:r w:rsidR="00202234">
        <w:rPr>
          <w:rFonts w:ascii="Arial" w:hAnsi="Arial" w:cs="Arial"/>
          <w:sz w:val="22"/>
          <w:szCs w:val="22"/>
        </w:rPr>
        <w:t xml:space="preserve"> of both</w:t>
      </w:r>
      <w:r w:rsidR="00A8784E">
        <w:rPr>
          <w:rFonts w:ascii="Arial" w:hAnsi="Arial" w:cs="Arial"/>
          <w:sz w:val="22"/>
          <w:szCs w:val="22"/>
        </w:rPr>
        <w:t>. Members of the review team may incl</w:t>
      </w:r>
      <w:r w:rsidR="008E3F95">
        <w:rPr>
          <w:rFonts w:ascii="Arial" w:hAnsi="Arial" w:cs="Arial"/>
          <w:sz w:val="22"/>
          <w:szCs w:val="22"/>
        </w:rPr>
        <w:t xml:space="preserve">ude the program officer, fiscal officer, other ACL staff, </w:t>
      </w:r>
      <w:r w:rsidR="00421B28">
        <w:rPr>
          <w:rFonts w:ascii="Arial" w:hAnsi="Arial" w:cs="Arial"/>
          <w:sz w:val="22"/>
          <w:szCs w:val="22"/>
        </w:rPr>
        <w:t xml:space="preserve">and </w:t>
      </w:r>
      <w:r w:rsidR="008E3F95">
        <w:rPr>
          <w:rFonts w:ascii="Arial" w:hAnsi="Arial" w:cs="Arial"/>
          <w:sz w:val="22"/>
          <w:szCs w:val="22"/>
        </w:rPr>
        <w:t>a non-federal reviewer. The grantee</w:t>
      </w:r>
      <w:r w:rsidR="00202234">
        <w:rPr>
          <w:rFonts w:ascii="Arial" w:hAnsi="Arial" w:cs="Arial"/>
          <w:sz w:val="22"/>
          <w:szCs w:val="22"/>
        </w:rPr>
        <w:t xml:space="preserve"> is expected to include the board chair in any review activities, but they </w:t>
      </w:r>
      <w:r w:rsidR="008E3F95">
        <w:rPr>
          <w:rFonts w:ascii="Arial" w:hAnsi="Arial" w:cs="Arial"/>
          <w:sz w:val="22"/>
          <w:szCs w:val="22"/>
        </w:rPr>
        <w:t xml:space="preserve">may </w:t>
      </w:r>
      <w:r w:rsidR="00202234">
        <w:rPr>
          <w:rFonts w:ascii="Arial" w:hAnsi="Arial" w:cs="Arial"/>
          <w:sz w:val="22"/>
          <w:szCs w:val="22"/>
        </w:rPr>
        <w:t xml:space="preserve">also </w:t>
      </w:r>
      <w:r w:rsidR="008E3F95">
        <w:rPr>
          <w:rFonts w:ascii="Arial" w:hAnsi="Arial" w:cs="Arial"/>
          <w:sz w:val="22"/>
          <w:szCs w:val="22"/>
        </w:rPr>
        <w:t xml:space="preserve">bring </w:t>
      </w:r>
      <w:r w:rsidR="00202234">
        <w:rPr>
          <w:rFonts w:ascii="Arial" w:hAnsi="Arial" w:cs="Arial"/>
          <w:sz w:val="22"/>
          <w:szCs w:val="22"/>
        </w:rPr>
        <w:t xml:space="preserve">other </w:t>
      </w:r>
      <w:r w:rsidR="008E3F95">
        <w:rPr>
          <w:rFonts w:ascii="Arial" w:hAnsi="Arial" w:cs="Arial"/>
          <w:sz w:val="22"/>
          <w:szCs w:val="22"/>
        </w:rPr>
        <w:t xml:space="preserve">staff </w:t>
      </w:r>
      <w:r w:rsidR="00202234">
        <w:rPr>
          <w:rFonts w:ascii="Arial" w:hAnsi="Arial" w:cs="Arial"/>
          <w:sz w:val="22"/>
          <w:szCs w:val="22"/>
        </w:rPr>
        <w:t xml:space="preserve">and invite others at their discretion. </w:t>
      </w:r>
    </w:p>
    <w:p w14:paraId="40949187" w14:textId="7018F1F2" w:rsidR="003D7D4F" w:rsidRDefault="003D7D4F" w:rsidP="003D7D4F">
      <w:pPr>
        <w:pStyle w:val="Heading2"/>
        <w:spacing w:after="12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Purpose of a Targeted Review </w:t>
      </w:r>
    </w:p>
    <w:p w14:paraId="69D08959" w14:textId="321A6E2C" w:rsidR="006467B6" w:rsidRPr="006467B6" w:rsidRDefault="00852265" w:rsidP="009971FE">
      <w:pPr>
        <w:pStyle w:val="BodyText"/>
        <w:spacing w:before="120" w:after="240"/>
        <w:ind w:left="0" w:right="403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 conducts a t</w:t>
      </w:r>
      <w:r w:rsidR="37FAB26E" w:rsidRPr="00565BCC">
        <w:rPr>
          <w:rFonts w:ascii="Arial" w:hAnsi="Arial" w:cs="Arial"/>
          <w:sz w:val="22"/>
          <w:szCs w:val="22"/>
        </w:rPr>
        <w:t>argeted review</w:t>
      </w:r>
      <w:r w:rsidR="37FAB26E" w:rsidRPr="00565BCC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="095A2E2C" w:rsidRPr="00565BCC">
        <w:rPr>
          <w:rFonts w:ascii="Arial" w:hAnsi="Arial" w:cs="Arial"/>
          <w:sz w:val="22"/>
          <w:szCs w:val="22"/>
        </w:rPr>
        <w:t xml:space="preserve">identify a </w:t>
      </w:r>
      <w:r w:rsidR="37FAB26E" w:rsidRPr="00565BCC">
        <w:rPr>
          <w:rFonts w:ascii="Arial" w:hAnsi="Arial" w:cs="Arial"/>
          <w:sz w:val="22"/>
          <w:szCs w:val="22"/>
        </w:rPr>
        <w:t>clear</w:t>
      </w:r>
      <w:r w:rsidR="37FAB26E" w:rsidRPr="00565BCC">
        <w:rPr>
          <w:rFonts w:ascii="Arial" w:hAnsi="Arial" w:cs="Arial"/>
          <w:spacing w:val="-1"/>
          <w:sz w:val="22"/>
          <w:szCs w:val="22"/>
        </w:rPr>
        <w:t xml:space="preserve"> </w:t>
      </w:r>
      <w:r w:rsidR="37FAB26E" w:rsidRPr="00565BCC">
        <w:rPr>
          <w:rFonts w:ascii="Arial" w:hAnsi="Arial" w:cs="Arial"/>
          <w:sz w:val="22"/>
          <w:szCs w:val="22"/>
        </w:rPr>
        <w:t>course</w:t>
      </w:r>
      <w:r w:rsidR="37FAB26E" w:rsidRPr="00565BCC">
        <w:rPr>
          <w:rFonts w:ascii="Arial" w:hAnsi="Arial" w:cs="Arial"/>
          <w:spacing w:val="-3"/>
          <w:sz w:val="22"/>
          <w:szCs w:val="22"/>
        </w:rPr>
        <w:t xml:space="preserve"> </w:t>
      </w:r>
      <w:r w:rsidR="37FAB26E" w:rsidRPr="00565BCC">
        <w:rPr>
          <w:rFonts w:ascii="Arial" w:hAnsi="Arial" w:cs="Arial"/>
          <w:sz w:val="22"/>
          <w:szCs w:val="22"/>
        </w:rPr>
        <w:t>of</w:t>
      </w:r>
      <w:r w:rsidR="37FAB26E" w:rsidRPr="00565BCC">
        <w:rPr>
          <w:rFonts w:ascii="Arial" w:hAnsi="Arial" w:cs="Arial"/>
          <w:spacing w:val="-2"/>
          <w:sz w:val="22"/>
          <w:szCs w:val="22"/>
        </w:rPr>
        <w:t xml:space="preserve"> </w:t>
      </w:r>
      <w:r w:rsidR="37FAB26E" w:rsidRPr="00565BCC">
        <w:rPr>
          <w:rFonts w:ascii="Arial" w:hAnsi="Arial" w:cs="Arial"/>
          <w:sz w:val="22"/>
          <w:szCs w:val="22"/>
        </w:rPr>
        <w:t>action</w:t>
      </w:r>
      <w:r w:rsidR="37FAB26E" w:rsidRPr="00565BCC">
        <w:rPr>
          <w:rFonts w:ascii="Arial" w:hAnsi="Arial" w:cs="Arial"/>
          <w:spacing w:val="-2"/>
          <w:sz w:val="22"/>
          <w:szCs w:val="22"/>
        </w:rPr>
        <w:t xml:space="preserve"> </w:t>
      </w:r>
      <w:r w:rsidR="37FAB26E" w:rsidRPr="00565BCC">
        <w:rPr>
          <w:rFonts w:ascii="Arial" w:hAnsi="Arial" w:cs="Arial"/>
          <w:sz w:val="22"/>
          <w:szCs w:val="22"/>
        </w:rPr>
        <w:t>for</w:t>
      </w:r>
      <w:r w:rsidR="37FAB26E" w:rsidRPr="00565BCC">
        <w:rPr>
          <w:rFonts w:ascii="Arial" w:hAnsi="Arial" w:cs="Arial"/>
          <w:spacing w:val="-1"/>
          <w:sz w:val="22"/>
          <w:szCs w:val="22"/>
        </w:rPr>
        <w:t xml:space="preserve"> </w:t>
      </w:r>
      <w:r w:rsidR="37FAB26E" w:rsidRPr="00565BCC">
        <w:rPr>
          <w:rFonts w:ascii="Arial" w:hAnsi="Arial" w:cs="Arial"/>
          <w:sz w:val="22"/>
          <w:szCs w:val="22"/>
        </w:rPr>
        <w:t>addressing</w:t>
      </w:r>
      <w:r w:rsidR="37FAB26E" w:rsidRPr="00565BCC">
        <w:rPr>
          <w:rFonts w:ascii="Arial" w:hAnsi="Arial" w:cs="Arial"/>
          <w:spacing w:val="-3"/>
          <w:sz w:val="22"/>
          <w:szCs w:val="22"/>
        </w:rPr>
        <w:t xml:space="preserve"> </w:t>
      </w:r>
      <w:r w:rsidR="00202234">
        <w:rPr>
          <w:rFonts w:ascii="Arial" w:hAnsi="Arial" w:cs="Arial"/>
          <w:spacing w:val="-3"/>
          <w:sz w:val="22"/>
          <w:szCs w:val="22"/>
        </w:rPr>
        <w:t xml:space="preserve">specific </w:t>
      </w:r>
      <w:r w:rsidR="37FAB26E" w:rsidRPr="00565BCC">
        <w:rPr>
          <w:rFonts w:ascii="Arial" w:hAnsi="Arial" w:cs="Arial"/>
          <w:sz w:val="22"/>
          <w:szCs w:val="22"/>
        </w:rPr>
        <w:t>grantee</w:t>
      </w:r>
      <w:r w:rsidR="37FAB26E" w:rsidRPr="00565BCC">
        <w:rPr>
          <w:rFonts w:ascii="Arial" w:hAnsi="Arial" w:cs="Arial"/>
          <w:spacing w:val="-1"/>
          <w:sz w:val="22"/>
          <w:szCs w:val="22"/>
        </w:rPr>
        <w:t xml:space="preserve"> </w:t>
      </w:r>
      <w:r w:rsidR="37FAB26E" w:rsidRPr="00565BCC">
        <w:rPr>
          <w:rFonts w:ascii="Arial" w:hAnsi="Arial" w:cs="Arial"/>
          <w:sz w:val="22"/>
          <w:szCs w:val="22"/>
        </w:rPr>
        <w:t>issues</w:t>
      </w:r>
      <w:r w:rsidR="00C53AEB">
        <w:rPr>
          <w:rFonts w:ascii="Arial" w:hAnsi="Arial" w:cs="Arial"/>
          <w:sz w:val="22"/>
          <w:szCs w:val="22"/>
        </w:rPr>
        <w:t>.</w:t>
      </w:r>
      <w:r w:rsidR="37FAB26E" w:rsidRPr="00565BCC">
        <w:rPr>
          <w:rFonts w:ascii="Arial" w:hAnsi="Arial" w:cs="Arial"/>
          <w:sz w:val="22"/>
          <w:szCs w:val="22"/>
        </w:rPr>
        <w:t xml:space="preserve"> </w:t>
      </w:r>
      <w:r w:rsidR="006B3C1C">
        <w:rPr>
          <w:rFonts w:ascii="Arial" w:hAnsi="Arial" w:cs="Arial"/>
          <w:sz w:val="22"/>
          <w:szCs w:val="22"/>
        </w:rPr>
        <w:t>A t</w:t>
      </w:r>
      <w:r w:rsidR="37FAB26E" w:rsidRPr="00565BCC">
        <w:rPr>
          <w:rFonts w:ascii="Arial" w:hAnsi="Arial" w:cs="Arial"/>
          <w:sz w:val="22"/>
          <w:szCs w:val="22"/>
        </w:rPr>
        <w:t>argeted review allow</w:t>
      </w:r>
      <w:r w:rsidR="006B3C1C">
        <w:rPr>
          <w:rFonts w:ascii="Arial" w:hAnsi="Arial" w:cs="Arial"/>
          <w:sz w:val="22"/>
          <w:szCs w:val="22"/>
        </w:rPr>
        <w:t>s</w:t>
      </w:r>
      <w:r w:rsidR="37FAB26E" w:rsidRPr="00565BCC">
        <w:rPr>
          <w:rFonts w:ascii="Arial" w:hAnsi="Arial" w:cs="Arial"/>
          <w:sz w:val="22"/>
          <w:szCs w:val="22"/>
        </w:rPr>
        <w:t xml:space="preserve"> </w:t>
      </w:r>
      <w:r w:rsidR="00D33E74">
        <w:rPr>
          <w:rFonts w:ascii="Arial" w:hAnsi="Arial" w:cs="Arial"/>
          <w:sz w:val="22"/>
          <w:szCs w:val="22"/>
        </w:rPr>
        <w:t>ACL</w:t>
      </w:r>
      <w:r w:rsidR="37FAB26E" w:rsidRPr="00565BCC">
        <w:rPr>
          <w:rFonts w:ascii="Arial" w:hAnsi="Arial" w:cs="Arial"/>
          <w:sz w:val="22"/>
          <w:szCs w:val="22"/>
        </w:rPr>
        <w:t xml:space="preserve"> to customize the type and level of </w:t>
      </w:r>
      <w:r w:rsidR="095A2E2C" w:rsidRPr="00565BCC">
        <w:rPr>
          <w:rFonts w:ascii="Arial" w:hAnsi="Arial" w:cs="Arial"/>
          <w:sz w:val="22"/>
          <w:szCs w:val="22"/>
        </w:rPr>
        <w:t xml:space="preserve">support </w:t>
      </w:r>
      <w:r w:rsidR="00202234">
        <w:rPr>
          <w:rFonts w:ascii="Arial" w:hAnsi="Arial" w:cs="Arial"/>
          <w:sz w:val="22"/>
          <w:szCs w:val="22"/>
        </w:rPr>
        <w:t>needed</w:t>
      </w:r>
      <w:r w:rsidR="37FAB26E" w:rsidRPr="00565BCC">
        <w:rPr>
          <w:rFonts w:ascii="Arial" w:hAnsi="Arial" w:cs="Arial"/>
          <w:sz w:val="22"/>
          <w:szCs w:val="22"/>
        </w:rPr>
        <w:t xml:space="preserve"> to address</w:t>
      </w:r>
      <w:r w:rsidR="003D7D4F">
        <w:rPr>
          <w:rFonts w:ascii="Arial" w:hAnsi="Arial" w:cs="Arial"/>
          <w:sz w:val="22"/>
          <w:szCs w:val="22"/>
        </w:rPr>
        <w:t xml:space="preserve"> </w:t>
      </w:r>
      <w:r w:rsidR="37FAB26E" w:rsidRPr="00565BCC">
        <w:rPr>
          <w:rFonts w:ascii="Arial" w:hAnsi="Arial" w:cs="Arial"/>
          <w:sz w:val="22"/>
          <w:szCs w:val="22"/>
        </w:rPr>
        <w:t xml:space="preserve">specific and narrow grantee </w:t>
      </w:r>
      <w:r w:rsidR="37FAB26E" w:rsidRPr="00565BCC">
        <w:rPr>
          <w:rFonts w:ascii="Arial" w:hAnsi="Arial" w:cs="Arial"/>
          <w:spacing w:val="-2"/>
          <w:sz w:val="22"/>
          <w:szCs w:val="22"/>
        </w:rPr>
        <w:t xml:space="preserve">issues. </w:t>
      </w:r>
      <w:r w:rsidR="002E42B2">
        <w:rPr>
          <w:rFonts w:ascii="Arial" w:hAnsi="Arial" w:cs="Arial"/>
          <w:spacing w:val="-2"/>
          <w:sz w:val="22"/>
          <w:szCs w:val="22"/>
        </w:rPr>
        <w:t>Th</w:t>
      </w:r>
      <w:r w:rsidR="00202234">
        <w:rPr>
          <w:rFonts w:ascii="Arial" w:hAnsi="Arial" w:cs="Arial"/>
          <w:spacing w:val="-2"/>
          <w:sz w:val="22"/>
          <w:szCs w:val="22"/>
        </w:rPr>
        <w:t>is</w:t>
      </w:r>
      <w:r w:rsidR="002E42B2">
        <w:rPr>
          <w:rFonts w:ascii="Arial" w:hAnsi="Arial" w:cs="Arial"/>
          <w:spacing w:val="-2"/>
          <w:sz w:val="22"/>
          <w:szCs w:val="22"/>
        </w:rPr>
        <w:t xml:space="preserve"> revie</w:t>
      </w:r>
      <w:r w:rsidR="00D94055">
        <w:rPr>
          <w:rFonts w:ascii="Arial" w:hAnsi="Arial" w:cs="Arial"/>
          <w:spacing w:val="-2"/>
          <w:sz w:val="22"/>
          <w:szCs w:val="22"/>
        </w:rPr>
        <w:t>w</w:t>
      </w:r>
      <w:r w:rsidR="002E42B2">
        <w:rPr>
          <w:rFonts w:ascii="Arial" w:hAnsi="Arial" w:cs="Arial"/>
          <w:spacing w:val="-2"/>
          <w:sz w:val="22"/>
          <w:szCs w:val="22"/>
        </w:rPr>
        <w:t xml:space="preserve"> also can result in s</w:t>
      </w:r>
      <w:r w:rsidR="1E1093C5" w:rsidRPr="00565BCC">
        <w:rPr>
          <w:rFonts w:ascii="Arial" w:hAnsi="Arial" w:cs="Arial"/>
          <w:spacing w:val="-2"/>
          <w:sz w:val="22"/>
          <w:szCs w:val="22"/>
        </w:rPr>
        <w:t>pecific training and/or technical assistance to address the area of concern.</w:t>
      </w:r>
      <w:r w:rsidR="00D94055">
        <w:rPr>
          <w:rFonts w:ascii="Arial" w:hAnsi="Arial" w:cs="Arial"/>
          <w:spacing w:val="-2"/>
          <w:sz w:val="22"/>
          <w:szCs w:val="22"/>
        </w:rPr>
        <w:t xml:space="preserve"> These reviews are typically conducted virtually, although they may be also completed on-site.</w:t>
      </w:r>
    </w:p>
    <w:p w14:paraId="7C6FE8E8" w14:textId="010CB114" w:rsidR="00920B5E" w:rsidRPr="002E42B2" w:rsidRDefault="00920B5E" w:rsidP="00CB5F9B">
      <w:pPr>
        <w:pStyle w:val="Heading2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2E42B2">
        <w:rPr>
          <w:rFonts w:ascii="Arial" w:hAnsi="Arial" w:cs="Arial"/>
          <w:b/>
          <w:bCs/>
          <w:color w:val="4472C4" w:themeColor="accent1"/>
          <w:sz w:val="24"/>
          <w:szCs w:val="24"/>
        </w:rPr>
        <w:t>Triggers</w:t>
      </w:r>
      <w:r w:rsidR="002E42B2" w:rsidRPr="002E42B2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for a Targeted Review</w:t>
      </w:r>
      <w:r w:rsidRPr="002E42B2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</w:p>
    <w:p w14:paraId="6B34F511" w14:textId="3C1B3397" w:rsidR="000704C9" w:rsidRPr="00565BCC" w:rsidRDefault="006B3C1C" w:rsidP="008B4A59">
      <w:pPr>
        <w:pStyle w:val="BodyText"/>
        <w:spacing w:before="120"/>
        <w:ind w:left="0" w:right="403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 t</w:t>
      </w:r>
      <w:r w:rsidR="129754B2" w:rsidRPr="00565BCC">
        <w:rPr>
          <w:rFonts w:ascii="Arial" w:hAnsi="Arial" w:cs="Arial"/>
          <w:spacing w:val="-2"/>
          <w:sz w:val="22"/>
          <w:szCs w:val="22"/>
        </w:rPr>
        <w:t>argeted</w:t>
      </w:r>
      <w:r w:rsidR="37FAB26E" w:rsidRPr="00565BCC">
        <w:rPr>
          <w:rFonts w:ascii="Arial" w:hAnsi="Arial" w:cs="Arial"/>
          <w:spacing w:val="-2"/>
          <w:sz w:val="22"/>
          <w:szCs w:val="22"/>
        </w:rPr>
        <w:t xml:space="preserve"> </w:t>
      </w:r>
      <w:r w:rsidR="129754B2" w:rsidRPr="00565BCC">
        <w:rPr>
          <w:rFonts w:ascii="Arial" w:hAnsi="Arial" w:cs="Arial"/>
          <w:spacing w:val="-2"/>
          <w:sz w:val="22"/>
          <w:szCs w:val="22"/>
        </w:rPr>
        <w:t>review</w:t>
      </w:r>
      <w:r>
        <w:rPr>
          <w:rFonts w:ascii="Arial" w:hAnsi="Arial" w:cs="Arial"/>
          <w:spacing w:val="-2"/>
          <w:sz w:val="22"/>
          <w:szCs w:val="22"/>
        </w:rPr>
        <w:t xml:space="preserve"> is </w:t>
      </w:r>
      <w:r w:rsidR="37FAB26E" w:rsidRPr="00565BCC">
        <w:rPr>
          <w:rFonts w:ascii="Arial" w:hAnsi="Arial" w:cs="Arial"/>
          <w:spacing w:val="-2"/>
          <w:sz w:val="22"/>
          <w:szCs w:val="22"/>
        </w:rPr>
        <w:t>initiated due to</w:t>
      </w:r>
      <w:r w:rsidR="7D0931DA" w:rsidRPr="00565BCC">
        <w:rPr>
          <w:rFonts w:ascii="Arial" w:hAnsi="Arial" w:cs="Arial"/>
          <w:spacing w:val="-2"/>
          <w:sz w:val="22"/>
          <w:szCs w:val="22"/>
        </w:rPr>
        <w:t xml:space="preserve"> a variety of triggers. </w:t>
      </w:r>
      <w:r w:rsidR="3F555C90" w:rsidRPr="00565BCC">
        <w:rPr>
          <w:rFonts w:ascii="Arial" w:hAnsi="Arial" w:cs="Arial"/>
          <w:spacing w:val="-2"/>
          <w:sz w:val="22"/>
          <w:szCs w:val="22"/>
        </w:rPr>
        <w:t>The more triggers present, the higher the risk</w:t>
      </w:r>
      <w:r w:rsidR="00202234">
        <w:rPr>
          <w:rFonts w:ascii="Arial" w:hAnsi="Arial" w:cs="Arial"/>
          <w:spacing w:val="-2"/>
          <w:sz w:val="22"/>
          <w:szCs w:val="22"/>
        </w:rPr>
        <w:t xml:space="preserve"> for ACL</w:t>
      </w:r>
      <w:r w:rsidR="3F555C90" w:rsidRPr="00565BCC">
        <w:rPr>
          <w:rFonts w:ascii="Arial" w:hAnsi="Arial" w:cs="Arial"/>
          <w:spacing w:val="-2"/>
          <w:sz w:val="22"/>
          <w:szCs w:val="22"/>
        </w:rPr>
        <w:t xml:space="preserve">. </w:t>
      </w:r>
      <w:r w:rsidR="002E42B2">
        <w:rPr>
          <w:rFonts w:ascii="Arial" w:hAnsi="Arial" w:cs="Arial"/>
          <w:spacing w:val="-2"/>
          <w:sz w:val="22"/>
          <w:szCs w:val="22"/>
        </w:rPr>
        <w:t xml:space="preserve">Common triggers </w:t>
      </w:r>
      <w:r w:rsidR="00371CC2" w:rsidRPr="00565BCC">
        <w:rPr>
          <w:rFonts w:ascii="Arial" w:hAnsi="Arial" w:cs="Arial"/>
          <w:spacing w:val="-2"/>
          <w:sz w:val="22"/>
          <w:szCs w:val="22"/>
        </w:rPr>
        <w:t xml:space="preserve">for </w:t>
      </w:r>
      <w:r>
        <w:rPr>
          <w:rFonts w:ascii="Arial" w:hAnsi="Arial" w:cs="Arial"/>
          <w:spacing w:val="-2"/>
          <w:sz w:val="22"/>
          <w:szCs w:val="22"/>
        </w:rPr>
        <w:t>a t</w:t>
      </w:r>
      <w:r w:rsidR="00371CC2" w:rsidRPr="00565BCC">
        <w:rPr>
          <w:rFonts w:ascii="Arial" w:hAnsi="Arial" w:cs="Arial"/>
          <w:spacing w:val="-2"/>
          <w:sz w:val="22"/>
          <w:szCs w:val="22"/>
        </w:rPr>
        <w:t xml:space="preserve">argeted </w:t>
      </w:r>
      <w:r w:rsidR="008B4A59">
        <w:rPr>
          <w:rFonts w:ascii="Arial" w:hAnsi="Arial" w:cs="Arial"/>
          <w:spacing w:val="-2"/>
          <w:sz w:val="22"/>
          <w:szCs w:val="22"/>
        </w:rPr>
        <w:t>r</w:t>
      </w:r>
      <w:r w:rsidR="00371CC2" w:rsidRPr="00565BCC">
        <w:rPr>
          <w:rFonts w:ascii="Arial" w:hAnsi="Arial" w:cs="Arial"/>
          <w:spacing w:val="-2"/>
          <w:sz w:val="22"/>
          <w:szCs w:val="22"/>
        </w:rPr>
        <w:t xml:space="preserve">eview </w:t>
      </w:r>
      <w:r w:rsidR="00D94055">
        <w:rPr>
          <w:rFonts w:ascii="Arial" w:hAnsi="Arial" w:cs="Arial"/>
          <w:spacing w:val="-2"/>
          <w:sz w:val="22"/>
          <w:szCs w:val="22"/>
        </w:rPr>
        <w:t>i</w:t>
      </w:r>
      <w:r w:rsidR="00371CC2" w:rsidRPr="00565BCC">
        <w:rPr>
          <w:rFonts w:ascii="Arial" w:hAnsi="Arial" w:cs="Arial"/>
          <w:spacing w:val="-2"/>
          <w:sz w:val="22"/>
          <w:szCs w:val="22"/>
        </w:rPr>
        <w:t>nclude</w:t>
      </w:r>
      <w:r w:rsidR="000704C9" w:rsidRPr="00565BCC">
        <w:rPr>
          <w:rFonts w:ascii="Arial" w:hAnsi="Arial" w:cs="Arial"/>
          <w:spacing w:val="-2"/>
          <w:sz w:val="22"/>
          <w:szCs w:val="22"/>
        </w:rPr>
        <w:t>:</w:t>
      </w:r>
      <w:r w:rsidR="00F1746C" w:rsidRPr="00565BCC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6DE2582F" w14:textId="71DECEFA" w:rsidR="00D94055" w:rsidRPr="00D94055" w:rsidRDefault="006B3C1C" w:rsidP="00CC00DF">
      <w:pPr>
        <w:pStyle w:val="BodyText"/>
        <w:numPr>
          <w:ilvl w:val="0"/>
          <w:numId w:val="1"/>
        </w:numPr>
        <w:spacing w:before="120" w:line="240" w:lineRule="auto"/>
        <w:ind w:right="403"/>
        <w:rPr>
          <w:rFonts w:ascii="Arial" w:hAnsi="Arial" w:cs="Arial"/>
          <w:spacing w:val="-2"/>
          <w:sz w:val="22"/>
          <w:szCs w:val="22"/>
        </w:rPr>
      </w:pPr>
      <w:r w:rsidRPr="00D94055">
        <w:rPr>
          <w:rFonts w:ascii="Arial" w:hAnsi="Arial" w:cs="Arial"/>
          <w:spacing w:val="-2"/>
          <w:sz w:val="22"/>
          <w:szCs w:val="22"/>
        </w:rPr>
        <w:t>Concerns identified during baseline monitoring activities</w:t>
      </w:r>
      <w:r w:rsidR="00D94055" w:rsidRPr="00D94055">
        <w:rPr>
          <w:rFonts w:ascii="Arial" w:hAnsi="Arial" w:cs="Arial"/>
          <w:spacing w:val="-2"/>
          <w:sz w:val="22"/>
          <w:szCs w:val="22"/>
        </w:rPr>
        <w:t xml:space="preserve">, such as non-compliance around 725 standards and assurances </w:t>
      </w:r>
      <w:r w:rsidR="00D94055">
        <w:rPr>
          <w:rFonts w:ascii="Arial" w:hAnsi="Arial" w:cs="Arial"/>
          <w:spacing w:val="-2"/>
          <w:sz w:val="22"/>
          <w:szCs w:val="22"/>
        </w:rPr>
        <w:t xml:space="preserve">as </w:t>
      </w:r>
      <w:r w:rsidR="00D94055" w:rsidRPr="00D94055">
        <w:rPr>
          <w:rFonts w:ascii="Arial" w:hAnsi="Arial" w:cs="Arial"/>
          <w:spacing w:val="-2"/>
          <w:sz w:val="22"/>
          <w:szCs w:val="22"/>
        </w:rPr>
        <w:t xml:space="preserve">documented in the PPR or </w:t>
      </w:r>
      <w:r w:rsidR="00D94055">
        <w:rPr>
          <w:rFonts w:ascii="Arial" w:hAnsi="Arial" w:cs="Arial"/>
          <w:spacing w:val="-2"/>
          <w:sz w:val="22"/>
          <w:szCs w:val="22"/>
        </w:rPr>
        <w:t>c</w:t>
      </w:r>
      <w:r w:rsidR="00D94055" w:rsidRPr="00D94055">
        <w:rPr>
          <w:rFonts w:ascii="Arial" w:hAnsi="Arial" w:cs="Arial"/>
          <w:spacing w:val="-2"/>
          <w:sz w:val="22"/>
          <w:szCs w:val="22"/>
        </w:rPr>
        <w:t>onsistently delinquent or incorrect/incomplete submissions of FFR/</w:t>
      </w:r>
      <w:proofErr w:type="gramStart"/>
      <w:r w:rsidR="00D94055" w:rsidRPr="00D94055">
        <w:rPr>
          <w:rFonts w:ascii="Arial" w:hAnsi="Arial" w:cs="Arial"/>
          <w:spacing w:val="-2"/>
          <w:sz w:val="22"/>
          <w:szCs w:val="22"/>
        </w:rPr>
        <w:t>PPRs;</w:t>
      </w:r>
      <w:proofErr w:type="gramEnd"/>
    </w:p>
    <w:p w14:paraId="4C2DEB0C" w14:textId="31BFDABD" w:rsidR="00F1746C" w:rsidRPr="00565BCC" w:rsidRDefault="0D1FE755" w:rsidP="006467B6">
      <w:pPr>
        <w:pStyle w:val="BodyText"/>
        <w:numPr>
          <w:ilvl w:val="0"/>
          <w:numId w:val="1"/>
        </w:numPr>
        <w:spacing w:before="120" w:line="240" w:lineRule="auto"/>
        <w:ind w:left="475" w:right="403"/>
        <w:rPr>
          <w:rFonts w:ascii="Arial" w:hAnsi="Arial" w:cs="Arial"/>
          <w:sz w:val="22"/>
          <w:szCs w:val="22"/>
        </w:rPr>
      </w:pPr>
      <w:r w:rsidRPr="00565BCC">
        <w:rPr>
          <w:rFonts w:ascii="Arial" w:hAnsi="Arial" w:cs="Arial"/>
          <w:spacing w:val="-2"/>
          <w:sz w:val="22"/>
          <w:szCs w:val="22"/>
        </w:rPr>
        <w:t>External c</w:t>
      </w:r>
      <w:r w:rsidR="37FAB26E" w:rsidRPr="00565BCC">
        <w:rPr>
          <w:rFonts w:ascii="Arial" w:hAnsi="Arial" w:cs="Arial"/>
          <w:spacing w:val="-2"/>
          <w:sz w:val="22"/>
          <w:szCs w:val="22"/>
        </w:rPr>
        <w:t xml:space="preserve">omplaint </w:t>
      </w:r>
      <w:r w:rsidRPr="00565BCC">
        <w:rPr>
          <w:rFonts w:ascii="Arial" w:hAnsi="Arial" w:cs="Arial"/>
          <w:spacing w:val="-2"/>
          <w:sz w:val="22"/>
          <w:szCs w:val="22"/>
        </w:rPr>
        <w:t>or concern</w:t>
      </w:r>
      <w:r w:rsidR="5486D8B0" w:rsidRPr="00565BCC">
        <w:rPr>
          <w:rFonts w:ascii="Arial" w:hAnsi="Arial" w:cs="Arial"/>
          <w:spacing w:val="-2"/>
          <w:sz w:val="22"/>
          <w:szCs w:val="22"/>
        </w:rPr>
        <w:t xml:space="preserve"> received by ACL</w:t>
      </w:r>
      <w:r w:rsidR="002E42B2">
        <w:rPr>
          <w:rFonts w:ascii="Arial" w:hAnsi="Arial" w:cs="Arial"/>
          <w:spacing w:val="-2"/>
          <w:sz w:val="22"/>
          <w:szCs w:val="22"/>
        </w:rPr>
        <w:t xml:space="preserve"> (Note: Complaint details and sources are kept confidential</w:t>
      </w:r>
      <w:proofErr w:type="gramStart"/>
      <w:r w:rsidR="002E42B2">
        <w:rPr>
          <w:rFonts w:ascii="Arial" w:hAnsi="Arial" w:cs="Arial"/>
          <w:spacing w:val="-2"/>
          <w:sz w:val="22"/>
          <w:szCs w:val="22"/>
        </w:rPr>
        <w:t>)</w:t>
      </w:r>
      <w:r w:rsidR="00202234">
        <w:rPr>
          <w:rFonts w:ascii="Arial" w:hAnsi="Arial" w:cs="Arial"/>
          <w:spacing w:val="-2"/>
          <w:sz w:val="22"/>
          <w:szCs w:val="22"/>
        </w:rPr>
        <w:t>;</w:t>
      </w:r>
      <w:proofErr w:type="gramEnd"/>
    </w:p>
    <w:p w14:paraId="6C542180" w14:textId="28374985" w:rsidR="00A608A3" w:rsidRPr="00565BCC" w:rsidRDefault="12562733" w:rsidP="006467B6">
      <w:pPr>
        <w:pStyle w:val="BodyText"/>
        <w:numPr>
          <w:ilvl w:val="0"/>
          <w:numId w:val="1"/>
        </w:numPr>
        <w:spacing w:before="120" w:line="240" w:lineRule="auto"/>
        <w:ind w:left="475" w:right="403"/>
        <w:rPr>
          <w:rFonts w:ascii="Arial" w:hAnsi="Arial" w:cs="Arial"/>
        </w:rPr>
      </w:pPr>
      <w:r w:rsidRPr="6C35DEA5">
        <w:rPr>
          <w:rFonts w:ascii="Arial" w:hAnsi="Arial" w:cs="Arial"/>
          <w:sz w:val="22"/>
          <w:szCs w:val="22"/>
        </w:rPr>
        <w:t>Lack of tax</w:t>
      </w:r>
      <w:r w:rsidR="56F8B940" w:rsidRPr="6C35DEA5">
        <w:rPr>
          <w:rFonts w:ascii="Arial" w:hAnsi="Arial" w:cs="Arial"/>
          <w:sz w:val="22"/>
          <w:szCs w:val="22"/>
        </w:rPr>
        <w:t>-</w:t>
      </w:r>
      <w:r w:rsidRPr="6C35DEA5">
        <w:rPr>
          <w:rFonts w:ascii="Arial" w:hAnsi="Arial" w:cs="Arial"/>
          <w:sz w:val="22"/>
          <w:szCs w:val="22"/>
        </w:rPr>
        <w:t>exempt status (</w:t>
      </w:r>
      <w:r w:rsidR="659A439C" w:rsidRPr="002E42B2">
        <w:rPr>
          <w:rFonts w:ascii="Arial" w:hAnsi="Arial" w:cs="Arial"/>
          <w:sz w:val="22"/>
          <w:szCs w:val="22"/>
        </w:rPr>
        <w:t>i</w:t>
      </w:r>
      <w:r w:rsidR="659A439C" w:rsidRPr="008878CF">
        <w:rPr>
          <w:rFonts w:ascii="Arial" w:hAnsi="Arial" w:cs="Arial"/>
          <w:i/>
          <w:iCs/>
          <w:sz w:val="22"/>
          <w:szCs w:val="22"/>
        </w:rPr>
        <w:t>.e.</w:t>
      </w:r>
      <w:r w:rsidR="659A439C" w:rsidRPr="6C35DEA5">
        <w:rPr>
          <w:rFonts w:ascii="Arial" w:hAnsi="Arial" w:cs="Arial"/>
          <w:sz w:val="22"/>
          <w:szCs w:val="22"/>
        </w:rPr>
        <w:t xml:space="preserve">, </w:t>
      </w:r>
      <w:r w:rsidRPr="6C35DEA5">
        <w:rPr>
          <w:rFonts w:ascii="Arial" w:hAnsi="Arial" w:cs="Arial"/>
          <w:sz w:val="22"/>
          <w:szCs w:val="22"/>
        </w:rPr>
        <w:t>failure to file 990</w:t>
      </w:r>
      <w:proofErr w:type="gramStart"/>
      <w:r w:rsidRPr="6C35DEA5">
        <w:rPr>
          <w:rFonts w:ascii="Arial" w:hAnsi="Arial" w:cs="Arial"/>
          <w:sz w:val="22"/>
          <w:szCs w:val="22"/>
        </w:rPr>
        <w:t>)</w:t>
      </w:r>
      <w:r w:rsidR="00202234">
        <w:rPr>
          <w:rFonts w:ascii="Arial" w:hAnsi="Arial" w:cs="Arial"/>
          <w:sz w:val="22"/>
          <w:szCs w:val="22"/>
        </w:rPr>
        <w:t>;</w:t>
      </w:r>
      <w:proofErr w:type="gramEnd"/>
    </w:p>
    <w:p w14:paraId="56935AE2" w14:textId="1C9F5798" w:rsidR="00A608A3" w:rsidRPr="00565BCC" w:rsidRDefault="12562733" w:rsidP="006467B6">
      <w:pPr>
        <w:pStyle w:val="BodyText"/>
        <w:numPr>
          <w:ilvl w:val="0"/>
          <w:numId w:val="1"/>
        </w:numPr>
        <w:spacing w:before="120" w:line="240" w:lineRule="auto"/>
        <w:ind w:left="475" w:right="403"/>
        <w:rPr>
          <w:rFonts w:ascii="Arial" w:hAnsi="Arial" w:cs="Arial"/>
          <w:sz w:val="22"/>
          <w:szCs w:val="22"/>
        </w:rPr>
      </w:pPr>
      <w:r w:rsidRPr="5FD9D104">
        <w:rPr>
          <w:rFonts w:ascii="Arial" w:hAnsi="Arial" w:cs="Arial"/>
          <w:sz w:val="22"/>
          <w:szCs w:val="22"/>
        </w:rPr>
        <w:t xml:space="preserve">CIL </w:t>
      </w:r>
      <w:r w:rsidR="00202234">
        <w:rPr>
          <w:rFonts w:ascii="Arial" w:hAnsi="Arial" w:cs="Arial"/>
          <w:sz w:val="22"/>
          <w:szCs w:val="22"/>
        </w:rPr>
        <w:t xml:space="preserve">is </w:t>
      </w:r>
      <w:r w:rsidRPr="5FD9D104">
        <w:rPr>
          <w:rFonts w:ascii="Arial" w:hAnsi="Arial" w:cs="Arial"/>
          <w:sz w:val="22"/>
          <w:szCs w:val="22"/>
        </w:rPr>
        <w:t>operat</w:t>
      </w:r>
      <w:r w:rsidR="006B3C1C">
        <w:rPr>
          <w:rFonts w:ascii="Arial" w:hAnsi="Arial" w:cs="Arial"/>
          <w:sz w:val="22"/>
          <w:szCs w:val="22"/>
        </w:rPr>
        <w:t>ing</w:t>
      </w:r>
      <w:r w:rsidRPr="5FD9D104">
        <w:rPr>
          <w:rFonts w:ascii="Arial" w:hAnsi="Arial" w:cs="Arial"/>
          <w:sz w:val="22"/>
          <w:szCs w:val="22"/>
        </w:rPr>
        <w:t xml:space="preserve"> or manag</w:t>
      </w:r>
      <w:r w:rsidR="006B3C1C">
        <w:rPr>
          <w:rFonts w:ascii="Arial" w:hAnsi="Arial" w:cs="Arial"/>
          <w:sz w:val="22"/>
          <w:szCs w:val="22"/>
        </w:rPr>
        <w:t>ing</w:t>
      </w:r>
      <w:r w:rsidRPr="5FD9D104">
        <w:rPr>
          <w:rFonts w:ascii="Arial" w:hAnsi="Arial" w:cs="Arial"/>
          <w:sz w:val="22"/>
          <w:szCs w:val="22"/>
        </w:rPr>
        <w:t xml:space="preserve"> </w:t>
      </w:r>
      <w:r w:rsidR="002E42B2">
        <w:rPr>
          <w:rFonts w:ascii="Arial" w:hAnsi="Arial" w:cs="Arial"/>
          <w:sz w:val="22"/>
          <w:szCs w:val="22"/>
        </w:rPr>
        <w:t xml:space="preserve">residential </w:t>
      </w:r>
      <w:proofErr w:type="gramStart"/>
      <w:r w:rsidR="79C5F503" w:rsidRPr="5FD9D104">
        <w:rPr>
          <w:rFonts w:ascii="Arial" w:hAnsi="Arial" w:cs="Arial"/>
          <w:sz w:val="22"/>
          <w:szCs w:val="22"/>
        </w:rPr>
        <w:t>housing</w:t>
      </w:r>
      <w:r w:rsidR="00202234">
        <w:rPr>
          <w:rFonts w:ascii="Arial" w:hAnsi="Arial" w:cs="Arial"/>
          <w:sz w:val="22"/>
          <w:szCs w:val="22"/>
        </w:rPr>
        <w:t>;</w:t>
      </w:r>
      <w:proofErr w:type="gramEnd"/>
      <w:r w:rsidR="79C5F503" w:rsidRPr="5FD9D104">
        <w:rPr>
          <w:rFonts w:ascii="Arial" w:hAnsi="Arial" w:cs="Arial"/>
          <w:sz w:val="22"/>
          <w:szCs w:val="22"/>
        </w:rPr>
        <w:t xml:space="preserve"> </w:t>
      </w:r>
    </w:p>
    <w:p w14:paraId="5AD8D9AC" w14:textId="765152F1" w:rsidR="00B47AC4" w:rsidRPr="00565BCC" w:rsidRDefault="751F7C9C" w:rsidP="006467B6">
      <w:pPr>
        <w:pStyle w:val="BodyText"/>
        <w:numPr>
          <w:ilvl w:val="0"/>
          <w:numId w:val="1"/>
        </w:numPr>
        <w:spacing w:before="120" w:line="240" w:lineRule="auto"/>
        <w:ind w:left="475" w:right="403"/>
        <w:rPr>
          <w:rFonts w:ascii="Arial" w:hAnsi="Arial" w:cs="Arial"/>
          <w:sz w:val="22"/>
          <w:szCs w:val="22"/>
        </w:rPr>
      </w:pPr>
      <w:r w:rsidRPr="6C35DEA5">
        <w:rPr>
          <w:rFonts w:ascii="Arial" w:hAnsi="Arial" w:cs="Arial"/>
          <w:sz w:val="22"/>
          <w:szCs w:val="22"/>
        </w:rPr>
        <w:t xml:space="preserve">PMS drawdown rate </w:t>
      </w:r>
      <w:r w:rsidR="00202234">
        <w:rPr>
          <w:rFonts w:ascii="Arial" w:hAnsi="Arial" w:cs="Arial"/>
          <w:sz w:val="22"/>
          <w:szCs w:val="22"/>
        </w:rPr>
        <w:t xml:space="preserve">is </w:t>
      </w:r>
      <w:r w:rsidRPr="6C35DEA5">
        <w:rPr>
          <w:rFonts w:ascii="Arial" w:hAnsi="Arial" w:cs="Arial"/>
          <w:sz w:val="22"/>
          <w:szCs w:val="22"/>
        </w:rPr>
        <w:t>two or three times the grantee’s average drawdown rate</w:t>
      </w:r>
      <w:r w:rsidR="00002FBF">
        <w:rPr>
          <w:rFonts w:ascii="Arial" w:hAnsi="Arial" w:cs="Arial"/>
          <w:sz w:val="22"/>
          <w:szCs w:val="22"/>
        </w:rPr>
        <w:t>,</w:t>
      </w:r>
      <w:r w:rsidR="000E7DD1">
        <w:rPr>
          <w:rFonts w:ascii="Arial" w:hAnsi="Arial" w:cs="Arial"/>
          <w:sz w:val="22"/>
          <w:szCs w:val="22"/>
        </w:rPr>
        <w:t xml:space="preserve"> or </w:t>
      </w:r>
      <w:r w:rsidR="00202234">
        <w:rPr>
          <w:rFonts w:ascii="Arial" w:hAnsi="Arial" w:cs="Arial"/>
          <w:sz w:val="22"/>
          <w:szCs w:val="22"/>
        </w:rPr>
        <w:t xml:space="preserve">there is </w:t>
      </w:r>
      <w:r w:rsidR="000E7DD1">
        <w:rPr>
          <w:rFonts w:ascii="Arial" w:hAnsi="Arial" w:cs="Arial"/>
          <w:sz w:val="22"/>
          <w:szCs w:val="22"/>
        </w:rPr>
        <w:t xml:space="preserve">little to no drawdown activity with project period end date </w:t>
      </w:r>
      <w:proofErr w:type="gramStart"/>
      <w:r w:rsidR="000E7DD1">
        <w:rPr>
          <w:rFonts w:ascii="Arial" w:hAnsi="Arial" w:cs="Arial"/>
          <w:sz w:val="22"/>
          <w:szCs w:val="22"/>
        </w:rPr>
        <w:t>approaching</w:t>
      </w:r>
      <w:r w:rsidR="00202234">
        <w:rPr>
          <w:rFonts w:ascii="Arial" w:hAnsi="Arial" w:cs="Arial"/>
          <w:sz w:val="22"/>
          <w:szCs w:val="22"/>
        </w:rPr>
        <w:t>;</w:t>
      </w:r>
      <w:proofErr w:type="gramEnd"/>
    </w:p>
    <w:p w14:paraId="41C34D48" w14:textId="7C06F9FA" w:rsidR="000E7DD1" w:rsidRPr="00D94055" w:rsidRDefault="00D94055" w:rsidP="00A73553">
      <w:pPr>
        <w:pStyle w:val="BodyText"/>
        <w:numPr>
          <w:ilvl w:val="0"/>
          <w:numId w:val="1"/>
        </w:numPr>
        <w:spacing w:before="120" w:line="240" w:lineRule="auto"/>
        <w:ind w:left="475" w:right="403"/>
        <w:rPr>
          <w:rFonts w:ascii="Arial" w:hAnsi="Arial" w:cs="Arial"/>
          <w:sz w:val="22"/>
          <w:szCs w:val="22"/>
        </w:rPr>
      </w:pPr>
      <w:r w:rsidRPr="00D94055">
        <w:rPr>
          <w:rFonts w:ascii="Arial" w:hAnsi="Arial" w:cs="Arial"/>
          <w:sz w:val="22"/>
          <w:szCs w:val="22"/>
        </w:rPr>
        <w:t>Unallowable costs incurred on award</w:t>
      </w:r>
      <w:r>
        <w:rPr>
          <w:rFonts w:ascii="Arial" w:hAnsi="Arial" w:cs="Arial"/>
          <w:sz w:val="22"/>
          <w:szCs w:val="22"/>
        </w:rPr>
        <w:t xml:space="preserve"> or d</w:t>
      </w:r>
      <w:r w:rsidR="000E7DD1" w:rsidRPr="00D94055">
        <w:rPr>
          <w:rFonts w:ascii="Arial" w:hAnsi="Arial" w:cs="Arial"/>
          <w:sz w:val="22"/>
          <w:szCs w:val="22"/>
        </w:rPr>
        <w:t>rawdown of grant funds without supporting documentation of obligation and use</w:t>
      </w:r>
      <w:r w:rsidR="0088663E" w:rsidRPr="00D94055">
        <w:rPr>
          <w:rFonts w:ascii="Arial" w:hAnsi="Arial" w:cs="Arial"/>
          <w:sz w:val="22"/>
          <w:szCs w:val="22"/>
        </w:rPr>
        <w:t xml:space="preserve"> within the performance </w:t>
      </w:r>
      <w:proofErr w:type="gramStart"/>
      <w:r w:rsidR="0088663E" w:rsidRPr="00D94055">
        <w:rPr>
          <w:rFonts w:ascii="Arial" w:hAnsi="Arial" w:cs="Arial"/>
          <w:sz w:val="22"/>
          <w:szCs w:val="22"/>
        </w:rPr>
        <w:t>period</w:t>
      </w:r>
      <w:r w:rsidR="00202234" w:rsidRPr="00D94055">
        <w:rPr>
          <w:rFonts w:ascii="Arial" w:hAnsi="Arial" w:cs="Arial"/>
          <w:sz w:val="22"/>
          <w:szCs w:val="22"/>
        </w:rPr>
        <w:t>;</w:t>
      </w:r>
      <w:proofErr w:type="gramEnd"/>
    </w:p>
    <w:p w14:paraId="4EDA0828" w14:textId="2884C8E0" w:rsidR="0023249E" w:rsidRDefault="00202234" w:rsidP="009971FE">
      <w:pPr>
        <w:pStyle w:val="BodyText"/>
        <w:numPr>
          <w:ilvl w:val="0"/>
          <w:numId w:val="1"/>
        </w:numPr>
        <w:spacing w:before="120" w:after="240" w:line="240" w:lineRule="auto"/>
        <w:ind w:left="475" w:right="4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</w:t>
      </w:r>
      <w:r w:rsidR="000E7DD1">
        <w:rPr>
          <w:rFonts w:ascii="Arial" w:hAnsi="Arial" w:cs="Arial"/>
          <w:sz w:val="22"/>
          <w:szCs w:val="22"/>
        </w:rPr>
        <w:t>elinquent single audit reports, or unresolved s</w:t>
      </w:r>
      <w:r w:rsidR="1D0807A3" w:rsidRPr="6C35DEA5">
        <w:rPr>
          <w:rFonts w:ascii="Arial" w:hAnsi="Arial" w:cs="Arial"/>
          <w:sz w:val="22"/>
          <w:szCs w:val="22"/>
        </w:rPr>
        <w:t>ingle audit findings</w:t>
      </w:r>
      <w:r w:rsidR="000E7DD1">
        <w:rPr>
          <w:rFonts w:ascii="Arial" w:hAnsi="Arial" w:cs="Arial"/>
          <w:sz w:val="22"/>
          <w:szCs w:val="22"/>
        </w:rPr>
        <w:t>, especially those findings that involve questioned costs</w:t>
      </w:r>
      <w:r w:rsidR="00D94055">
        <w:rPr>
          <w:rFonts w:ascii="Arial" w:hAnsi="Arial" w:cs="Arial"/>
          <w:sz w:val="22"/>
          <w:szCs w:val="22"/>
        </w:rPr>
        <w:t>.</w:t>
      </w:r>
      <w:r w:rsidR="1D0807A3" w:rsidRPr="6C35DEA5">
        <w:rPr>
          <w:rFonts w:ascii="Arial" w:hAnsi="Arial" w:cs="Arial"/>
          <w:sz w:val="22"/>
          <w:szCs w:val="22"/>
        </w:rPr>
        <w:t xml:space="preserve"> </w:t>
      </w:r>
    </w:p>
    <w:p w14:paraId="4092A249" w14:textId="77777777" w:rsidR="008B4A59" w:rsidRPr="008B4A59" w:rsidRDefault="008B4A59" w:rsidP="008B4A59">
      <w:pPr>
        <w:pStyle w:val="ListParagraph"/>
        <w:spacing w:after="0" w:line="240" w:lineRule="auto"/>
        <w:ind w:left="480"/>
        <w:rPr>
          <w:rStyle w:val="Hyperlink"/>
          <w:rFonts w:ascii="Arial" w:hAnsi="Arial" w:cs="Arial"/>
          <w:color w:val="auto"/>
          <w:u w:val="none"/>
        </w:rPr>
      </w:pPr>
    </w:p>
    <w:p w14:paraId="7472582F" w14:textId="67F94F53" w:rsidR="00695B03" w:rsidRDefault="00695B03" w:rsidP="002E42B2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9C2145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Overview of </w:t>
      </w:r>
      <w:r w:rsidR="002E42B2" w:rsidRPr="009C2145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Targeted Review </w:t>
      </w:r>
      <w:r w:rsidRPr="009C2145">
        <w:rPr>
          <w:rFonts w:ascii="Arial" w:hAnsi="Arial" w:cs="Arial"/>
          <w:b/>
          <w:bCs/>
          <w:color w:val="4472C4" w:themeColor="accent1"/>
          <w:sz w:val="28"/>
          <w:szCs w:val="28"/>
        </w:rPr>
        <w:t>Process</w:t>
      </w:r>
      <w:r w:rsidR="002E42B2" w:rsidRPr="009C2145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and Estimated Timeline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1756"/>
        <w:gridCol w:w="4139"/>
        <w:gridCol w:w="1848"/>
      </w:tblGrid>
      <w:tr w:rsidR="007A4DF4" w:rsidRPr="009C2145" w14:paraId="19D19A13" w14:textId="77777777" w:rsidTr="009C2145">
        <w:trPr>
          <w:jc w:val="center"/>
        </w:trPr>
        <w:tc>
          <w:tcPr>
            <w:tcW w:w="669" w:type="dxa"/>
          </w:tcPr>
          <w:p w14:paraId="5605E225" w14:textId="27CD7E45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Step</w:t>
            </w:r>
          </w:p>
        </w:tc>
        <w:tc>
          <w:tcPr>
            <w:tcW w:w="1756" w:type="dxa"/>
          </w:tcPr>
          <w:p w14:paraId="3AC18BDE" w14:textId="5F1A217B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Action</w:t>
            </w:r>
          </w:p>
        </w:tc>
        <w:tc>
          <w:tcPr>
            <w:tcW w:w="4139" w:type="dxa"/>
          </w:tcPr>
          <w:p w14:paraId="2E1FA91A" w14:textId="74DFE2D3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Description</w:t>
            </w:r>
          </w:p>
        </w:tc>
        <w:tc>
          <w:tcPr>
            <w:tcW w:w="1848" w:type="dxa"/>
          </w:tcPr>
          <w:p w14:paraId="0FA7220A" w14:textId="1D08D476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Timeline</w:t>
            </w:r>
          </w:p>
        </w:tc>
      </w:tr>
      <w:tr w:rsidR="007A4DF4" w:rsidRPr="009C2145" w14:paraId="6116C49E" w14:textId="77777777" w:rsidTr="009C2145">
        <w:trPr>
          <w:jc w:val="center"/>
        </w:trPr>
        <w:tc>
          <w:tcPr>
            <w:tcW w:w="669" w:type="dxa"/>
          </w:tcPr>
          <w:p w14:paraId="2732006B" w14:textId="7BA013A6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56" w:type="dxa"/>
          </w:tcPr>
          <w:p w14:paraId="4446D513" w14:textId="4CB587CE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Monitoring Notification</w:t>
            </w:r>
          </w:p>
        </w:tc>
        <w:tc>
          <w:tcPr>
            <w:tcW w:w="4139" w:type="dxa"/>
          </w:tcPr>
          <w:p w14:paraId="6C690953" w14:textId="68D65772" w:rsidR="007A4DF4" w:rsidRPr="009C2145" w:rsidRDefault="006D4AE1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ACL</w:t>
            </w:r>
            <w:r w:rsidR="002770B2" w:rsidRPr="009C2145">
              <w:rPr>
                <w:rFonts w:ascii="Arial" w:hAnsi="Arial" w:cs="Arial"/>
                <w:sz w:val="21"/>
                <w:szCs w:val="21"/>
              </w:rPr>
              <w:t xml:space="preserve"> staff </w:t>
            </w:r>
            <w:r w:rsidR="006B3C1C">
              <w:rPr>
                <w:rFonts w:ascii="Arial" w:hAnsi="Arial" w:cs="Arial"/>
                <w:sz w:val="21"/>
                <w:szCs w:val="21"/>
              </w:rPr>
              <w:t xml:space="preserve">notifies grantee of targeted review, </w:t>
            </w:r>
            <w:r w:rsidR="006B3C1C" w:rsidRPr="009C2145">
              <w:rPr>
                <w:rFonts w:ascii="Arial" w:hAnsi="Arial" w:cs="Arial"/>
                <w:sz w:val="21"/>
                <w:szCs w:val="21"/>
              </w:rPr>
              <w:t>identif</w:t>
            </w:r>
            <w:r w:rsidR="006B3C1C">
              <w:rPr>
                <w:rFonts w:ascii="Arial" w:hAnsi="Arial" w:cs="Arial"/>
                <w:sz w:val="21"/>
                <w:szCs w:val="21"/>
              </w:rPr>
              <w:t xml:space="preserve">ies the </w:t>
            </w:r>
            <w:r w:rsidR="006B3C1C" w:rsidRPr="009C2145">
              <w:rPr>
                <w:rFonts w:ascii="Arial" w:hAnsi="Arial" w:cs="Arial"/>
                <w:sz w:val="21"/>
                <w:szCs w:val="21"/>
              </w:rPr>
              <w:t>reason</w:t>
            </w:r>
            <w:r w:rsidR="006B3C1C">
              <w:rPr>
                <w:rFonts w:ascii="Arial" w:hAnsi="Arial" w:cs="Arial"/>
                <w:sz w:val="21"/>
                <w:szCs w:val="21"/>
              </w:rPr>
              <w:t>,</w:t>
            </w:r>
            <w:r w:rsidR="006B3C1C" w:rsidRPr="009C21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="00AA36FA" w:rsidRPr="009C2145">
              <w:rPr>
                <w:rFonts w:ascii="Arial" w:hAnsi="Arial" w:cs="Arial"/>
                <w:sz w:val="21"/>
                <w:szCs w:val="21"/>
              </w:rPr>
              <w:lastRenderedPageBreak/>
              <w:t>schedules introductory meeting with the grantee</w:t>
            </w:r>
            <w:r w:rsidR="006E545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848" w:type="dxa"/>
          </w:tcPr>
          <w:p w14:paraId="558BD887" w14:textId="77777777" w:rsidR="007A4DF4" w:rsidRPr="009C2145" w:rsidRDefault="002E42B2" w:rsidP="002E42B2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lastRenderedPageBreak/>
              <w:t xml:space="preserve">Within </w:t>
            </w:r>
            <w:r w:rsidR="00784623" w:rsidRPr="009C2145">
              <w:rPr>
                <w:rFonts w:ascii="Arial" w:hAnsi="Arial" w:cs="Arial"/>
                <w:sz w:val="21"/>
                <w:szCs w:val="21"/>
              </w:rPr>
              <w:t>two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week</w:t>
            </w:r>
            <w:r w:rsidR="00784623" w:rsidRPr="009C2145">
              <w:rPr>
                <w:rFonts w:ascii="Arial" w:hAnsi="Arial" w:cs="Arial"/>
                <w:sz w:val="21"/>
                <w:szCs w:val="21"/>
              </w:rPr>
              <w:t>s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if it is a </w:t>
            </w:r>
            <w:r w:rsidRPr="009C2145">
              <w:rPr>
                <w:rFonts w:ascii="Arial" w:hAnsi="Arial" w:cs="Arial"/>
                <w:sz w:val="21"/>
                <w:szCs w:val="21"/>
              </w:rPr>
              <w:lastRenderedPageBreak/>
              <w:t xml:space="preserve">complaint. Others are planned over the year. </w:t>
            </w:r>
          </w:p>
          <w:p w14:paraId="186ED454" w14:textId="0A8C0D1E" w:rsidR="009C2145" w:rsidRPr="009C2145" w:rsidRDefault="009C2145" w:rsidP="002E42B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DF4" w:rsidRPr="009C2145" w14:paraId="57850BF3" w14:textId="77777777" w:rsidTr="009C2145">
        <w:trPr>
          <w:jc w:val="center"/>
        </w:trPr>
        <w:tc>
          <w:tcPr>
            <w:tcW w:w="669" w:type="dxa"/>
          </w:tcPr>
          <w:p w14:paraId="64C0586A" w14:textId="4845800B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1756" w:type="dxa"/>
          </w:tcPr>
          <w:p w14:paraId="420CC030" w14:textId="5B601301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Introductory Meeting</w:t>
            </w:r>
          </w:p>
        </w:tc>
        <w:tc>
          <w:tcPr>
            <w:tcW w:w="4139" w:type="dxa"/>
          </w:tcPr>
          <w:p w14:paraId="0D9D63F7" w14:textId="110C33C1" w:rsidR="007A4DF4" w:rsidRPr="009C2145" w:rsidRDefault="006E545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ACL a</w:t>
            </w:r>
            <w:r w:rsidR="00565BCC" w:rsidRPr="009C2145">
              <w:rPr>
                <w:rFonts w:ascii="Arial" w:hAnsi="Arial" w:cs="Arial"/>
                <w:sz w:val="21"/>
                <w:szCs w:val="21"/>
              </w:rPr>
              <w:t>nswer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565BCC" w:rsidRPr="009C2145">
              <w:rPr>
                <w:rFonts w:ascii="Arial" w:hAnsi="Arial" w:cs="Arial"/>
                <w:sz w:val="21"/>
                <w:szCs w:val="21"/>
              </w:rPr>
              <w:t xml:space="preserve"> grantee questions; </w:t>
            </w:r>
            <w:r w:rsidR="002770B2" w:rsidRPr="009C2145">
              <w:rPr>
                <w:rFonts w:ascii="Arial" w:hAnsi="Arial" w:cs="Arial"/>
                <w:sz w:val="21"/>
                <w:szCs w:val="21"/>
              </w:rPr>
              <w:t>D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>iscuss</w:t>
            </w:r>
            <w:r w:rsidR="006B3C1C">
              <w:rPr>
                <w:rFonts w:ascii="Arial" w:hAnsi="Arial" w:cs="Arial"/>
                <w:sz w:val="21"/>
                <w:szCs w:val="21"/>
              </w:rPr>
              <w:t>es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 xml:space="preserve"> next steps</w:t>
            </w:r>
            <w:r w:rsidR="00565BCC" w:rsidRPr="009C2145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>provide</w:t>
            </w:r>
            <w:r w:rsidR="006B3C1C">
              <w:rPr>
                <w:rFonts w:ascii="Arial" w:hAnsi="Arial" w:cs="Arial"/>
                <w:sz w:val="21"/>
                <w:szCs w:val="21"/>
              </w:rPr>
              <w:t>s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 xml:space="preserve"> an overview of requested documentation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E35B791" w14:textId="037023EC" w:rsidR="009C2145" w:rsidRPr="009C2145" w:rsidRDefault="009C214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8" w:type="dxa"/>
          </w:tcPr>
          <w:p w14:paraId="71F95A0E" w14:textId="77777777" w:rsidR="007A4DF4" w:rsidRPr="009C2145" w:rsidRDefault="00C205F6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Based on grantee availability</w:t>
            </w:r>
          </w:p>
          <w:p w14:paraId="67C6C973" w14:textId="4B376AC4" w:rsidR="009C2145" w:rsidRPr="009C2145" w:rsidRDefault="009C214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DF4" w:rsidRPr="009C2145" w14:paraId="5539776A" w14:textId="77777777" w:rsidTr="009C2145">
        <w:trPr>
          <w:jc w:val="center"/>
        </w:trPr>
        <w:tc>
          <w:tcPr>
            <w:tcW w:w="669" w:type="dxa"/>
          </w:tcPr>
          <w:p w14:paraId="2274DC61" w14:textId="7FFA70DD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56" w:type="dxa"/>
          </w:tcPr>
          <w:p w14:paraId="7837476E" w14:textId="6B737757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Information Request/review</w:t>
            </w:r>
          </w:p>
        </w:tc>
        <w:tc>
          <w:tcPr>
            <w:tcW w:w="4139" w:type="dxa"/>
          </w:tcPr>
          <w:p w14:paraId="635657BD" w14:textId="7B9E681D" w:rsidR="007A4DF4" w:rsidRPr="009C2145" w:rsidRDefault="009E1002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G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>rantee submit</w:t>
            </w:r>
            <w:r w:rsidR="006B3C1C">
              <w:rPr>
                <w:rFonts w:ascii="Arial" w:hAnsi="Arial" w:cs="Arial"/>
                <w:sz w:val="21"/>
                <w:szCs w:val="21"/>
              </w:rPr>
              <w:t>s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 xml:space="preserve"> requested documents</w:t>
            </w:r>
            <w:r w:rsidR="00565BCC" w:rsidRPr="009C2145">
              <w:rPr>
                <w:rFonts w:ascii="Arial" w:hAnsi="Arial" w:cs="Arial"/>
                <w:sz w:val="21"/>
                <w:szCs w:val="21"/>
              </w:rPr>
              <w:t xml:space="preserve"> (fiscal and/or programmatic)</w:t>
            </w:r>
            <w:r w:rsidR="00D71066" w:rsidRPr="009C2145">
              <w:rPr>
                <w:rFonts w:ascii="Arial" w:hAnsi="Arial" w:cs="Arial"/>
                <w:sz w:val="21"/>
                <w:szCs w:val="21"/>
              </w:rPr>
              <w:t xml:space="preserve"> or information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2E42B2" w:rsidRPr="009C2145">
              <w:rPr>
                <w:rFonts w:ascii="Arial" w:hAnsi="Arial" w:cs="Arial"/>
                <w:sz w:val="21"/>
                <w:szCs w:val="21"/>
              </w:rPr>
              <w:t xml:space="preserve"> After review, ACL may request additional information.</w:t>
            </w:r>
            <w:r w:rsidR="00D71066" w:rsidRPr="009C2145">
              <w:rPr>
                <w:rFonts w:ascii="Arial" w:hAnsi="Arial" w:cs="Arial"/>
                <w:sz w:val="21"/>
                <w:szCs w:val="21"/>
              </w:rPr>
              <w:t xml:space="preserve"> If there are no findings, notification sent to the grantee that the review is closed with no findings. If there are findings, AC</w:t>
            </w:r>
            <w:r w:rsidR="00784623" w:rsidRPr="009C2145">
              <w:rPr>
                <w:rFonts w:ascii="Arial" w:hAnsi="Arial" w:cs="Arial"/>
                <w:sz w:val="21"/>
                <w:szCs w:val="21"/>
              </w:rPr>
              <w:t>L</w:t>
            </w:r>
            <w:r w:rsidR="00D71066" w:rsidRPr="009C2145">
              <w:rPr>
                <w:rFonts w:ascii="Arial" w:hAnsi="Arial" w:cs="Arial"/>
                <w:sz w:val="21"/>
                <w:szCs w:val="21"/>
              </w:rPr>
              <w:t xml:space="preserve"> proceed</w:t>
            </w:r>
            <w:r w:rsidR="006B3C1C">
              <w:rPr>
                <w:rFonts w:ascii="Arial" w:hAnsi="Arial" w:cs="Arial"/>
                <w:sz w:val="21"/>
                <w:szCs w:val="21"/>
              </w:rPr>
              <w:t>s</w:t>
            </w:r>
            <w:r w:rsidR="00D71066" w:rsidRPr="009C2145">
              <w:rPr>
                <w:rFonts w:ascii="Arial" w:hAnsi="Arial" w:cs="Arial"/>
                <w:sz w:val="21"/>
                <w:szCs w:val="21"/>
              </w:rPr>
              <w:t xml:space="preserve"> to step 4.</w:t>
            </w:r>
            <w:r w:rsidR="002E42B2" w:rsidRPr="009C214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BBC5120" w14:textId="39DFF916" w:rsidR="009C2145" w:rsidRPr="009C2145" w:rsidRDefault="009C214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8" w:type="dxa"/>
          </w:tcPr>
          <w:p w14:paraId="321D7262" w14:textId="07476F86" w:rsidR="007A4DF4" w:rsidRPr="009C2145" w:rsidRDefault="7812C396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 xml:space="preserve">Up to </w:t>
            </w:r>
            <w:r w:rsidR="00D71066" w:rsidRPr="009C2145">
              <w:rPr>
                <w:rFonts w:ascii="Arial" w:hAnsi="Arial" w:cs="Arial"/>
                <w:sz w:val="21"/>
                <w:szCs w:val="21"/>
              </w:rPr>
              <w:t>6</w:t>
            </w:r>
            <w:r w:rsidR="698508BE" w:rsidRPr="009C21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weeks </w:t>
            </w:r>
          </w:p>
        </w:tc>
      </w:tr>
      <w:tr w:rsidR="007A4DF4" w:rsidRPr="009C2145" w14:paraId="40B0344D" w14:textId="77777777" w:rsidTr="009C2145">
        <w:trPr>
          <w:jc w:val="center"/>
        </w:trPr>
        <w:tc>
          <w:tcPr>
            <w:tcW w:w="669" w:type="dxa"/>
          </w:tcPr>
          <w:p w14:paraId="2FC2B2F5" w14:textId="4C82157D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56" w:type="dxa"/>
          </w:tcPr>
          <w:p w14:paraId="5B5839F1" w14:textId="1AEFEC83" w:rsidR="007A4DF4" w:rsidRPr="009C2145" w:rsidRDefault="00D71066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M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>eeting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with grantee over findings</w:t>
            </w:r>
          </w:p>
        </w:tc>
        <w:tc>
          <w:tcPr>
            <w:tcW w:w="4139" w:type="dxa"/>
          </w:tcPr>
          <w:p w14:paraId="3487EE83" w14:textId="4FBCD4D1" w:rsidR="006E545A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Discuss</w:t>
            </w:r>
            <w:r w:rsidR="006B3C1C">
              <w:rPr>
                <w:rFonts w:ascii="Arial" w:hAnsi="Arial" w:cs="Arial"/>
                <w:sz w:val="21"/>
                <w:szCs w:val="21"/>
              </w:rPr>
              <w:t>es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review</w:t>
            </w:r>
            <w:r w:rsidR="00D71066" w:rsidRPr="009C2145">
              <w:rPr>
                <w:rFonts w:ascii="Arial" w:hAnsi="Arial" w:cs="Arial"/>
                <w:sz w:val="21"/>
                <w:szCs w:val="21"/>
              </w:rPr>
              <w:t xml:space="preserve"> and findings</w:t>
            </w:r>
            <w:r w:rsidRPr="009C2145">
              <w:rPr>
                <w:rFonts w:ascii="Arial" w:hAnsi="Arial" w:cs="Arial"/>
                <w:sz w:val="21"/>
                <w:szCs w:val="21"/>
              </w:rPr>
              <w:t>; determine</w:t>
            </w:r>
            <w:r w:rsidR="006B3C1C">
              <w:rPr>
                <w:rFonts w:ascii="Arial" w:hAnsi="Arial" w:cs="Arial"/>
                <w:sz w:val="21"/>
                <w:szCs w:val="21"/>
              </w:rPr>
              <w:t>s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need for corrective action</w:t>
            </w:r>
            <w:r w:rsidR="00D71066" w:rsidRPr="009C2145">
              <w:rPr>
                <w:rFonts w:ascii="Arial" w:hAnsi="Arial" w:cs="Arial"/>
                <w:sz w:val="21"/>
                <w:szCs w:val="21"/>
              </w:rPr>
              <w:t xml:space="preserve"> or TA. If CAP needed, move</w:t>
            </w:r>
            <w:r w:rsidR="006B3C1C">
              <w:rPr>
                <w:rFonts w:ascii="Arial" w:hAnsi="Arial" w:cs="Arial"/>
                <w:sz w:val="21"/>
                <w:szCs w:val="21"/>
              </w:rPr>
              <w:t>s</w:t>
            </w:r>
            <w:r w:rsidR="00D71066" w:rsidRPr="009C2145">
              <w:rPr>
                <w:rFonts w:ascii="Arial" w:hAnsi="Arial" w:cs="Arial"/>
                <w:sz w:val="21"/>
                <w:szCs w:val="21"/>
              </w:rPr>
              <w:t xml:space="preserve"> to step 5. </w:t>
            </w:r>
          </w:p>
          <w:p w14:paraId="3C62E282" w14:textId="621DF190" w:rsidR="007A4DF4" w:rsidRPr="009C2145" w:rsidRDefault="00D71066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 xml:space="preserve">If </w:t>
            </w:r>
            <w:r w:rsidR="006E545A">
              <w:rPr>
                <w:rFonts w:ascii="Arial" w:hAnsi="Arial" w:cs="Arial"/>
                <w:sz w:val="21"/>
                <w:szCs w:val="21"/>
              </w:rPr>
              <w:t xml:space="preserve">CAP is </w:t>
            </w:r>
            <w:r w:rsidRPr="009C2145">
              <w:rPr>
                <w:rFonts w:ascii="Arial" w:hAnsi="Arial" w:cs="Arial"/>
                <w:sz w:val="21"/>
                <w:szCs w:val="21"/>
              </w:rPr>
              <w:t>not</w:t>
            </w:r>
            <w:r w:rsidR="006E545A">
              <w:rPr>
                <w:rFonts w:ascii="Arial" w:hAnsi="Arial" w:cs="Arial"/>
                <w:sz w:val="21"/>
                <w:szCs w:val="21"/>
              </w:rPr>
              <w:t xml:space="preserve"> needed</w:t>
            </w:r>
            <w:r w:rsidRPr="009C2145">
              <w:rPr>
                <w:rFonts w:ascii="Arial" w:hAnsi="Arial" w:cs="Arial"/>
                <w:sz w:val="21"/>
                <w:szCs w:val="21"/>
              </w:rPr>
              <w:t>,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B3C1C">
              <w:rPr>
                <w:rFonts w:ascii="Arial" w:hAnsi="Arial" w:cs="Arial"/>
                <w:sz w:val="21"/>
                <w:szCs w:val="21"/>
              </w:rPr>
              <w:t xml:space="preserve">ACL 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>connect</w:t>
            </w:r>
            <w:r w:rsidR="006B3C1C">
              <w:rPr>
                <w:rFonts w:ascii="Arial" w:hAnsi="Arial" w:cs="Arial"/>
                <w:sz w:val="21"/>
                <w:szCs w:val="21"/>
              </w:rPr>
              <w:t>s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B3C1C">
              <w:rPr>
                <w:rFonts w:ascii="Arial" w:hAnsi="Arial" w:cs="Arial"/>
                <w:sz w:val="21"/>
                <w:szCs w:val="21"/>
              </w:rPr>
              <w:t xml:space="preserve">grantee </w:t>
            </w:r>
            <w:r w:rsidR="007A4DF4" w:rsidRPr="009C2145">
              <w:rPr>
                <w:rFonts w:ascii="Arial" w:hAnsi="Arial" w:cs="Arial"/>
                <w:sz w:val="21"/>
                <w:szCs w:val="21"/>
              </w:rPr>
              <w:t>with appropriate TA provider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if applicable</w:t>
            </w:r>
            <w:r w:rsidR="006E545A">
              <w:rPr>
                <w:rFonts w:ascii="Arial" w:hAnsi="Arial" w:cs="Arial"/>
                <w:sz w:val="21"/>
                <w:szCs w:val="21"/>
              </w:rPr>
              <w:t>, and close</w:t>
            </w:r>
            <w:r w:rsidR="006B3C1C">
              <w:rPr>
                <w:rFonts w:ascii="Arial" w:hAnsi="Arial" w:cs="Arial"/>
                <w:sz w:val="21"/>
                <w:szCs w:val="21"/>
              </w:rPr>
              <w:t>s</w:t>
            </w:r>
            <w:r w:rsidR="006E545A">
              <w:rPr>
                <w:rFonts w:ascii="Arial" w:hAnsi="Arial" w:cs="Arial"/>
                <w:sz w:val="21"/>
                <w:szCs w:val="21"/>
              </w:rPr>
              <w:t xml:space="preserve"> the review. Schedule</w:t>
            </w:r>
            <w:r w:rsidR="006B3C1C">
              <w:rPr>
                <w:rFonts w:ascii="Arial" w:hAnsi="Arial" w:cs="Arial"/>
                <w:sz w:val="21"/>
                <w:szCs w:val="21"/>
              </w:rPr>
              <w:t>s</w:t>
            </w:r>
            <w:r w:rsidR="006E545A">
              <w:rPr>
                <w:rFonts w:ascii="Arial" w:hAnsi="Arial" w:cs="Arial"/>
                <w:sz w:val="21"/>
                <w:szCs w:val="21"/>
              </w:rPr>
              <w:t xml:space="preserve"> follow up for at least 90 days later to determine progress</w:t>
            </w:r>
            <w:r w:rsidRPr="009C214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2B3C3B1" w14:textId="15A231D1" w:rsidR="009C2145" w:rsidRPr="009C2145" w:rsidRDefault="009C214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8" w:type="dxa"/>
          </w:tcPr>
          <w:p w14:paraId="05535F64" w14:textId="549946A2" w:rsidR="007A4DF4" w:rsidRPr="009C2145" w:rsidRDefault="00D71066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 xml:space="preserve">Within 2 weeks of completing step 3 </w:t>
            </w:r>
          </w:p>
        </w:tc>
      </w:tr>
      <w:tr w:rsidR="007A4DF4" w:rsidRPr="009C2145" w14:paraId="37900588" w14:textId="77777777" w:rsidTr="009C2145">
        <w:trPr>
          <w:jc w:val="center"/>
        </w:trPr>
        <w:tc>
          <w:tcPr>
            <w:tcW w:w="669" w:type="dxa"/>
          </w:tcPr>
          <w:p w14:paraId="2B45EC19" w14:textId="4162283E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56" w:type="dxa"/>
          </w:tcPr>
          <w:p w14:paraId="347F457D" w14:textId="25C77EC6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CAP Development</w:t>
            </w:r>
          </w:p>
        </w:tc>
        <w:tc>
          <w:tcPr>
            <w:tcW w:w="4139" w:type="dxa"/>
          </w:tcPr>
          <w:p w14:paraId="11998E0D" w14:textId="5F1C97B2" w:rsidR="007A4DF4" w:rsidRPr="009C2145" w:rsidRDefault="4E9DE87E" w:rsidP="6C35DEA5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With s</w:t>
            </w:r>
            <w:r w:rsidR="7812C396" w:rsidRPr="009C2145">
              <w:rPr>
                <w:rFonts w:ascii="Arial" w:hAnsi="Arial" w:cs="Arial"/>
                <w:sz w:val="21"/>
                <w:szCs w:val="21"/>
              </w:rPr>
              <w:t xml:space="preserve">upport </w:t>
            </w:r>
            <w:r w:rsidR="15A669E8" w:rsidRPr="009C2145">
              <w:rPr>
                <w:rFonts w:ascii="Arial" w:hAnsi="Arial" w:cs="Arial"/>
                <w:sz w:val="21"/>
                <w:szCs w:val="21"/>
              </w:rPr>
              <w:t>from</w:t>
            </w:r>
            <w:r w:rsidR="7812C396" w:rsidRPr="009C2145">
              <w:rPr>
                <w:rFonts w:ascii="Arial" w:hAnsi="Arial" w:cs="Arial"/>
                <w:sz w:val="21"/>
                <w:szCs w:val="21"/>
              </w:rPr>
              <w:t xml:space="preserve"> TA provider</w:t>
            </w:r>
            <w:r w:rsidR="698508BE" w:rsidRPr="009C2145">
              <w:rPr>
                <w:rFonts w:ascii="Arial" w:hAnsi="Arial" w:cs="Arial"/>
                <w:sz w:val="21"/>
                <w:szCs w:val="21"/>
              </w:rPr>
              <w:t>s</w:t>
            </w:r>
            <w:r w:rsidR="75CAF2C3" w:rsidRPr="009C2145">
              <w:rPr>
                <w:rFonts w:ascii="Arial" w:hAnsi="Arial" w:cs="Arial"/>
                <w:sz w:val="21"/>
                <w:szCs w:val="21"/>
              </w:rPr>
              <w:t xml:space="preserve"> as needed</w:t>
            </w:r>
            <w:r w:rsidR="7812C396" w:rsidRPr="009C2145">
              <w:rPr>
                <w:rFonts w:ascii="Arial" w:hAnsi="Arial" w:cs="Arial"/>
                <w:sz w:val="21"/>
                <w:szCs w:val="21"/>
              </w:rPr>
              <w:t>, grantee develop</w:t>
            </w:r>
            <w:r w:rsidR="5CDAF40E" w:rsidRPr="009C2145">
              <w:rPr>
                <w:rFonts w:ascii="Arial" w:hAnsi="Arial" w:cs="Arial"/>
                <w:sz w:val="21"/>
                <w:szCs w:val="21"/>
              </w:rPr>
              <w:t>s</w:t>
            </w:r>
            <w:r w:rsidR="7812C396" w:rsidRPr="009C2145">
              <w:rPr>
                <w:rFonts w:ascii="Arial" w:hAnsi="Arial" w:cs="Arial"/>
                <w:sz w:val="21"/>
                <w:szCs w:val="21"/>
              </w:rPr>
              <w:t xml:space="preserve"> CAP </w:t>
            </w:r>
            <w:r w:rsidR="698508BE" w:rsidRPr="009C2145">
              <w:rPr>
                <w:rFonts w:ascii="Arial" w:hAnsi="Arial" w:cs="Arial"/>
                <w:sz w:val="21"/>
                <w:szCs w:val="21"/>
              </w:rPr>
              <w:t xml:space="preserve">(including timelines) </w:t>
            </w:r>
            <w:r w:rsidR="7812C396" w:rsidRPr="009C2145">
              <w:rPr>
                <w:rFonts w:ascii="Arial" w:hAnsi="Arial" w:cs="Arial"/>
                <w:sz w:val="21"/>
                <w:szCs w:val="21"/>
              </w:rPr>
              <w:t>for approval.</w:t>
            </w:r>
          </w:p>
        </w:tc>
        <w:tc>
          <w:tcPr>
            <w:tcW w:w="1848" w:type="dxa"/>
          </w:tcPr>
          <w:p w14:paraId="49B635B0" w14:textId="77777777" w:rsidR="007A4DF4" w:rsidRPr="009C2145" w:rsidRDefault="63A951D1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 xml:space="preserve">Negotiated with </w:t>
            </w:r>
            <w:r w:rsidR="00563528" w:rsidRPr="009C2145">
              <w:rPr>
                <w:rFonts w:ascii="Arial" w:hAnsi="Arial" w:cs="Arial"/>
                <w:sz w:val="21"/>
                <w:szCs w:val="21"/>
              </w:rPr>
              <w:t>ACL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– generally within 30 days</w:t>
            </w:r>
            <w:r w:rsidR="1F6DA048" w:rsidRPr="009C214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E1DBA71" w14:textId="43060E37" w:rsidR="009C2145" w:rsidRPr="009C2145" w:rsidRDefault="009C214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DF4" w:rsidRPr="009C2145" w14:paraId="1860361B" w14:textId="77777777" w:rsidTr="009C2145">
        <w:trPr>
          <w:jc w:val="center"/>
        </w:trPr>
        <w:tc>
          <w:tcPr>
            <w:tcW w:w="669" w:type="dxa"/>
          </w:tcPr>
          <w:p w14:paraId="5BB90CC3" w14:textId="2B460868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56" w:type="dxa"/>
          </w:tcPr>
          <w:p w14:paraId="652B7379" w14:textId="3AD40309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CAP Approval Meeting</w:t>
            </w:r>
          </w:p>
        </w:tc>
        <w:tc>
          <w:tcPr>
            <w:tcW w:w="4139" w:type="dxa"/>
          </w:tcPr>
          <w:p w14:paraId="335A591A" w14:textId="16B58DF9" w:rsidR="007A4DF4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Including the TA provider</w:t>
            </w:r>
            <w:r w:rsidR="006E545A">
              <w:rPr>
                <w:rFonts w:ascii="Arial" w:hAnsi="Arial" w:cs="Arial"/>
                <w:sz w:val="21"/>
                <w:szCs w:val="21"/>
              </w:rPr>
              <w:t xml:space="preserve"> to support the grantee in completing the CAP</w:t>
            </w:r>
            <w:r w:rsidRPr="009C2145">
              <w:rPr>
                <w:rFonts w:ascii="Arial" w:hAnsi="Arial" w:cs="Arial"/>
                <w:sz w:val="21"/>
                <w:szCs w:val="21"/>
              </w:rPr>
              <w:t>, discuss</w:t>
            </w:r>
            <w:r w:rsidR="006B3C1C">
              <w:rPr>
                <w:rFonts w:ascii="Arial" w:hAnsi="Arial" w:cs="Arial"/>
                <w:sz w:val="21"/>
                <w:szCs w:val="21"/>
              </w:rPr>
              <w:t>es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final CAP approval and implementation </w:t>
            </w:r>
            <w:r w:rsidR="00784623" w:rsidRPr="009C2145">
              <w:rPr>
                <w:rFonts w:ascii="Arial" w:hAnsi="Arial" w:cs="Arial"/>
                <w:sz w:val="21"/>
                <w:szCs w:val="21"/>
              </w:rPr>
              <w:t>or if revisions need to be made</w:t>
            </w:r>
            <w:r w:rsidR="006E545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EF9D29B" w14:textId="0632E681" w:rsidR="009D063D" w:rsidRPr="009C2145" w:rsidRDefault="009D06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8" w:type="dxa"/>
          </w:tcPr>
          <w:p w14:paraId="3C7B25AC" w14:textId="430D1FE5" w:rsidR="007A4DF4" w:rsidRPr="009C2145" w:rsidRDefault="109717D2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 xml:space="preserve">Within 30 </w:t>
            </w:r>
            <w:r w:rsidR="00AF0F82" w:rsidRPr="009C2145">
              <w:rPr>
                <w:rFonts w:ascii="Arial" w:hAnsi="Arial" w:cs="Arial"/>
                <w:sz w:val="21"/>
                <w:szCs w:val="21"/>
              </w:rPr>
              <w:t>days after</w:t>
            </w:r>
            <w:r w:rsidR="00C205F6" w:rsidRPr="009C2145">
              <w:rPr>
                <w:rFonts w:ascii="Arial" w:hAnsi="Arial" w:cs="Arial"/>
                <w:sz w:val="21"/>
                <w:szCs w:val="21"/>
              </w:rPr>
              <w:t xml:space="preserve"> CAP submission</w:t>
            </w:r>
            <w:r w:rsidR="54DF0577" w:rsidRPr="009C214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2FC61F9" w14:textId="66F46865" w:rsidR="009C2145" w:rsidRPr="009C2145" w:rsidRDefault="009C214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4DF4" w:rsidRPr="009C2145" w14:paraId="7A1280EC" w14:textId="77777777" w:rsidTr="009C2145">
        <w:trPr>
          <w:jc w:val="center"/>
        </w:trPr>
        <w:tc>
          <w:tcPr>
            <w:tcW w:w="669" w:type="dxa"/>
          </w:tcPr>
          <w:p w14:paraId="6DADEE2D" w14:textId="19856D0B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756" w:type="dxa"/>
          </w:tcPr>
          <w:p w14:paraId="449720FE" w14:textId="2306CC8B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CAP Update</w:t>
            </w:r>
            <w:r w:rsidR="009F478D" w:rsidRPr="009C2145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4139" w:type="dxa"/>
          </w:tcPr>
          <w:p w14:paraId="6EAE9432" w14:textId="77777777" w:rsidR="009C2145" w:rsidRDefault="007A4DF4" w:rsidP="009D063D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Grantee submits CAP updates. May include meetings as needed</w:t>
            </w:r>
            <w:r w:rsidR="006E545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4D998CC" w14:textId="3FF4343A" w:rsidR="009D063D" w:rsidRPr="009C2145" w:rsidRDefault="009D063D" w:rsidP="009D063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8" w:type="dxa"/>
          </w:tcPr>
          <w:p w14:paraId="3A25795D" w14:textId="46AA3255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Every 30 days</w:t>
            </w:r>
          </w:p>
        </w:tc>
      </w:tr>
      <w:tr w:rsidR="007A4DF4" w:rsidRPr="009C2145" w14:paraId="05B83844" w14:textId="77777777" w:rsidTr="009C2145">
        <w:trPr>
          <w:jc w:val="center"/>
        </w:trPr>
        <w:tc>
          <w:tcPr>
            <w:tcW w:w="669" w:type="dxa"/>
          </w:tcPr>
          <w:p w14:paraId="0651737B" w14:textId="2AF8D3E4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56" w:type="dxa"/>
          </w:tcPr>
          <w:p w14:paraId="7DC7F7EB" w14:textId="4D7CBA50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 xml:space="preserve">CAP Completion </w:t>
            </w:r>
          </w:p>
        </w:tc>
        <w:tc>
          <w:tcPr>
            <w:tcW w:w="4139" w:type="dxa"/>
          </w:tcPr>
          <w:p w14:paraId="4DD2D4E4" w14:textId="1DADCA02" w:rsidR="007A4DF4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 xml:space="preserve">When all CAP items have been completed, </w:t>
            </w:r>
            <w:r w:rsidR="00620FF3" w:rsidRPr="009C2145">
              <w:rPr>
                <w:rFonts w:ascii="Arial" w:hAnsi="Arial" w:cs="Arial"/>
                <w:sz w:val="21"/>
                <w:szCs w:val="21"/>
              </w:rPr>
              <w:t>ACL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send</w:t>
            </w:r>
            <w:r w:rsidR="006B3C1C">
              <w:rPr>
                <w:rFonts w:ascii="Arial" w:hAnsi="Arial" w:cs="Arial"/>
                <w:sz w:val="21"/>
                <w:szCs w:val="21"/>
              </w:rPr>
              <w:t>s</w:t>
            </w:r>
            <w:r w:rsidRPr="009C2145">
              <w:rPr>
                <w:rFonts w:ascii="Arial" w:hAnsi="Arial" w:cs="Arial"/>
                <w:sz w:val="21"/>
                <w:szCs w:val="21"/>
              </w:rPr>
              <w:t xml:space="preserve"> grantee notification that the </w:t>
            </w:r>
            <w:r w:rsidR="006B3C1C">
              <w:rPr>
                <w:rFonts w:ascii="Arial" w:hAnsi="Arial" w:cs="Arial"/>
                <w:sz w:val="21"/>
                <w:szCs w:val="21"/>
              </w:rPr>
              <w:t xml:space="preserve">targeted review </w:t>
            </w:r>
            <w:r w:rsidRPr="009C2145">
              <w:rPr>
                <w:rFonts w:ascii="Arial" w:hAnsi="Arial" w:cs="Arial"/>
                <w:sz w:val="21"/>
                <w:szCs w:val="21"/>
              </w:rPr>
              <w:t>and CAP process are complete.</w:t>
            </w:r>
          </w:p>
          <w:p w14:paraId="7E03D445" w14:textId="77777777" w:rsidR="006B3C1C" w:rsidRDefault="006B3C1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7EE216" w14:textId="0BD90226" w:rsidR="006B3C1C" w:rsidRPr="009C2145" w:rsidRDefault="006B3C1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8" w:type="dxa"/>
          </w:tcPr>
          <w:p w14:paraId="1BC4694B" w14:textId="305FE044" w:rsidR="007A4DF4" w:rsidRPr="009C2145" w:rsidRDefault="007A4DF4">
            <w:pPr>
              <w:rPr>
                <w:rFonts w:ascii="Arial" w:hAnsi="Arial" w:cs="Arial"/>
                <w:sz w:val="21"/>
                <w:szCs w:val="21"/>
              </w:rPr>
            </w:pPr>
            <w:r w:rsidRPr="009C2145">
              <w:rPr>
                <w:rFonts w:ascii="Arial" w:hAnsi="Arial" w:cs="Arial"/>
                <w:sz w:val="21"/>
                <w:szCs w:val="21"/>
              </w:rPr>
              <w:t>Based on any number of factors, could be as long as 1 year</w:t>
            </w:r>
          </w:p>
        </w:tc>
      </w:tr>
    </w:tbl>
    <w:p w14:paraId="31E9E45B" w14:textId="77777777" w:rsidR="00D94055" w:rsidRDefault="00D94055" w:rsidP="00D9405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A69ABF1" w14:textId="77777777" w:rsidR="00A15104" w:rsidRDefault="00A15104" w:rsidP="00D9405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175494E" w14:textId="77777777" w:rsidR="00A15104" w:rsidRPr="00A15104" w:rsidRDefault="00A15104" w:rsidP="00A15104">
      <w:pPr>
        <w:pStyle w:val="Heading2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A15104">
        <w:rPr>
          <w:rFonts w:ascii="Arial" w:hAnsi="Arial" w:cs="Arial"/>
          <w:b/>
          <w:bCs/>
          <w:color w:val="4472C4" w:themeColor="accent1"/>
          <w:sz w:val="28"/>
          <w:szCs w:val="28"/>
        </w:rPr>
        <w:t>Toolkit</w:t>
      </w:r>
    </w:p>
    <w:p w14:paraId="1B8A1C71" w14:textId="77777777" w:rsidR="00A15104" w:rsidRPr="008B4A59" w:rsidRDefault="00A15104" w:rsidP="00A151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B4A59">
        <w:rPr>
          <w:rStyle w:val="Hyperlink"/>
          <w:rFonts w:ascii="Arial" w:hAnsi="Arial" w:cs="Arial"/>
          <w:color w:val="auto"/>
          <w:u w:val="none"/>
        </w:rPr>
        <w:t>CIL Self- Assessment Tool</w:t>
      </w:r>
      <w:r w:rsidRPr="008B4A5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11" w:history="1">
        <w:r w:rsidRPr="008B4A59">
          <w:rPr>
            <w:rStyle w:val="Hyperlink"/>
            <w:rFonts w:ascii="Arial" w:hAnsi="Arial" w:cs="Arial"/>
            <w:sz w:val="20"/>
            <w:szCs w:val="20"/>
          </w:rPr>
          <w:t>CIL Evaluation Tool (Section 725 CIL Standards and Assurances)</w:t>
        </w:r>
      </w:hyperlink>
    </w:p>
    <w:p w14:paraId="1C71CC22" w14:textId="77777777" w:rsidR="00A15104" w:rsidRPr="008B4A59" w:rsidRDefault="00A15104" w:rsidP="00A15104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B4A59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iscal </w:t>
      </w:r>
      <w:r w:rsidRPr="008B4A59">
        <w:rPr>
          <w:rFonts w:ascii="Arial" w:hAnsi="Arial" w:cs="Arial"/>
        </w:rPr>
        <w:t>Checklist</w:t>
      </w:r>
      <w:r w:rsidRPr="008B4A59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8B4A59">
          <w:rPr>
            <w:rStyle w:val="Hyperlink"/>
            <w:rFonts w:ascii="Arial" w:hAnsi="Arial" w:cs="Arial"/>
            <w:sz w:val="20"/>
            <w:szCs w:val="20"/>
          </w:rPr>
          <w:t>ACL IL Grant Programs Fiscal Review Checklist - Published 12.10.2024.docx</w:t>
        </w:r>
      </w:hyperlink>
    </w:p>
    <w:p w14:paraId="54B0E6DA" w14:textId="77777777" w:rsidR="00A15104" w:rsidRDefault="00A15104" w:rsidP="00A15104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8B4A59">
        <w:rPr>
          <w:rStyle w:val="Hyperlink"/>
          <w:rFonts w:ascii="Arial" w:hAnsi="Arial" w:cs="Arial"/>
          <w:color w:val="auto"/>
          <w:u w:val="none"/>
        </w:rPr>
        <w:t xml:space="preserve">Correction Action Plan Template: </w:t>
      </w:r>
    </w:p>
    <w:p w14:paraId="0F9E92E0" w14:textId="77777777" w:rsidR="00A15104" w:rsidRDefault="00A15104" w:rsidP="00A151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819A57" w14:textId="76B4E17B" w:rsidR="009D063D" w:rsidRPr="00D94055" w:rsidRDefault="00D94055" w:rsidP="00D9405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Created 3.18.25</w:t>
      </w:r>
    </w:p>
    <w:sectPr w:rsidR="009D063D" w:rsidRPr="00D94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33DF" w14:textId="77777777" w:rsidR="00C075DB" w:rsidRDefault="00C075DB" w:rsidP="008B4A59">
      <w:pPr>
        <w:spacing w:after="0" w:line="240" w:lineRule="auto"/>
      </w:pPr>
      <w:r>
        <w:separator/>
      </w:r>
    </w:p>
  </w:endnote>
  <w:endnote w:type="continuationSeparator" w:id="0">
    <w:p w14:paraId="0F41B62E" w14:textId="77777777" w:rsidR="00C075DB" w:rsidRDefault="00C075DB" w:rsidP="008B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C53D" w14:textId="77777777" w:rsidR="00C075DB" w:rsidRDefault="00C075DB" w:rsidP="008B4A59">
      <w:pPr>
        <w:spacing w:after="0" w:line="240" w:lineRule="auto"/>
      </w:pPr>
      <w:r>
        <w:separator/>
      </w:r>
    </w:p>
  </w:footnote>
  <w:footnote w:type="continuationSeparator" w:id="0">
    <w:p w14:paraId="3DBDF970" w14:textId="77777777" w:rsidR="00C075DB" w:rsidRDefault="00C075DB" w:rsidP="008B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83956"/>
    <w:multiLevelType w:val="hybridMultilevel"/>
    <w:tmpl w:val="9AF4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24D8C"/>
    <w:multiLevelType w:val="hybridMultilevel"/>
    <w:tmpl w:val="4C12CDBE"/>
    <w:lvl w:ilvl="0" w:tplc="F27E8E3E"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F966085"/>
    <w:multiLevelType w:val="hybridMultilevel"/>
    <w:tmpl w:val="B6CC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42264">
    <w:abstractNumId w:val="1"/>
  </w:num>
  <w:num w:numId="2" w16cid:durableId="1419448539">
    <w:abstractNumId w:val="2"/>
  </w:num>
  <w:num w:numId="3" w16cid:durableId="188672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5E"/>
    <w:rsid w:val="00002FBF"/>
    <w:rsid w:val="000248E0"/>
    <w:rsid w:val="00056B67"/>
    <w:rsid w:val="000704C9"/>
    <w:rsid w:val="00075D29"/>
    <w:rsid w:val="000B48BE"/>
    <w:rsid w:val="000E7DD1"/>
    <w:rsid w:val="000F714C"/>
    <w:rsid w:val="00114EA5"/>
    <w:rsid w:val="0018056C"/>
    <w:rsid w:val="001B493E"/>
    <w:rsid w:val="001C7340"/>
    <w:rsid w:val="00202234"/>
    <w:rsid w:val="002235E6"/>
    <w:rsid w:val="00231472"/>
    <w:rsid w:val="0023249E"/>
    <w:rsid w:val="00255476"/>
    <w:rsid w:val="002770B2"/>
    <w:rsid w:val="0029169D"/>
    <w:rsid w:val="002B0DC1"/>
    <w:rsid w:val="002E42B2"/>
    <w:rsid w:val="00353D46"/>
    <w:rsid w:val="00371CC2"/>
    <w:rsid w:val="003900FF"/>
    <w:rsid w:val="0039392B"/>
    <w:rsid w:val="003D7D4F"/>
    <w:rsid w:val="003F786C"/>
    <w:rsid w:val="00421B28"/>
    <w:rsid w:val="00427942"/>
    <w:rsid w:val="004439EB"/>
    <w:rsid w:val="00450976"/>
    <w:rsid w:val="0046256B"/>
    <w:rsid w:val="004707E7"/>
    <w:rsid w:val="00477852"/>
    <w:rsid w:val="004D2D4B"/>
    <w:rsid w:val="004E191B"/>
    <w:rsid w:val="00514D93"/>
    <w:rsid w:val="00522F04"/>
    <w:rsid w:val="005421D0"/>
    <w:rsid w:val="005578BE"/>
    <w:rsid w:val="00563528"/>
    <w:rsid w:val="00565BCC"/>
    <w:rsid w:val="0059030F"/>
    <w:rsid w:val="005A3023"/>
    <w:rsid w:val="005D15E0"/>
    <w:rsid w:val="00620FF3"/>
    <w:rsid w:val="006467B6"/>
    <w:rsid w:val="006533B9"/>
    <w:rsid w:val="00695B03"/>
    <w:rsid w:val="00696107"/>
    <w:rsid w:val="006B3C1C"/>
    <w:rsid w:val="006D4AE1"/>
    <w:rsid w:val="006D6A24"/>
    <w:rsid w:val="006E545A"/>
    <w:rsid w:val="00706832"/>
    <w:rsid w:val="0071755D"/>
    <w:rsid w:val="00725D54"/>
    <w:rsid w:val="00727DF4"/>
    <w:rsid w:val="007701A6"/>
    <w:rsid w:val="00784623"/>
    <w:rsid w:val="00796121"/>
    <w:rsid w:val="007A4DF4"/>
    <w:rsid w:val="007D4F6E"/>
    <w:rsid w:val="007F4641"/>
    <w:rsid w:val="00803039"/>
    <w:rsid w:val="008123D2"/>
    <w:rsid w:val="00814806"/>
    <w:rsid w:val="0083124D"/>
    <w:rsid w:val="00852265"/>
    <w:rsid w:val="00854553"/>
    <w:rsid w:val="00871126"/>
    <w:rsid w:val="0088663E"/>
    <w:rsid w:val="008878CF"/>
    <w:rsid w:val="008B4A59"/>
    <w:rsid w:val="008B5DC8"/>
    <w:rsid w:val="008D4C8D"/>
    <w:rsid w:val="008D526B"/>
    <w:rsid w:val="008E3F95"/>
    <w:rsid w:val="009021A9"/>
    <w:rsid w:val="009049D3"/>
    <w:rsid w:val="0091777E"/>
    <w:rsid w:val="00920B5E"/>
    <w:rsid w:val="009330B8"/>
    <w:rsid w:val="00943D4C"/>
    <w:rsid w:val="0095422E"/>
    <w:rsid w:val="00996E7D"/>
    <w:rsid w:val="009971FE"/>
    <w:rsid w:val="009A178E"/>
    <w:rsid w:val="009A543B"/>
    <w:rsid w:val="009B466F"/>
    <w:rsid w:val="009C01C7"/>
    <w:rsid w:val="009C2145"/>
    <w:rsid w:val="009C4949"/>
    <w:rsid w:val="009D063D"/>
    <w:rsid w:val="009E1002"/>
    <w:rsid w:val="009E4665"/>
    <w:rsid w:val="009F478D"/>
    <w:rsid w:val="00A15104"/>
    <w:rsid w:val="00A474EF"/>
    <w:rsid w:val="00A525BC"/>
    <w:rsid w:val="00A53795"/>
    <w:rsid w:val="00A608A3"/>
    <w:rsid w:val="00A6127C"/>
    <w:rsid w:val="00A73DA3"/>
    <w:rsid w:val="00A8784E"/>
    <w:rsid w:val="00AA36FA"/>
    <w:rsid w:val="00AC730A"/>
    <w:rsid w:val="00AF0F82"/>
    <w:rsid w:val="00AF281B"/>
    <w:rsid w:val="00B47AC4"/>
    <w:rsid w:val="00B532BC"/>
    <w:rsid w:val="00B57C98"/>
    <w:rsid w:val="00B73282"/>
    <w:rsid w:val="00B835AA"/>
    <w:rsid w:val="00B956F9"/>
    <w:rsid w:val="00BA7ACC"/>
    <w:rsid w:val="00BB76AB"/>
    <w:rsid w:val="00BC35F8"/>
    <w:rsid w:val="00BD38FC"/>
    <w:rsid w:val="00BF10F6"/>
    <w:rsid w:val="00C075DB"/>
    <w:rsid w:val="00C158CF"/>
    <w:rsid w:val="00C16AB2"/>
    <w:rsid w:val="00C205F6"/>
    <w:rsid w:val="00C373F8"/>
    <w:rsid w:val="00C53AEB"/>
    <w:rsid w:val="00C8092F"/>
    <w:rsid w:val="00C93834"/>
    <w:rsid w:val="00CA7C19"/>
    <w:rsid w:val="00CB5F9B"/>
    <w:rsid w:val="00CD058A"/>
    <w:rsid w:val="00CE06B7"/>
    <w:rsid w:val="00CE4FE7"/>
    <w:rsid w:val="00D33E74"/>
    <w:rsid w:val="00D62155"/>
    <w:rsid w:val="00D71066"/>
    <w:rsid w:val="00D85733"/>
    <w:rsid w:val="00D94055"/>
    <w:rsid w:val="00DA4ECE"/>
    <w:rsid w:val="00E17662"/>
    <w:rsid w:val="00EB3B6A"/>
    <w:rsid w:val="00EC189D"/>
    <w:rsid w:val="00EC3F03"/>
    <w:rsid w:val="00ED064A"/>
    <w:rsid w:val="00EF755C"/>
    <w:rsid w:val="00F1746C"/>
    <w:rsid w:val="00F273BE"/>
    <w:rsid w:val="00F323B0"/>
    <w:rsid w:val="00F4289A"/>
    <w:rsid w:val="00F63198"/>
    <w:rsid w:val="00F632C4"/>
    <w:rsid w:val="00F659E0"/>
    <w:rsid w:val="00F713A5"/>
    <w:rsid w:val="00F77131"/>
    <w:rsid w:val="00FD6209"/>
    <w:rsid w:val="0476018F"/>
    <w:rsid w:val="07950078"/>
    <w:rsid w:val="079EF08E"/>
    <w:rsid w:val="095A2E2C"/>
    <w:rsid w:val="0A153152"/>
    <w:rsid w:val="0CE52848"/>
    <w:rsid w:val="0CF6716F"/>
    <w:rsid w:val="0D1FE755"/>
    <w:rsid w:val="0D33FF3A"/>
    <w:rsid w:val="0E913BAC"/>
    <w:rsid w:val="109717D2"/>
    <w:rsid w:val="12562733"/>
    <w:rsid w:val="129754B2"/>
    <w:rsid w:val="15A669E8"/>
    <w:rsid w:val="1694A79C"/>
    <w:rsid w:val="1CE96703"/>
    <w:rsid w:val="1D0807A3"/>
    <w:rsid w:val="1E1093C5"/>
    <w:rsid w:val="1F6DA048"/>
    <w:rsid w:val="2714EF94"/>
    <w:rsid w:val="2736B0CB"/>
    <w:rsid w:val="27905CD0"/>
    <w:rsid w:val="29C98730"/>
    <w:rsid w:val="2ADC6E02"/>
    <w:rsid w:val="2B28C5A6"/>
    <w:rsid w:val="2E084779"/>
    <w:rsid w:val="2EB2D068"/>
    <w:rsid w:val="3087C3E9"/>
    <w:rsid w:val="366D1A42"/>
    <w:rsid w:val="37FAB26E"/>
    <w:rsid w:val="39908066"/>
    <w:rsid w:val="3F555C90"/>
    <w:rsid w:val="4325FE68"/>
    <w:rsid w:val="49431E6D"/>
    <w:rsid w:val="4E24808F"/>
    <w:rsid w:val="4E9DE87E"/>
    <w:rsid w:val="5486D8B0"/>
    <w:rsid w:val="54DF0577"/>
    <w:rsid w:val="56F8B940"/>
    <w:rsid w:val="572AF900"/>
    <w:rsid w:val="5911579F"/>
    <w:rsid w:val="5A68A4F3"/>
    <w:rsid w:val="5B6DFBC4"/>
    <w:rsid w:val="5BD35C0D"/>
    <w:rsid w:val="5CDAF40E"/>
    <w:rsid w:val="5E0F7C47"/>
    <w:rsid w:val="5F4AD807"/>
    <w:rsid w:val="5FD9D104"/>
    <w:rsid w:val="63A951D1"/>
    <w:rsid w:val="63E02D5A"/>
    <w:rsid w:val="659A439C"/>
    <w:rsid w:val="6874689C"/>
    <w:rsid w:val="68B080F1"/>
    <w:rsid w:val="68C8C528"/>
    <w:rsid w:val="68DB81DA"/>
    <w:rsid w:val="698508BE"/>
    <w:rsid w:val="6C35DEA5"/>
    <w:rsid w:val="73915E46"/>
    <w:rsid w:val="751F7C9C"/>
    <w:rsid w:val="75CAF2C3"/>
    <w:rsid w:val="7812C396"/>
    <w:rsid w:val="79C5F503"/>
    <w:rsid w:val="7D09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B4837"/>
  <w15:chartTrackingRefBased/>
  <w15:docId w15:val="{04D4EAD1-D246-4B41-A3D7-627FFDE4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B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0B5E"/>
    <w:pPr>
      <w:widowControl w:val="0"/>
      <w:autoSpaceDE w:val="0"/>
      <w:autoSpaceDN w:val="0"/>
      <w:spacing w:after="0" w:line="274" w:lineRule="auto"/>
      <w:ind w:left="839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20B5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C3F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B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C73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5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D5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4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6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59"/>
  </w:style>
  <w:style w:type="paragraph" w:styleId="Footer">
    <w:name w:val="footer"/>
    <w:basedOn w:val="Normal"/>
    <w:link w:val="FooterChar"/>
    <w:uiPriority w:val="99"/>
    <w:unhideWhenUsed/>
    <w:rsid w:val="008B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acl.gov%2Fsites%2Fdefault%2Ffiles%2Fprograms%2F2024-12%2FACL%2520IL%2520Grant%2520Programs%2520Fiscal%2520Review%2520Checklist%2520-%2520Published%252012.10.2024.docx&amp;wdOrigin=BROWSE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erica.mcfadden\AppData\Local\Microsoft\Windows\INetCache\Content.Outlook\LYBAD6IQ\CIL%20Self-Evaluation%20Tool%20(Section%20725%20CIL%20Standards%20and%20Assurances)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5C5001389F547A200C986EF384673" ma:contentTypeVersion="14" ma:contentTypeDescription="Create a new document." ma:contentTypeScope="" ma:versionID="6c5653c40fd4501be2adc110886e98cb">
  <xsd:schema xmlns:xsd="http://www.w3.org/2001/XMLSchema" xmlns:xs="http://www.w3.org/2001/XMLSchema" xmlns:p="http://schemas.microsoft.com/office/2006/metadata/properties" xmlns:ns2="f06a9f50-680d-45b5-8ba6-a12e973f5114" xmlns:ns3="b83dec03-63b4-4233-b1c3-ee51fbe5d8f8" targetNamespace="http://schemas.microsoft.com/office/2006/metadata/properties" ma:root="true" ma:fieldsID="9228433caca3a33d7309c5d83e0171ed" ns2:_="" ns3:_="">
    <xsd:import namespace="f06a9f50-680d-45b5-8ba6-a12e973f5114"/>
    <xsd:import namespace="b83dec03-63b4-4233-b1c3-ee51fbe5d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9f50-680d-45b5-8ba6-a12e973f5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ec03-63b4-4233-b1c3-ee51fbe5d8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7cf524-bbd8-4a8f-a757-62f82762ffe9}" ma:internalName="TaxCatchAll" ma:showField="CatchAllData" ma:web="b83dec03-63b4-4233-b1c3-ee51fbe5d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a9f50-680d-45b5-8ba6-a12e973f5114">
      <Terms xmlns="http://schemas.microsoft.com/office/infopath/2007/PartnerControls"/>
    </lcf76f155ced4ddcb4097134ff3c332f>
    <TaxCatchAll xmlns="b83dec03-63b4-4233-b1c3-ee51fbe5d8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3398-342F-4E51-9DEA-4F4D877FF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36E6C-4C08-477E-A628-FAD3EFC8AD17}"/>
</file>

<file path=customXml/itemProps3.xml><?xml version="1.0" encoding="utf-8"?>
<ds:datastoreItem xmlns:ds="http://schemas.openxmlformats.org/officeDocument/2006/customXml" ds:itemID="{29A2DA2B-6827-43E3-8795-42C714353FF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c7ef77e-170a-485c-855e-b345781b6308"/>
    <ds:schemaRef ds:uri="http://purl.org/dc/elements/1.1/"/>
    <ds:schemaRef ds:uri="http://www.w3.org/XML/1998/namespace"/>
    <ds:schemaRef ds:uri="7a8e9bb9-fd04-47fb-9a37-2c5fdfef240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95A45E-ED98-410F-8D49-9C3998DC36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Targeted Review: A Component of IL COMP</dc:title>
  <dc:subject/>
  <dc:creator>Williams, Hindley (ACL)</dc:creator>
  <cp:keywords/>
  <dc:description/>
  <cp:lastModifiedBy>ACL</cp:lastModifiedBy>
  <cp:revision>4</cp:revision>
  <dcterms:created xsi:type="dcterms:W3CDTF">2025-05-14T18:02:00Z</dcterms:created>
  <dcterms:modified xsi:type="dcterms:W3CDTF">2025-05-27T12:16:00Z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0x010100BD05C5001389F547A200C986EF384673</vt:lpwstr>
  </property>
  <property fmtid="{D5CDD505-2E9C-101B-9397-08002B2CF9AE}" pid="3" name="MediaServiceImageTags">
    <vt:lpwstr/>
  </property>
</Properties>
</file>