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D15A" w14:textId="77777777" w:rsidR="00452E28" w:rsidRPr="006C161A" w:rsidRDefault="00452E28" w:rsidP="006C161A">
      <w:pPr>
        <w:pStyle w:val="Title"/>
        <w:jc w:val="center"/>
        <w:rPr>
          <w:b/>
          <w:bCs/>
          <w:sz w:val="30"/>
          <w:szCs w:val="14"/>
        </w:rPr>
      </w:pPr>
      <w:r w:rsidRPr="006C161A">
        <w:rPr>
          <w:b/>
          <w:bCs/>
          <w:sz w:val="30"/>
          <w:szCs w:val="14"/>
        </w:rPr>
        <w:t>Nutrition and Aging Resource Center</w:t>
      </w:r>
    </w:p>
    <w:p w14:paraId="2BF918DB" w14:textId="77777777" w:rsidR="00870BD9" w:rsidRPr="006C161A" w:rsidRDefault="00870BD9" w:rsidP="006C161A">
      <w:pPr>
        <w:pStyle w:val="Title"/>
        <w:jc w:val="center"/>
        <w:rPr>
          <w:b/>
          <w:bCs/>
          <w:sz w:val="48"/>
          <w:szCs w:val="48"/>
        </w:rPr>
      </w:pPr>
      <w:r w:rsidRPr="006C161A">
        <w:rPr>
          <w:b/>
          <w:bCs/>
          <w:sz w:val="48"/>
          <w:szCs w:val="48"/>
        </w:rPr>
        <w:t>Nutrition Education: What are the Requirements?</w:t>
      </w:r>
    </w:p>
    <w:p w14:paraId="7918052E" w14:textId="57391440" w:rsidR="00043552" w:rsidRPr="00043552" w:rsidRDefault="00452E28" w:rsidP="006C161A">
      <w:pPr>
        <w:pStyle w:val="Subtitle"/>
      </w:pPr>
      <w:r w:rsidRPr="006C161A">
        <w:rPr>
          <w:rStyle w:val="SubtleEmphasis"/>
          <w:i w:val="0"/>
          <w:iCs w:val="0"/>
          <w:color w:val="5A5A5A" w:themeColor="text1" w:themeTint="A5"/>
        </w:rPr>
        <w:t xml:space="preserve">Updated: </w:t>
      </w:r>
      <w:r w:rsidR="00870BD9" w:rsidRPr="006C161A">
        <w:rPr>
          <w:rStyle w:val="SubtleEmphasis"/>
          <w:i w:val="0"/>
          <w:iCs w:val="0"/>
          <w:color w:val="5A5A5A" w:themeColor="text1" w:themeTint="A5"/>
        </w:rPr>
        <w:t>December</w:t>
      </w:r>
      <w:r w:rsidRPr="006C161A">
        <w:rPr>
          <w:rStyle w:val="SubtleEmphasis"/>
          <w:i w:val="0"/>
          <w:iCs w:val="0"/>
          <w:color w:val="5A5A5A" w:themeColor="text1" w:themeTint="A5"/>
        </w:rPr>
        <w:t xml:space="preserve"> 2021</w:t>
      </w:r>
    </w:p>
    <w:p w14:paraId="5FB5C532" w14:textId="5A4A1C6C" w:rsidR="002674DF" w:rsidRDefault="006A2863" w:rsidP="002674DF">
      <w:r>
        <w:t>Under the Older American Act</w:t>
      </w:r>
      <w:r w:rsidR="002674DF">
        <w:t xml:space="preserve"> (OAA)</w:t>
      </w:r>
      <w:r>
        <w:t>, nutrition education is a service</w:t>
      </w:r>
      <w:r w:rsidR="002674DF">
        <w:t xml:space="preserve"> that must be</w:t>
      </w:r>
      <w:r>
        <w:t xml:space="preserve"> provided.</w:t>
      </w:r>
      <w:r w:rsidR="002674DF" w:rsidRPr="002674DF">
        <w:t xml:space="preserve"> </w:t>
      </w:r>
      <w:r w:rsidR="002674DF">
        <w:t xml:space="preserve">Section 331 and 336 of the OAA authorizes </w:t>
      </w:r>
      <w:r w:rsidR="00780AC5">
        <w:t>s</w:t>
      </w:r>
      <w:r w:rsidR="002674DF">
        <w:t>tates to provide nutrition education, nutrition counseling, and other nutrition services, as appropriate, based on the needs of meal participants. In addition, Section 339 requires nutrition projects to</w:t>
      </w:r>
      <w:r w:rsidR="002674DF">
        <w:rPr>
          <w:sz w:val="24"/>
          <w:szCs w:val="24"/>
        </w:rPr>
        <w:t xml:space="preserve"> </w:t>
      </w:r>
      <w:r w:rsidR="002674DF">
        <w:t xml:space="preserve">utilize the expertise of a dietitian or other individual with equivalent education and training in nutrition science, </w:t>
      </w:r>
      <w:r w:rsidR="002674DF">
        <w:rPr>
          <w:spacing w:val="-9"/>
        </w:rPr>
        <w:t>or if</w:t>
      </w:r>
      <w:r w:rsidR="002674DF">
        <w:t xml:space="preserve"> such an individual is not available, an individual with </w:t>
      </w:r>
      <w:r w:rsidR="002674DF">
        <w:rPr>
          <w:spacing w:val="-4"/>
        </w:rPr>
        <w:t>com</w:t>
      </w:r>
      <w:r w:rsidR="002674DF">
        <w:t>parable</w:t>
      </w:r>
      <w:r w:rsidR="002674DF">
        <w:rPr>
          <w:spacing w:val="42"/>
        </w:rPr>
        <w:t xml:space="preserve"> </w:t>
      </w:r>
      <w:r w:rsidR="002674DF">
        <w:t>expertise</w:t>
      </w:r>
      <w:r w:rsidR="002674DF">
        <w:rPr>
          <w:spacing w:val="43"/>
        </w:rPr>
        <w:t xml:space="preserve"> </w:t>
      </w:r>
      <w:r w:rsidR="002674DF">
        <w:t>in</w:t>
      </w:r>
      <w:r w:rsidR="002674DF">
        <w:rPr>
          <w:spacing w:val="43"/>
        </w:rPr>
        <w:t xml:space="preserve"> </w:t>
      </w:r>
      <w:r w:rsidR="002674DF">
        <w:t>the</w:t>
      </w:r>
      <w:r w:rsidR="002674DF">
        <w:rPr>
          <w:spacing w:val="42"/>
        </w:rPr>
        <w:t xml:space="preserve"> </w:t>
      </w:r>
      <w:r w:rsidR="002674DF">
        <w:t>planning</w:t>
      </w:r>
      <w:r w:rsidR="002674DF">
        <w:rPr>
          <w:spacing w:val="43"/>
        </w:rPr>
        <w:t xml:space="preserve"> </w:t>
      </w:r>
      <w:r w:rsidR="002674DF">
        <w:t>of</w:t>
      </w:r>
      <w:r w:rsidR="002674DF">
        <w:rPr>
          <w:spacing w:val="43"/>
        </w:rPr>
        <w:t xml:space="preserve"> </w:t>
      </w:r>
      <w:r w:rsidR="002674DF">
        <w:t>nutritional</w:t>
      </w:r>
      <w:r w:rsidR="002674DF">
        <w:rPr>
          <w:spacing w:val="43"/>
        </w:rPr>
        <w:t xml:space="preserve"> </w:t>
      </w:r>
      <w:r w:rsidR="002674DF">
        <w:t xml:space="preserve">services. </w:t>
      </w:r>
    </w:p>
    <w:p w14:paraId="1D44AB39" w14:textId="68313C1D" w:rsidR="002674DF" w:rsidRDefault="002674DF" w:rsidP="002674DF">
      <w:r>
        <w:t xml:space="preserve">It is the responsibility of State Units on Aging (SUAs) to develop policies, procedures, and guidance for service implementation; they may delegate some responsibility to area agencies on aging (AAA) or local providers, who may outline further policies and procedures. </w:t>
      </w:r>
      <w:r w:rsidR="00875660">
        <w:t>T</w:t>
      </w:r>
      <w:r>
        <w:t>o find out how frequently your nutrition project needs to provide nutrition education, or other policies such as who can provide nutrition education, length and type of education methods permitted, etc, check with your SUA.</w:t>
      </w:r>
    </w:p>
    <w:p w14:paraId="6E6963C6" w14:textId="2D96C029" w:rsidR="002674DF" w:rsidRPr="002674DF" w:rsidRDefault="002674DF" w:rsidP="006C161A">
      <w:pPr>
        <w:pStyle w:val="Heading1"/>
        <w:jc w:val="left"/>
      </w:pPr>
      <w:r w:rsidRPr="002674DF">
        <w:t>Definition of Nutrition Education</w:t>
      </w:r>
    </w:p>
    <w:p w14:paraId="344C8F37" w14:textId="77777777" w:rsidR="002674DF" w:rsidRDefault="002674DF" w:rsidP="002674DF">
      <w:r>
        <w:t>The State Performance Report (SPR)/Older Americans Act Performance System (OAAPS) indicates the following definition:</w:t>
      </w:r>
    </w:p>
    <w:p w14:paraId="7CDCFF06" w14:textId="69E293CA" w:rsidR="002674DF" w:rsidRPr="00F5704B" w:rsidRDefault="002674DF" w:rsidP="00F5704B">
      <w:pPr>
        <w:pStyle w:val="Quote"/>
        <w:rPr>
          <w:rStyle w:val="IntenseEmphasis"/>
        </w:rPr>
      </w:pPr>
      <w:r w:rsidRPr="00F5704B">
        <w:rPr>
          <w:rStyle w:val="IntenseEmphasis"/>
        </w:rPr>
        <w:t xml:space="preserve">An intervention targeting OAA participants and caregivers that uses information dissemination, instruction, or training with the intent to support food, nutrition, and physical activity choices and behaviors (related to nutritional status) in order to maintain or improve health and address nutrition-related conditions. </w:t>
      </w:r>
    </w:p>
    <w:p w14:paraId="5E330FED" w14:textId="6F909A9E" w:rsidR="002674DF" w:rsidRPr="00F5704B" w:rsidRDefault="002674DF" w:rsidP="00F5704B">
      <w:pPr>
        <w:pStyle w:val="Quote"/>
        <w:rPr>
          <w:rStyle w:val="IntenseEmphasis"/>
        </w:rPr>
      </w:pPr>
      <w:r w:rsidRPr="00F5704B">
        <w:rPr>
          <w:rStyle w:val="IntenseEmphasis"/>
        </w:rPr>
        <w:t xml:space="preserve">Content is consistent with the DGA; accurate, culturally sensitive, regionally appropriate, and considers personal preferences; and </w:t>
      </w:r>
      <w:r w:rsidR="00952452" w:rsidRPr="00F5704B">
        <w:rPr>
          <w:rStyle w:val="IntenseEmphasis"/>
        </w:rPr>
        <w:t xml:space="preserve">is </w:t>
      </w:r>
      <w:r w:rsidRPr="00F5704B">
        <w:rPr>
          <w:rStyle w:val="IntenseEmphasis"/>
        </w:rPr>
        <w:t xml:space="preserve">overseen by a registered dietitian or individual of comparable expertise as defined in the OAA. </w:t>
      </w:r>
    </w:p>
    <w:p w14:paraId="31D4EA7A" w14:textId="45B27DC1" w:rsidR="002674DF" w:rsidRDefault="002674DF" w:rsidP="002674DF">
      <w:r>
        <w:t>The SPR/OAAPS definition does not require a specific length of time for nutrition education. In fact, brief interventions may be quite effective:</w:t>
      </w:r>
    </w:p>
    <w:p w14:paraId="72672A38" w14:textId="77777777" w:rsidR="002674DF" w:rsidRPr="002674DF" w:rsidRDefault="003117AA" w:rsidP="002674DF">
      <w:pPr>
        <w:pStyle w:val="ListParagraph"/>
        <w:numPr>
          <w:ilvl w:val="0"/>
          <w:numId w:val="3"/>
        </w:numPr>
      </w:pPr>
      <w:hyperlink r:id="rId10" w:history="1">
        <w:r w:rsidR="002674DF" w:rsidRPr="002674DF">
          <w:rPr>
            <w:rStyle w:val="Hyperlink"/>
          </w:rPr>
          <w:t>Nudging in education</w:t>
        </w:r>
      </w:hyperlink>
    </w:p>
    <w:p w14:paraId="7ACBA57E" w14:textId="0B640932" w:rsidR="002674DF" w:rsidRPr="002674DF" w:rsidRDefault="003117AA" w:rsidP="002674DF">
      <w:pPr>
        <w:pStyle w:val="ListParagraph"/>
        <w:numPr>
          <w:ilvl w:val="0"/>
          <w:numId w:val="3"/>
        </w:numPr>
      </w:pPr>
      <w:hyperlink r:id="rId11" w:history="1">
        <w:r w:rsidR="002674DF" w:rsidRPr="002674DF">
          <w:rPr>
            <w:rStyle w:val="Hyperlink"/>
          </w:rPr>
          <w:t>Why nudges work and how to use them to keep student</w:t>
        </w:r>
        <w:r w:rsidR="00774CB0">
          <w:rPr>
            <w:rStyle w:val="Hyperlink"/>
          </w:rPr>
          <w:t>s</w:t>
        </w:r>
        <w:r w:rsidR="002674DF" w:rsidRPr="002674DF">
          <w:rPr>
            <w:rStyle w:val="Hyperlink"/>
          </w:rPr>
          <w:t xml:space="preserve"> on track</w:t>
        </w:r>
      </w:hyperlink>
      <w:r w:rsidR="002674DF" w:rsidRPr="002674DF">
        <w:t xml:space="preserve"> </w:t>
      </w:r>
    </w:p>
    <w:p w14:paraId="38B87FD1" w14:textId="43406872" w:rsidR="008D51C3" w:rsidRPr="002674DF" w:rsidRDefault="003117AA" w:rsidP="006C161A">
      <w:pPr>
        <w:pStyle w:val="ListParagraph"/>
        <w:numPr>
          <w:ilvl w:val="0"/>
          <w:numId w:val="3"/>
        </w:numPr>
      </w:pPr>
      <w:hyperlink r:id="rId12" w:history="1">
        <w:r w:rsidR="002674DF" w:rsidRPr="002674DF">
          <w:rPr>
            <w:rStyle w:val="Hyperlink"/>
          </w:rPr>
          <w:t xml:space="preserve">The Use of Nudges and Other </w:t>
        </w:r>
        <w:proofErr w:type="spellStart"/>
        <w:r w:rsidR="002674DF" w:rsidRPr="002674DF">
          <w:rPr>
            <w:rStyle w:val="Hyperlink"/>
          </w:rPr>
          <w:t>Behavioural</w:t>
        </w:r>
        <w:proofErr w:type="spellEnd"/>
        <w:r w:rsidR="002674DF" w:rsidRPr="002674DF">
          <w:rPr>
            <w:rStyle w:val="Hyperlink"/>
          </w:rPr>
          <w:t xml:space="preserve"> Approaches in Education</w:t>
        </w:r>
      </w:hyperlink>
    </w:p>
    <w:p w14:paraId="0B56B213" w14:textId="62175EAE" w:rsidR="002674DF" w:rsidRPr="002674DF" w:rsidRDefault="002674DF" w:rsidP="006C161A">
      <w:pPr>
        <w:pStyle w:val="Heading1"/>
        <w:jc w:val="left"/>
      </w:pPr>
      <w:r w:rsidRPr="002674DF">
        <w:t>Service Units</w:t>
      </w:r>
    </w:p>
    <w:p w14:paraId="34726F42" w14:textId="6EAE2183" w:rsidR="002674DF" w:rsidRDefault="008D51C3" w:rsidP="002674DF">
      <w:r>
        <w:t xml:space="preserve">The service units for nutrition education must be reported. SPR/OAAPS definition allows for nutrition education to </w:t>
      </w:r>
      <w:r w:rsidR="002674DF" w:rsidRPr="002674DF">
        <w:t>be delivered in-person or via video, audio, online</w:t>
      </w:r>
      <w:r w:rsidR="00A478D1">
        <w:t>,</w:t>
      </w:r>
      <w:r w:rsidR="002674DF" w:rsidRPr="002674DF">
        <w:t xml:space="preserve"> or</w:t>
      </w:r>
      <w:r w:rsidR="00A478D1">
        <w:t xml:space="preserve"> through</w:t>
      </w:r>
      <w:r w:rsidR="002674DF" w:rsidRPr="002674DF">
        <w:t xml:space="preserve"> the distribution of hardcopy materials</w:t>
      </w:r>
      <w:r w:rsidR="002674DF">
        <w:t xml:space="preserve">. </w:t>
      </w:r>
      <w:r>
        <w:t xml:space="preserve">Your SUA policies may be </w:t>
      </w:r>
      <w:r w:rsidR="00A478D1">
        <w:t xml:space="preserve">more </w:t>
      </w:r>
      <w:r>
        <w:t xml:space="preserve">restrictive or include additional, specific requirements. </w:t>
      </w:r>
    </w:p>
    <w:p w14:paraId="0986D7BF" w14:textId="0267D57A" w:rsidR="008D51C3" w:rsidRPr="008D51C3" w:rsidRDefault="008D51C3" w:rsidP="006C161A">
      <w:pPr>
        <w:pStyle w:val="Heading1"/>
        <w:jc w:val="left"/>
      </w:pPr>
      <w:r w:rsidRPr="008D51C3">
        <w:t>Estimated Audience Size</w:t>
      </w:r>
    </w:p>
    <w:p w14:paraId="45EAA371" w14:textId="5A289C0C" w:rsidR="008D51C3" w:rsidRDefault="008D51C3" w:rsidP="008D51C3">
      <w:r>
        <w:t xml:space="preserve">The audience size for nutrition education must be reported. SPR/OAAPS definition allows for duplicated counts of the persons who attend nutrition education sessions. Your SUA policies may require </w:t>
      </w:r>
      <w:r>
        <w:lastRenderedPageBreak/>
        <w:t>unduplicated (each person is only counted once) counts.</w:t>
      </w:r>
      <w:r w:rsidR="006C161A">
        <w:t xml:space="preserve"> </w:t>
      </w:r>
      <w:r>
        <w:t>Resources that may be helpful for counting social media include:</w:t>
      </w:r>
    </w:p>
    <w:p w14:paraId="558CF1CD" w14:textId="77777777" w:rsidR="008D51C3" w:rsidRPr="008D51C3" w:rsidRDefault="003117AA" w:rsidP="008D51C3">
      <w:pPr>
        <w:pStyle w:val="ListParagraph"/>
        <w:numPr>
          <w:ilvl w:val="0"/>
          <w:numId w:val="4"/>
        </w:numPr>
      </w:pPr>
      <w:hyperlink r:id="rId13" w:history="1">
        <w:r w:rsidR="008D51C3" w:rsidRPr="008D51C3">
          <w:rPr>
            <w:rStyle w:val="Hyperlink"/>
          </w:rPr>
          <w:t>How to Find out Who Is Watching Your YouTube Videos</w:t>
        </w:r>
      </w:hyperlink>
      <w:r w:rsidR="008D51C3" w:rsidRPr="008D51C3">
        <w:t xml:space="preserve"> </w:t>
      </w:r>
    </w:p>
    <w:p w14:paraId="1B2537D1" w14:textId="77777777" w:rsidR="008D51C3" w:rsidRPr="008D51C3" w:rsidRDefault="003117AA" w:rsidP="008D51C3">
      <w:pPr>
        <w:pStyle w:val="ListParagraph"/>
        <w:numPr>
          <w:ilvl w:val="0"/>
          <w:numId w:val="4"/>
        </w:numPr>
      </w:pPr>
      <w:hyperlink r:id="rId14" w:history="1">
        <w:r w:rsidR="008D51C3" w:rsidRPr="008D51C3">
          <w:rPr>
            <w:rStyle w:val="Hyperlink"/>
          </w:rPr>
          <w:t>How to track post views on Facebook</w:t>
        </w:r>
      </w:hyperlink>
      <w:r w:rsidR="008D51C3" w:rsidRPr="008D51C3">
        <w:t xml:space="preserve"> </w:t>
      </w:r>
    </w:p>
    <w:p w14:paraId="23C7CA78" w14:textId="5797D381" w:rsidR="008D51C3" w:rsidRDefault="003117AA" w:rsidP="002674DF">
      <w:pPr>
        <w:pStyle w:val="ListParagraph"/>
        <w:numPr>
          <w:ilvl w:val="0"/>
          <w:numId w:val="4"/>
        </w:numPr>
      </w:pPr>
      <w:hyperlink r:id="rId15" w:history="1">
        <w:r w:rsidR="008D51C3" w:rsidRPr="008D51C3">
          <w:rPr>
            <w:rStyle w:val="Hyperlink"/>
          </w:rPr>
          <w:t>About your activity dashboard</w:t>
        </w:r>
      </w:hyperlink>
      <w:r w:rsidR="008D51C3" w:rsidRPr="008D51C3">
        <w:t xml:space="preserve"> </w:t>
      </w:r>
    </w:p>
    <w:p w14:paraId="07EA1D95" w14:textId="77777777" w:rsidR="006C161A" w:rsidRDefault="006C161A" w:rsidP="006C161A">
      <w:pPr>
        <w:pStyle w:val="ListParagraph"/>
      </w:pPr>
    </w:p>
    <w:p w14:paraId="299FD04E" w14:textId="6D604E21" w:rsidR="002674DF" w:rsidRPr="006C161A" w:rsidRDefault="002674DF" w:rsidP="002674DF">
      <w:pPr>
        <w:rPr>
          <w:rStyle w:val="Strong"/>
        </w:rPr>
      </w:pPr>
      <w:r w:rsidRPr="006C161A">
        <w:rPr>
          <w:rStyle w:val="Strong"/>
        </w:rPr>
        <w:t xml:space="preserve">So, while the OAA authorizes nutrition education to be provided, and the State Performance Report/OAAPS requires reporting of nutrition education </w:t>
      </w:r>
      <w:r w:rsidR="008D51C3" w:rsidRPr="006C161A">
        <w:rPr>
          <w:rStyle w:val="Strong"/>
        </w:rPr>
        <w:t>service units and estimated audience size</w:t>
      </w:r>
      <w:r w:rsidRPr="006C161A">
        <w:rPr>
          <w:rStyle w:val="Strong"/>
        </w:rPr>
        <w:t>, each SUA (and possibly AAA and local providers) establish specific implementation policies and procedures.  We therefore encourage you to work directly with your SUA to clarify nutrition education requirements</w:t>
      </w:r>
      <w:r w:rsidR="008D51C3" w:rsidRPr="006C161A">
        <w:rPr>
          <w:rStyle w:val="Strong"/>
        </w:rPr>
        <w:t xml:space="preserve"> that apply to your organization</w:t>
      </w:r>
      <w:r w:rsidRPr="006C161A">
        <w:rPr>
          <w:rStyle w:val="Strong"/>
        </w:rPr>
        <w:t>.</w:t>
      </w:r>
    </w:p>
    <w:p w14:paraId="4BD2D212" w14:textId="30C99F86" w:rsidR="008D51C3" w:rsidRPr="008D51C3" w:rsidRDefault="008D51C3" w:rsidP="006C161A">
      <w:pPr>
        <w:pStyle w:val="Heading1"/>
        <w:jc w:val="left"/>
      </w:pPr>
      <w:r>
        <w:t>To Learn More</w:t>
      </w:r>
    </w:p>
    <w:p w14:paraId="720E2752" w14:textId="418C9248" w:rsidR="002674DF" w:rsidRDefault="008D51C3" w:rsidP="002674DF">
      <w:r>
        <w:t xml:space="preserve">The </w:t>
      </w:r>
      <w:hyperlink r:id="rId16" w:history="1">
        <w:r w:rsidRPr="002E7232">
          <w:rPr>
            <w:rStyle w:val="Hyperlink"/>
          </w:rPr>
          <w:t>National Resource Center on Nutrition and Aging</w:t>
        </w:r>
      </w:hyperlink>
      <w:r w:rsidR="002674DF">
        <w:t xml:space="preserve"> ha</w:t>
      </w:r>
      <w:r>
        <w:t xml:space="preserve">s </w:t>
      </w:r>
      <w:r w:rsidR="002674DF">
        <w:t>several resources about providing nutrition education including:</w:t>
      </w:r>
    </w:p>
    <w:p w14:paraId="24075DC4" w14:textId="6F46419D" w:rsidR="002674DF" w:rsidRDefault="003117AA" w:rsidP="006C161A">
      <w:pPr>
        <w:pStyle w:val="ListParagraph"/>
        <w:numPr>
          <w:ilvl w:val="0"/>
          <w:numId w:val="6"/>
        </w:numPr>
      </w:pPr>
      <w:hyperlink r:id="rId17" w:history="1">
        <w:r w:rsidR="002674DF" w:rsidRPr="006C161A">
          <w:rPr>
            <w:rStyle w:val="Hyperlink"/>
            <w:rFonts w:eastAsia="Times New Roman"/>
            <w:shd w:val="clear" w:color="auto" w:fill="FFFFFF"/>
          </w:rPr>
          <w:t>Nutrition Education: What’s New for Reporting and Connecting with Clients</w:t>
        </w:r>
      </w:hyperlink>
    </w:p>
    <w:p w14:paraId="49A4EE1C" w14:textId="77777777" w:rsidR="002674DF" w:rsidRPr="006C161A" w:rsidRDefault="003117AA" w:rsidP="006C161A">
      <w:pPr>
        <w:pStyle w:val="ListParagraph"/>
        <w:numPr>
          <w:ilvl w:val="0"/>
          <w:numId w:val="6"/>
        </w:numPr>
        <w:rPr>
          <w:color w:val="000000"/>
        </w:rPr>
      </w:pPr>
      <w:hyperlink r:id="rId18" w:history="1">
        <w:r w:rsidR="002674DF" w:rsidRPr="006C161A">
          <w:rPr>
            <w:rStyle w:val="Hyperlink"/>
            <w:rFonts w:eastAsia="Times New Roman"/>
            <w:color w:val="0A5090"/>
          </w:rPr>
          <w:t>Tele or Virtual Nutrition Education for Older Adults</w:t>
        </w:r>
      </w:hyperlink>
    </w:p>
    <w:p w14:paraId="574F9411" w14:textId="77777777" w:rsidR="002674DF" w:rsidRPr="006C161A" w:rsidRDefault="003117AA" w:rsidP="006C161A">
      <w:pPr>
        <w:pStyle w:val="ListParagraph"/>
        <w:numPr>
          <w:ilvl w:val="0"/>
          <w:numId w:val="6"/>
        </w:numPr>
        <w:rPr>
          <w:color w:val="000000"/>
        </w:rPr>
      </w:pPr>
      <w:hyperlink r:id="rId19" w:history="1">
        <w:r w:rsidR="002674DF" w:rsidRPr="006C161A">
          <w:rPr>
            <w:rStyle w:val="Hyperlink"/>
            <w:rFonts w:eastAsia="Times New Roman"/>
            <w:color w:val="0A5090"/>
          </w:rPr>
          <w:t>Native Elder Nutrition Education &amp; Training Needs Assessment</w:t>
        </w:r>
      </w:hyperlink>
    </w:p>
    <w:p w14:paraId="40D31B4F" w14:textId="2CB1A345" w:rsidR="006C161A" w:rsidRPr="006C161A" w:rsidRDefault="003117AA" w:rsidP="006C161A">
      <w:pPr>
        <w:pStyle w:val="ListParagraph"/>
        <w:numPr>
          <w:ilvl w:val="0"/>
          <w:numId w:val="6"/>
        </w:numPr>
        <w:spacing w:after="240"/>
        <w:rPr>
          <w:color w:val="000000"/>
        </w:rPr>
      </w:pPr>
      <w:hyperlink r:id="rId20" w:tgtFrame="_blank" w:history="1">
        <w:r w:rsidR="002674DF" w:rsidRPr="006C161A">
          <w:rPr>
            <w:rStyle w:val="Hyperlink"/>
            <w:rFonts w:eastAsia="Times New Roman"/>
            <w:color w:val="0A5090"/>
          </w:rPr>
          <w:t>Emerging Learnings About Nutrition Status, COVID-19, &amp; Nutrition Education in Older Adult</w:t>
        </w:r>
        <w:r w:rsidR="002867AC" w:rsidRPr="006C161A">
          <w:rPr>
            <w:rStyle w:val="Hyperlink"/>
            <w:rFonts w:eastAsia="Times New Roman"/>
            <w:color w:val="0A5090"/>
          </w:rPr>
          <w:t xml:space="preserve">s </w:t>
        </w:r>
      </w:hyperlink>
    </w:p>
    <w:p w14:paraId="20C526F9" w14:textId="656F7EE5" w:rsidR="00036873" w:rsidRDefault="00036873">
      <w:r>
        <w:t>Check back frequently, as materials are added on a regular basis.</w:t>
      </w:r>
    </w:p>
    <w:p w14:paraId="5932FB57" w14:textId="77777777" w:rsidR="00036873" w:rsidRPr="00036873" w:rsidRDefault="00036873" w:rsidP="006C161A">
      <w:pPr>
        <w:pStyle w:val="Heading1"/>
        <w:jc w:val="left"/>
      </w:pPr>
      <w:r w:rsidRPr="00036873">
        <w:t>How to Find Reliable Nutrition Education Materials</w:t>
      </w:r>
    </w:p>
    <w:p w14:paraId="23000E0D" w14:textId="77777777" w:rsidR="00036873" w:rsidRDefault="00036873">
      <w:r>
        <w:t xml:space="preserve">OAA Senior Nutrition Programs may not have a dietitian or person of comparable expertise on staff. In these situations, an SUA may allow for nutrition education to be provided if it was developed by a reliable source, which is overseen by a dietitian or person of comparable expertise. </w:t>
      </w:r>
    </w:p>
    <w:p w14:paraId="3736AD24" w14:textId="6638BA22" w:rsidR="006A2863" w:rsidRDefault="006A2863">
      <w:r>
        <w:t>Meeting nutrition education requirements can be easy and fun</w:t>
      </w:r>
      <w:r w:rsidR="00036873">
        <w:t>!</w:t>
      </w:r>
    </w:p>
    <w:p w14:paraId="713DFD72" w14:textId="14055097" w:rsidR="006A2863" w:rsidRDefault="006A2863">
      <w:r>
        <w:t xml:space="preserve">Below </w:t>
      </w:r>
      <w:r w:rsidR="00BD0704">
        <w:t>is</w:t>
      </w:r>
      <w:r>
        <w:t xml:space="preserve"> a list of valid websites that provide valuable nutrition education. This list is not all inclusive. </w:t>
      </w:r>
      <w:r w:rsidR="00A74A30">
        <w:t>A</w:t>
      </w:r>
      <w:r>
        <w:t xml:space="preserve"> good rule of thumb is to stick with website</w:t>
      </w:r>
      <w:r w:rsidR="00A74A30">
        <w:t>s</w:t>
      </w:r>
      <w:r>
        <w:t xml:space="preserve"> that have </w:t>
      </w:r>
      <w:proofErr w:type="spellStart"/>
      <w:r>
        <w:t>edu</w:t>
      </w:r>
      <w:proofErr w:type="spellEnd"/>
      <w:r>
        <w:t>, gov, or org in the URL. Make it fun by combining this information with a program at your congregate site, an online game, or catchy handout.</w:t>
      </w:r>
      <w:r w:rsidR="006C161A">
        <w:t xml:space="preserve"> </w:t>
      </w:r>
      <w:r>
        <w:t xml:space="preserve">Examples of these are: </w:t>
      </w:r>
    </w:p>
    <w:p w14:paraId="7C216A50" w14:textId="77777777" w:rsidR="00F6163B" w:rsidRDefault="00F6163B" w:rsidP="00F6163B">
      <w:pPr>
        <w:pStyle w:val="ListParagraph"/>
        <w:numPr>
          <w:ilvl w:val="0"/>
          <w:numId w:val="5"/>
        </w:numPr>
        <w:sectPr w:rsidR="00F6163B" w:rsidSect="003117AA">
          <w:headerReference w:type="default" r:id="rId21"/>
          <w:footerReference w:type="default" r:id="rId22"/>
          <w:pgSz w:w="12240" w:h="15840"/>
          <w:pgMar w:top="1440" w:right="1440" w:bottom="1440" w:left="1440" w:header="576" w:footer="720" w:gutter="0"/>
          <w:cols w:space="720"/>
          <w:docGrid w:linePitch="360"/>
        </w:sectPr>
      </w:pPr>
    </w:p>
    <w:p w14:paraId="7230EBCE" w14:textId="2E9097EF" w:rsidR="006A2863" w:rsidRDefault="003117AA" w:rsidP="00F5704B">
      <w:pPr>
        <w:pStyle w:val="ListParagraph"/>
        <w:numPr>
          <w:ilvl w:val="0"/>
          <w:numId w:val="5"/>
        </w:numPr>
      </w:pPr>
      <w:hyperlink r:id="rId23" w:history="1">
        <w:r w:rsidR="006A2863" w:rsidRPr="00B125E0">
          <w:rPr>
            <w:rStyle w:val="Hyperlink"/>
          </w:rPr>
          <w:t>https://acl.gov/senior-nutrition</w:t>
        </w:r>
      </w:hyperlink>
    </w:p>
    <w:p w14:paraId="59D34588" w14:textId="77777777" w:rsidR="006A2863" w:rsidRDefault="003117AA" w:rsidP="00F5704B">
      <w:pPr>
        <w:pStyle w:val="ListParagraph"/>
        <w:numPr>
          <w:ilvl w:val="0"/>
          <w:numId w:val="5"/>
        </w:numPr>
      </w:pPr>
      <w:hyperlink r:id="rId24" w:history="1">
        <w:r w:rsidR="006A2863" w:rsidRPr="00B125E0">
          <w:rPr>
            <w:rStyle w:val="Hyperlink"/>
          </w:rPr>
          <w:t>https://health.gov/dietaryguidelines/</w:t>
        </w:r>
      </w:hyperlink>
      <w:r w:rsidR="006A2863">
        <w:t xml:space="preserve"> </w:t>
      </w:r>
    </w:p>
    <w:p w14:paraId="191F4A73" w14:textId="77777777" w:rsidR="006A2863" w:rsidRDefault="003117AA" w:rsidP="00F5704B">
      <w:pPr>
        <w:pStyle w:val="ListParagraph"/>
        <w:numPr>
          <w:ilvl w:val="0"/>
          <w:numId w:val="5"/>
        </w:numPr>
      </w:pPr>
      <w:hyperlink r:id="rId25" w:history="1">
        <w:r w:rsidR="006A2863" w:rsidRPr="00B125E0">
          <w:rPr>
            <w:rStyle w:val="Hyperlink"/>
          </w:rPr>
          <w:t>www.health.gov/paguidelines</w:t>
        </w:r>
      </w:hyperlink>
    </w:p>
    <w:p w14:paraId="6077E1A9" w14:textId="62D5EC59" w:rsidR="006A2863" w:rsidRDefault="006C161A" w:rsidP="00F5704B">
      <w:pPr>
        <w:pStyle w:val="ListParagraph"/>
        <w:numPr>
          <w:ilvl w:val="0"/>
          <w:numId w:val="5"/>
        </w:numPr>
      </w:pPr>
      <w:hyperlink r:id="rId26" w:history="1">
        <w:r w:rsidRPr="00AA4635">
          <w:rPr>
            <w:rStyle w:val="Hyperlink"/>
          </w:rPr>
          <w:t>www.choosemyplate.gov</w:t>
        </w:r>
      </w:hyperlink>
    </w:p>
    <w:p w14:paraId="44738E92" w14:textId="745B4850" w:rsidR="005800F2" w:rsidRDefault="003117AA" w:rsidP="00F5704B">
      <w:pPr>
        <w:pStyle w:val="ListParagraph"/>
        <w:numPr>
          <w:ilvl w:val="0"/>
          <w:numId w:val="5"/>
        </w:numPr>
      </w:pPr>
      <w:hyperlink r:id="rId27" w:history="1">
        <w:r w:rsidR="005800F2" w:rsidRPr="00092638">
          <w:rPr>
            <w:rStyle w:val="Hyperlink"/>
          </w:rPr>
          <w:t>https://www.nutrition.gov/</w:t>
        </w:r>
      </w:hyperlink>
    </w:p>
    <w:p w14:paraId="165DF786" w14:textId="77777777" w:rsidR="006C161A" w:rsidRPr="006C161A" w:rsidRDefault="003117AA" w:rsidP="006C161A">
      <w:pPr>
        <w:pStyle w:val="ListParagraph"/>
        <w:numPr>
          <w:ilvl w:val="0"/>
          <w:numId w:val="5"/>
        </w:numPr>
        <w:rPr>
          <w:rStyle w:val="Hyperlink"/>
          <w:color w:val="auto"/>
          <w:u w:val="none"/>
        </w:rPr>
      </w:pPr>
      <w:hyperlink r:id="rId28" w:history="1">
        <w:r w:rsidR="005800F2" w:rsidRPr="00092638">
          <w:rPr>
            <w:rStyle w:val="Hyperlink"/>
          </w:rPr>
          <w:t>https://www.nia.nih.gov/health/publication</w:t>
        </w:r>
      </w:hyperlink>
    </w:p>
    <w:p w14:paraId="3F60A6D3" w14:textId="77777777" w:rsidR="006C161A" w:rsidRDefault="006C161A" w:rsidP="006C161A">
      <w:pPr>
        <w:pStyle w:val="ListParagraph"/>
        <w:numPr>
          <w:ilvl w:val="0"/>
          <w:numId w:val="5"/>
        </w:numPr>
      </w:pPr>
      <w:hyperlink r:id="rId29" w:history="1">
        <w:r w:rsidRPr="000350EB">
          <w:rPr>
            <w:rStyle w:val="Hyperlink"/>
          </w:rPr>
          <w:t>https://www.nal.usda.gov/fnic</w:t>
        </w:r>
      </w:hyperlink>
    </w:p>
    <w:p w14:paraId="6D12DD43" w14:textId="77777777" w:rsidR="006C161A" w:rsidRDefault="006C161A" w:rsidP="006C161A">
      <w:pPr>
        <w:pStyle w:val="ListParagraph"/>
        <w:numPr>
          <w:ilvl w:val="0"/>
          <w:numId w:val="5"/>
        </w:numPr>
      </w:pPr>
      <w:hyperlink r:id="rId30" w:history="1">
        <w:r w:rsidRPr="000350EB">
          <w:rPr>
            <w:rStyle w:val="Hyperlink"/>
          </w:rPr>
          <w:t>www.eatright.org</w:t>
        </w:r>
      </w:hyperlink>
      <w:r w:rsidR="005800F2">
        <w:t xml:space="preserve"> </w:t>
      </w:r>
      <w:r w:rsidR="006A2863">
        <w:t xml:space="preserve"> </w:t>
      </w:r>
    </w:p>
    <w:p w14:paraId="131F7C99" w14:textId="77777777" w:rsidR="006C161A" w:rsidRDefault="006C161A" w:rsidP="006C161A">
      <w:pPr>
        <w:pStyle w:val="ListParagraph"/>
        <w:numPr>
          <w:ilvl w:val="0"/>
          <w:numId w:val="5"/>
        </w:numPr>
      </w:pPr>
      <w:hyperlink r:id="rId31" w:history="1">
        <w:r w:rsidRPr="000350EB">
          <w:rPr>
            <w:rStyle w:val="Hyperlink"/>
          </w:rPr>
          <w:t>www.diabetes.org</w:t>
        </w:r>
      </w:hyperlink>
    </w:p>
    <w:p w14:paraId="549DA6B1" w14:textId="10938F96" w:rsidR="006A2863" w:rsidRDefault="006C161A" w:rsidP="006C161A">
      <w:pPr>
        <w:pStyle w:val="ListParagraph"/>
        <w:numPr>
          <w:ilvl w:val="0"/>
          <w:numId w:val="5"/>
        </w:numPr>
      </w:pPr>
      <w:hyperlink r:id="rId32" w:history="1">
        <w:r w:rsidRPr="000350EB">
          <w:rPr>
            <w:rStyle w:val="Hyperlink"/>
          </w:rPr>
          <w:t>https://www.foodsafety.gov</w:t>
        </w:r>
      </w:hyperlink>
    </w:p>
    <w:p w14:paraId="3F10A96B" w14:textId="2F843E34" w:rsidR="006A2863" w:rsidRDefault="003117AA" w:rsidP="00F5704B">
      <w:pPr>
        <w:pStyle w:val="ListParagraph"/>
        <w:numPr>
          <w:ilvl w:val="0"/>
          <w:numId w:val="5"/>
        </w:numPr>
      </w:pPr>
      <w:hyperlink r:id="rId33" w:history="1">
        <w:r w:rsidR="005800F2" w:rsidRPr="00092638">
          <w:rPr>
            <w:rStyle w:val="Hyperlink"/>
          </w:rPr>
          <w:t>www.aarp.org/health</w:t>
        </w:r>
      </w:hyperlink>
      <w:r w:rsidR="005800F2">
        <w:t xml:space="preserve"> </w:t>
      </w:r>
      <w:r w:rsidR="006A2863">
        <w:t xml:space="preserve"> </w:t>
      </w:r>
    </w:p>
    <w:p w14:paraId="7D4054E5" w14:textId="50112018" w:rsidR="006A2863" w:rsidRDefault="003117AA" w:rsidP="00F5704B">
      <w:pPr>
        <w:pStyle w:val="ListParagraph"/>
        <w:numPr>
          <w:ilvl w:val="0"/>
          <w:numId w:val="5"/>
        </w:numPr>
      </w:pPr>
      <w:hyperlink r:id="rId34" w:history="1">
        <w:r w:rsidR="005800F2" w:rsidRPr="00092638">
          <w:rPr>
            <w:rStyle w:val="Hyperlink"/>
          </w:rPr>
          <w:t>www.health.gov/nhic</w:t>
        </w:r>
      </w:hyperlink>
      <w:r w:rsidR="005800F2">
        <w:t xml:space="preserve"> </w:t>
      </w:r>
    </w:p>
    <w:p w14:paraId="2805CC08" w14:textId="6759C062" w:rsidR="006A2863" w:rsidRDefault="003117AA" w:rsidP="00F5704B">
      <w:pPr>
        <w:pStyle w:val="ListParagraph"/>
        <w:numPr>
          <w:ilvl w:val="0"/>
          <w:numId w:val="5"/>
        </w:numPr>
      </w:pPr>
      <w:hyperlink r:id="rId35" w:history="1">
        <w:r w:rsidR="005800F2" w:rsidRPr="00092638">
          <w:rPr>
            <w:rStyle w:val="Hyperlink"/>
          </w:rPr>
          <w:t>www.cdc.gov</w:t>
        </w:r>
      </w:hyperlink>
      <w:r w:rsidR="005800F2">
        <w:t xml:space="preserve"> </w:t>
      </w:r>
      <w:r w:rsidR="006A2863">
        <w:t xml:space="preserve"> </w:t>
      </w:r>
    </w:p>
    <w:p w14:paraId="5D460755" w14:textId="75501B8B" w:rsidR="00F6163B" w:rsidRDefault="003117AA" w:rsidP="006C161A">
      <w:pPr>
        <w:pStyle w:val="ListParagraph"/>
        <w:numPr>
          <w:ilvl w:val="0"/>
          <w:numId w:val="5"/>
        </w:numPr>
        <w:rPr>
          <w:rStyle w:val="Hyperlink"/>
        </w:rPr>
        <w:sectPr w:rsidR="00F6163B" w:rsidSect="00F5704B">
          <w:type w:val="continuous"/>
          <w:pgSz w:w="12240" w:h="15840"/>
          <w:pgMar w:top="1440" w:right="1440" w:bottom="1440" w:left="1440" w:header="720" w:footer="720" w:gutter="0"/>
          <w:cols w:num="2" w:space="720"/>
          <w:docGrid w:linePitch="360"/>
        </w:sectPr>
      </w:pPr>
      <w:hyperlink r:id="rId36" w:history="1">
        <w:r w:rsidR="00C97EC8" w:rsidRPr="00C97EC8">
          <w:rPr>
            <w:rStyle w:val="Hyperlink"/>
          </w:rPr>
          <w:t>www.fsis.usda.gov</w:t>
        </w:r>
      </w:hyperlink>
    </w:p>
    <w:p w14:paraId="017105AF" w14:textId="44CB97B8" w:rsidR="005F3D59" w:rsidRDefault="005F3D59" w:rsidP="00F5704B"/>
    <w:sectPr w:rsidR="005F3D59" w:rsidSect="00F616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D56D" w14:textId="77777777" w:rsidR="006C161A" w:rsidRDefault="006C161A" w:rsidP="006C161A">
      <w:pPr>
        <w:spacing w:after="0" w:line="240" w:lineRule="auto"/>
      </w:pPr>
      <w:r>
        <w:separator/>
      </w:r>
    </w:p>
  </w:endnote>
  <w:endnote w:type="continuationSeparator" w:id="0">
    <w:p w14:paraId="4E3A51E1" w14:textId="77777777" w:rsidR="006C161A" w:rsidRDefault="006C161A" w:rsidP="006C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4030"/>
      <w:docPartObj>
        <w:docPartGallery w:val="Page Numbers (Bottom of Page)"/>
        <w:docPartUnique/>
      </w:docPartObj>
    </w:sdtPr>
    <w:sdtEndPr>
      <w:rPr>
        <w:noProof/>
      </w:rPr>
    </w:sdtEndPr>
    <w:sdtContent>
      <w:p w14:paraId="1F856247" w14:textId="430DD907" w:rsidR="006C161A" w:rsidRDefault="006C16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30E02" w14:textId="77777777" w:rsidR="006C161A" w:rsidRDefault="006C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7BBD" w14:textId="77777777" w:rsidR="006C161A" w:rsidRDefault="006C161A" w:rsidP="006C161A">
      <w:pPr>
        <w:spacing w:after="0" w:line="240" w:lineRule="auto"/>
      </w:pPr>
      <w:r>
        <w:separator/>
      </w:r>
    </w:p>
  </w:footnote>
  <w:footnote w:type="continuationSeparator" w:id="0">
    <w:p w14:paraId="30D77DAA" w14:textId="77777777" w:rsidR="006C161A" w:rsidRDefault="006C161A" w:rsidP="006C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E158" w14:textId="7CCB4766" w:rsidR="003117AA" w:rsidRDefault="003117AA" w:rsidP="003117AA">
    <w:pPr>
      <w:pStyle w:val="Header"/>
      <w:ind w:left="-810" w:firstLine="90"/>
    </w:pPr>
    <w:r>
      <w:rPr>
        <w:noProof/>
      </w:rPr>
      <w:drawing>
        <wp:inline distT="0" distB="0" distL="0" distR="0" wp14:anchorId="21655075" wp14:editId="65A0C39B">
          <wp:extent cx="2438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229" cy="457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05F6"/>
    <w:multiLevelType w:val="hybridMultilevel"/>
    <w:tmpl w:val="D62C18E2"/>
    <w:lvl w:ilvl="0" w:tplc="F99092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31026"/>
    <w:multiLevelType w:val="hybridMultilevel"/>
    <w:tmpl w:val="79FE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023446"/>
    <w:multiLevelType w:val="hybridMultilevel"/>
    <w:tmpl w:val="457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5D5C"/>
    <w:multiLevelType w:val="hybridMultilevel"/>
    <w:tmpl w:val="CDE6A72C"/>
    <w:lvl w:ilvl="0" w:tplc="F99092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036647"/>
    <w:multiLevelType w:val="hybridMultilevel"/>
    <w:tmpl w:val="F1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63"/>
    <w:rsid w:val="00036873"/>
    <w:rsid w:val="00043552"/>
    <w:rsid w:val="000862BC"/>
    <w:rsid w:val="000F66CC"/>
    <w:rsid w:val="002566FF"/>
    <w:rsid w:val="002674DF"/>
    <w:rsid w:val="002867AC"/>
    <w:rsid w:val="002C7D16"/>
    <w:rsid w:val="002E7232"/>
    <w:rsid w:val="003117AA"/>
    <w:rsid w:val="00425355"/>
    <w:rsid w:val="00452E28"/>
    <w:rsid w:val="0046686E"/>
    <w:rsid w:val="00517C89"/>
    <w:rsid w:val="00567D8A"/>
    <w:rsid w:val="005800F2"/>
    <w:rsid w:val="005F3D59"/>
    <w:rsid w:val="00615A2A"/>
    <w:rsid w:val="006A2863"/>
    <w:rsid w:val="006C161A"/>
    <w:rsid w:val="006C3FF7"/>
    <w:rsid w:val="00774CB0"/>
    <w:rsid w:val="00780AC5"/>
    <w:rsid w:val="0079147C"/>
    <w:rsid w:val="00870BD9"/>
    <w:rsid w:val="00875660"/>
    <w:rsid w:val="008D51C3"/>
    <w:rsid w:val="00952452"/>
    <w:rsid w:val="00A0174D"/>
    <w:rsid w:val="00A478D1"/>
    <w:rsid w:val="00A74A30"/>
    <w:rsid w:val="00B50C0A"/>
    <w:rsid w:val="00BD0704"/>
    <w:rsid w:val="00C97EC8"/>
    <w:rsid w:val="00D973AD"/>
    <w:rsid w:val="00F5704B"/>
    <w:rsid w:val="00F6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3626"/>
  <w15:chartTrackingRefBased/>
  <w15:docId w15:val="{E54D8125-FC93-4292-8262-A35A3C42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6FF"/>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6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863"/>
    <w:rPr>
      <w:color w:val="0563C1" w:themeColor="hyperlink"/>
      <w:u w:val="single"/>
    </w:rPr>
  </w:style>
  <w:style w:type="character" w:styleId="UnresolvedMention">
    <w:name w:val="Unresolved Mention"/>
    <w:basedOn w:val="DefaultParagraphFont"/>
    <w:uiPriority w:val="99"/>
    <w:semiHidden/>
    <w:unhideWhenUsed/>
    <w:rsid w:val="006A2863"/>
    <w:rPr>
      <w:color w:val="605E5C"/>
      <w:shd w:val="clear" w:color="auto" w:fill="E1DFDD"/>
    </w:rPr>
  </w:style>
  <w:style w:type="character" w:styleId="FollowedHyperlink">
    <w:name w:val="FollowedHyperlink"/>
    <w:basedOn w:val="DefaultParagraphFont"/>
    <w:uiPriority w:val="99"/>
    <w:semiHidden/>
    <w:unhideWhenUsed/>
    <w:rsid w:val="006A2863"/>
    <w:rPr>
      <w:color w:val="954F72" w:themeColor="followedHyperlink"/>
      <w:u w:val="single"/>
    </w:rPr>
  </w:style>
  <w:style w:type="paragraph" w:styleId="ListParagraph">
    <w:name w:val="List Paragraph"/>
    <w:basedOn w:val="Normal"/>
    <w:uiPriority w:val="34"/>
    <w:qFormat/>
    <w:rsid w:val="002674DF"/>
    <w:pPr>
      <w:spacing w:after="0" w:line="240" w:lineRule="auto"/>
      <w:ind w:left="720"/>
    </w:pPr>
    <w:rPr>
      <w:rFonts w:ascii="Calibri" w:hAnsi="Calibri" w:cs="Calibri"/>
    </w:rPr>
  </w:style>
  <w:style w:type="character" w:styleId="Strong">
    <w:name w:val="Strong"/>
    <w:basedOn w:val="DefaultParagraphFont"/>
    <w:uiPriority w:val="22"/>
    <w:qFormat/>
    <w:rsid w:val="002674DF"/>
    <w:rPr>
      <w:b/>
      <w:bCs/>
    </w:rPr>
  </w:style>
  <w:style w:type="character" w:styleId="CommentReference">
    <w:name w:val="annotation reference"/>
    <w:basedOn w:val="DefaultParagraphFont"/>
    <w:uiPriority w:val="99"/>
    <w:semiHidden/>
    <w:unhideWhenUsed/>
    <w:rsid w:val="0046686E"/>
    <w:rPr>
      <w:sz w:val="16"/>
      <w:szCs w:val="16"/>
    </w:rPr>
  </w:style>
  <w:style w:type="paragraph" w:styleId="CommentText">
    <w:name w:val="annotation text"/>
    <w:basedOn w:val="Normal"/>
    <w:link w:val="CommentTextChar"/>
    <w:uiPriority w:val="99"/>
    <w:unhideWhenUsed/>
    <w:rsid w:val="0046686E"/>
    <w:pPr>
      <w:spacing w:line="240" w:lineRule="auto"/>
    </w:pPr>
    <w:rPr>
      <w:sz w:val="20"/>
      <w:szCs w:val="20"/>
    </w:rPr>
  </w:style>
  <w:style w:type="character" w:customStyle="1" w:styleId="CommentTextChar">
    <w:name w:val="Comment Text Char"/>
    <w:basedOn w:val="DefaultParagraphFont"/>
    <w:link w:val="CommentText"/>
    <w:uiPriority w:val="99"/>
    <w:rsid w:val="0046686E"/>
    <w:rPr>
      <w:sz w:val="20"/>
      <w:szCs w:val="20"/>
    </w:rPr>
  </w:style>
  <w:style w:type="paragraph" w:styleId="CommentSubject">
    <w:name w:val="annotation subject"/>
    <w:basedOn w:val="CommentText"/>
    <w:next w:val="CommentText"/>
    <w:link w:val="CommentSubjectChar"/>
    <w:uiPriority w:val="99"/>
    <w:semiHidden/>
    <w:unhideWhenUsed/>
    <w:rsid w:val="0046686E"/>
    <w:rPr>
      <w:b/>
      <w:bCs/>
    </w:rPr>
  </w:style>
  <w:style w:type="character" w:customStyle="1" w:styleId="CommentSubjectChar">
    <w:name w:val="Comment Subject Char"/>
    <w:basedOn w:val="CommentTextChar"/>
    <w:link w:val="CommentSubject"/>
    <w:uiPriority w:val="99"/>
    <w:semiHidden/>
    <w:rsid w:val="0046686E"/>
    <w:rPr>
      <w:b/>
      <w:bCs/>
      <w:sz w:val="20"/>
      <w:szCs w:val="20"/>
    </w:rPr>
  </w:style>
  <w:style w:type="paragraph" w:styleId="BalloonText">
    <w:name w:val="Balloon Text"/>
    <w:basedOn w:val="Normal"/>
    <w:link w:val="BalloonTextChar"/>
    <w:uiPriority w:val="99"/>
    <w:semiHidden/>
    <w:unhideWhenUsed/>
    <w:rsid w:val="0046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6E"/>
    <w:rPr>
      <w:rFonts w:ascii="Segoe UI" w:hAnsi="Segoe UI" w:cs="Segoe UI"/>
      <w:sz w:val="18"/>
      <w:szCs w:val="18"/>
    </w:rPr>
  </w:style>
  <w:style w:type="paragraph" w:styleId="Revision">
    <w:name w:val="Revision"/>
    <w:hidden/>
    <w:uiPriority w:val="99"/>
    <w:semiHidden/>
    <w:rsid w:val="002566FF"/>
    <w:pPr>
      <w:spacing w:after="0" w:line="240" w:lineRule="auto"/>
    </w:pPr>
  </w:style>
  <w:style w:type="character" w:customStyle="1" w:styleId="Heading1Char">
    <w:name w:val="Heading 1 Char"/>
    <w:basedOn w:val="DefaultParagraphFont"/>
    <w:link w:val="Heading1"/>
    <w:uiPriority w:val="9"/>
    <w:rsid w:val="00256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66CC"/>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425355"/>
    <w:rPr>
      <w:i/>
      <w:iCs/>
      <w:color w:val="4472C4" w:themeColor="accent1"/>
    </w:rPr>
  </w:style>
  <w:style w:type="paragraph" w:styleId="Quote">
    <w:name w:val="Quote"/>
    <w:basedOn w:val="Normal"/>
    <w:next w:val="Normal"/>
    <w:link w:val="QuoteChar"/>
    <w:uiPriority w:val="29"/>
    <w:qFormat/>
    <w:rsid w:val="004253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5355"/>
    <w:rPr>
      <w:i/>
      <w:iCs/>
      <w:color w:val="404040" w:themeColor="text1" w:themeTint="BF"/>
    </w:rPr>
  </w:style>
  <w:style w:type="character" w:styleId="Mention">
    <w:name w:val="Mention"/>
    <w:basedOn w:val="DefaultParagraphFont"/>
    <w:uiPriority w:val="99"/>
    <w:unhideWhenUsed/>
    <w:rsid w:val="00B50C0A"/>
    <w:rPr>
      <w:color w:val="2B579A"/>
      <w:shd w:val="clear" w:color="auto" w:fill="E1DFDD"/>
    </w:rPr>
  </w:style>
  <w:style w:type="paragraph" w:styleId="Title">
    <w:name w:val="Title"/>
    <w:basedOn w:val="Normal"/>
    <w:next w:val="Normal"/>
    <w:link w:val="TitleChar"/>
    <w:uiPriority w:val="10"/>
    <w:qFormat/>
    <w:rsid w:val="00452E28"/>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452E28"/>
    <w:rPr>
      <w:rFonts w:asciiTheme="majorHAnsi" w:eastAsiaTheme="majorEastAsia" w:hAnsiTheme="majorHAnsi" w:cstheme="majorBidi"/>
      <w:spacing w:val="-10"/>
      <w:kern w:val="28"/>
      <w:sz w:val="56"/>
      <w:szCs w:val="56"/>
      <w:bdr w:val="nil"/>
    </w:rPr>
  </w:style>
  <w:style w:type="paragraph" w:styleId="Subtitle">
    <w:name w:val="Subtitle"/>
    <w:basedOn w:val="Normal"/>
    <w:next w:val="Normal"/>
    <w:link w:val="SubtitleChar"/>
    <w:uiPriority w:val="11"/>
    <w:qFormat/>
    <w:rsid w:val="006C161A"/>
    <w:pPr>
      <w:numPr>
        <w:ilvl w:val="1"/>
      </w:numPr>
      <w:pBdr>
        <w:top w:val="nil"/>
        <w:left w:val="nil"/>
        <w:bottom w:val="nil"/>
        <w:right w:val="nil"/>
        <w:between w:val="nil"/>
        <w:bar w:val="nil"/>
      </w:pBdr>
      <w:spacing w:line="240" w:lineRule="auto"/>
      <w:jc w:val="center"/>
    </w:pPr>
    <w:rPr>
      <w:rFonts w:eastAsiaTheme="minorEastAsia"/>
      <w:color w:val="5A5A5A" w:themeColor="text1" w:themeTint="A5"/>
      <w:spacing w:val="15"/>
      <w:bdr w:val="nil"/>
    </w:rPr>
  </w:style>
  <w:style w:type="character" w:customStyle="1" w:styleId="SubtitleChar">
    <w:name w:val="Subtitle Char"/>
    <w:basedOn w:val="DefaultParagraphFont"/>
    <w:link w:val="Subtitle"/>
    <w:uiPriority w:val="11"/>
    <w:rsid w:val="006C161A"/>
    <w:rPr>
      <w:rFonts w:eastAsiaTheme="minorEastAsia"/>
      <w:color w:val="5A5A5A" w:themeColor="text1" w:themeTint="A5"/>
      <w:spacing w:val="15"/>
      <w:bdr w:val="nil"/>
    </w:rPr>
  </w:style>
  <w:style w:type="character" w:styleId="SubtleEmphasis">
    <w:name w:val="Subtle Emphasis"/>
    <w:basedOn w:val="DefaultParagraphFont"/>
    <w:uiPriority w:val="19"/>
    <w:qFormat/>
    <w:rsid w:val="00452E28"/>
    <w:rPr>
      <w:i/>
      <w:iCs/>
      <w:color w:val="404040" w:themeColor="text1" w:themeTint="BF"/>
    </w:rPr>
  </w:style>
  <w:style w:type="paragraph" w:styleId="Header">
    <w:name w:val="header"/>
    <w:basedOn w:val="Normal"/>
    <w:link w:val="HeaderChar"/>
    <w:uiPriority w:val="99"/>
    <w:unhideWhenUsed/>
    <w:rsid w:val="006C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1A"/>
  </w:style>
  <w:style w:type="paragraph" w:styleId="Footer">
    <w:name w:val="footer"/>
    <w:basedOn w:val="Normal"/>
    <w:link w:val="FooterChar"/>
    <w:uiPriority w:val="99"/>
    <w:unhideWhenUsed/>
    <w:rsid w:val="006C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1340">
      <w:bodyDiv w:val="1"/>
      <w:marLeft w:val="0"/>
      <w:marRight w:val="0"/>
      <w:marTop w:val="0"/>
      <w:marBottom w:val="0"/>
      <w:divBdr>
        <w:top w:val="none" w:sz="0" w:space="0" w:color="auto"/>
        <w:left w:val="none" w:sz="0" w:space="0" w:color="auto"/>
        <w:bottom w:val="none" w:sz="0" w:space="0" w:color="auto"/>
        <w:right w:val="none" w:sz="0" w:space="0" w:color="auto"/>
      </w:divBdr>
    </w:div>
    <w:div w:id="352923928">
      <w:bodyDiv w:val="1"/>
      <w:marLeft w:val="0"/>
      <w:marRight w:val="0"/>
      <w:marTop w:val="0"/>
      <w:marBottom w:val="0"/>
      <w:divBdr>
        <w:top w:val="none" w:sz="0" w:space="0" w:color="auto"/>
        <w:left w:val="none" w:sz="0" w:space="0" w:color="auto"/>
        <w:bottom w:val="none" w:sz="0" w:space="0" w:color="auto"/>
        <w:right w:val="none" w:sz="0" w:space="0" w:color="auto"/>
      </w:divBdr>
    </w:div>
    <w:div w:id="729038390">
      <w:bodyDiv w:val="1"/>
      <w:marLeft w:val="0"/>
      <w:marRight w:val="0"/>
      <w:marTop w:val="0"/>
      <w:marBottom w:val="0"/>
      <w:divBdr>
        <w:top w:val="none" w:sz="0" w:space="0" w:color="auto"/>
        <w:left w:val="none" w:sz="0" w:space="0" w:color="auto"/>
        <w:bottom w:val="none" w:sz="0" w:space="0" w:color="auto"/>
        <w:right w:val="none" w:sz="0" w:space="0" w:color="auto"/>
      </w:divBdr>
    </w:div>
    <w:div w:id="17580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fewire.com/find-out-who-watches-your-youtube-videos-1616423" TargetMode="External"/><Relationship Id="rId18" Type="http://schemas.openxmlformats.org/officeDocument/2006/relationships/hyperlink" Target="https://acl.gov/sites/default/files/SN/VirtualNutritionEducationOlderAdults_508.pdf" TargetMode="External"/><Relationship Id="rId26" Type="http://schemas.openxmlformats.org/officeDocument/2006/relationships/hyperlink" Target="http://www.choosemyplate.gov" TargetMode="External"/><Relationship Id="rId21" Type="http://schemas.openxmlformats.org/officeDocument/2006/relationships/header" Target="header1.xml"/><Relationship Id="rId34" Type="http://schemas.openxmlformats.org/officeDocument/2006/relationships/hyperlink" Target="http://www.health.gov/nhic" TargetMode="External"/><Relationship Id="rId7" Type="http://schemas.openxmlformats.org/officeDocument/2006/relationships/webSettings" Target="webSettings.xml"/><Relationship Id="rId12" Type="http://schemas.openxmlformats.org/officeDocument/2006/relationships/hyperlink" Target="https://eric.ed.gov/?id=ED574102" TargetMode="External"/><Relationship Id="rId17" Type="http://schemas.openxmlformats.org/officeDocument/2006/relationships/hyperlink" Target="https://youtu.be/ADXYPAFVnQs" TargetMode="External"/><Relationship Id="rId25" Type="http://schemas.openxmlformats.org/officeDocument/2006/relationships/hyperlink" Target="http://www.health.gov/paguidelines" TargetMode="External"/><Relationship Id="rId33" Type="http://schemas.openxmlformats.org/officeDocument/2006/relationships/hyperlink" Target="http://www.aarp.org/healt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l.gov/senior-nutrition" TargetMode="External"/><Relationship Id="rId20" Type="http://schemas.openxmlformats.org/officeDocument/2006/relationships/hyperlink" Target="https://www.youtube.com/watch?v=ROjE9gWBvGc&amp;feature=youtu.be" TargetMode="External"/><Relationship Id="rId29" Type="http://schemas.openxmlformats.org/officeDocument/2006/relationships/hyperlink" Target="https://www.nal.usda.gov/fn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b.com/insights/daily-briefing/student-success/why-nudges-work-and-how-to-use-them-to-keep-students-on-track/" TargetMode="External"/><Relationship Id="rId24" Type="http://schemas.openxmlformats.org/officeDocument/2006/relationships/hyperlink" Target="https://health.gov/dietaryguidelines/" TargetMode="External"/><Relationship Id="rId32" Type="http://schemas.openxmlformats.org/officeDocument/2006/relationships/hyperlink" Target="https://www.foodsafety.gov"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elp.twitter.com/en/managing-your-account/using-the-tweet-activity-dashboard" TargetMode="External"/><Relationship Id="rId23" Type="http://schemas.openxmlformats.org/officeDocument/2006/relationships/hyperlink" Target="https://acl.gov/senior-nutrition" TargetMode="External"/><Relationship Id="rId28" Type="http://schemas.openxmlformats.org/officeDocument/2006/relationships/hyperlink" Target="https://www.nia.nih.gov/health/publication" TargetMode="External"/><Relationship Id="rId36" Type="http://schemas.openxmlformats.org/officeDocument/2006/relationships/hyperlink" Target="http://www.fsis.usda.gov" TargetMode="External"/><Relationship Id="rId10" Type="http://schemas.openxmlformats.org/officeDocument/2006/relationships/hyperlink" Target="https://www.sciencedirect.com/science/article/pii/S0272775717306374" TargetMode="External"/><Relationship Id="rId19" Type="http://schemas.openxmlformats.org/officeDocument/2006/relationships/hyperlink" Target="https://acl.gov/sites/default/files/nutrition/NativeElderNutritionEd%26TrainingNeedsAssessment.docx" TargetMode="External"/><Relationship Id="rId31" Type="http://schemas.openxmlformats.org/officeDocument/2006/relationships/hyperlink" Target="http://www.diabet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emediagroup.com/training-library/track-post-views-facebook/" TargetMode="External"/><Relationship Id="rId22" Type="http://schemas.openxmlformats.org/officeDocument/2006/relationships/footer" Target="footer1.xml"/><Relationship Id="rId27" Type="http://schemas.openxmlformats.org/officeDocument/2006/relationships/hyperlink" Target="https://www.nutrition.gov/" TargetMode="External"/><Relationship Id="rId30" Type="http://schemas.openxmlformats.org/officeDocument/2006/relationships/hyperlink" Target="http://www.eatright.org" TargetMode="External"/><Relationship Id="rId35" Type="http://schemas.openxmlformats.org/officeDocument/2006/relationships/hyperlink" Target="http://www.cdc.gov"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4b1bcb-7f27-4b5a-8fd6-c9b520912dc4">
      <UserInfo>
        <DisplayName>Nora Lindner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D113-E719-46D2-A449-1C890E13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CCBFB-317F-41A8-9BDC-99D011751636}">
  <ds:schemaRefs>
    <ds:schemaRef ds:uri="http://schemas.microsoft.com/office/2006/documentManagement/types"/>
    <ds:schemaRef ds:uri="http://purl.org/dc/terms/"/>
    <ds:schemaRef ds:uri="5a4b1bcb-7f27-4b5a-8fd6-c9b520912dc4"/>
    <ds:schemaRef ds:uri="http://purl.org/dc/dcmitype/"/>
    <ds:schemaRef ds:uri="http://purl.org/dc/elements/1.1/"/>
    <ds:schemaRef ds:uri="http://www.w3.org/XML/1998/namespace"/>
    <ds:schemaRef ds:uri="ea20a885-74d7-48f3-8484-9606ca1e6fc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628090-DB4E-42DA-837D-A4F700A48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 Brief</dc:title>
  <dc:subject/>
  <dc:creator>Lipperini, Keri (ACL)</dc:creator>
  <cp:keywords/>
  <dc:description/>
  <cp:lastModifiedBy>Nora Lindner</cp:lastModifiedBy>
  <cp:revision>29</cp:revision>
  <dcterms:created xsi:type="dcterms:W3CDTF">2021-11-16T17:19:00Z</dcterms:created>
  <dcterms:modified xsi:type="dcterms:W3CDTF">2021-12-08T16:47:00Z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